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jc w:val="center"/>
        <w:rPr>
          <w:rFonts w:hint="eastAsia" w:ascii="仿宋" w:hAnsi="仿宋" w:eastAsia="仿宋" w:cs="仿宋"/>
          <w:b/>
          <w:bCs w:val="0"/>
          <w:color w:val="000000"/>
          <w:sz w:val="36"/>
          <w:szCs w:val="36"/>
          <w:u w:val="none"/>
          <w:lang w:val="en-US" w:eastAsia="zh-CN"/>
        </w:rPr>
      </w:pPr>
      <w:bookmarkStart w:id="0" w:name="_Toc349031711"/>
      <w:r>
        <w:rPr>
          <w:rFonts w:ascii="Calibri" w:hAnsi="Calibri" w:eastAsia="宋体" w:cs="Times New Roman"/>
          <w:kern w:val="2"/>
          <w:sz w:val="21"/>
          <w:szCs w:val="22"/>
          <w:lang w:val="en-US" w:eastAsia="zh-CN" w:bidi="ar-SA"/>
        </w:rPr>
        <w:drawing>
          <wp:anchor distT="0" distB="0" distL="114300" distR="114300" simplePos="0" relativeHeight="251659264" behindDoc="1" locked="0" layoutInCell="1" allowOverlap="1">
            <wp:simplePos x="0" y="0"/>
            <wp:positionH relativeFrom="page">
              <wp:posOffset>4445</wp:posOffset>
            </wp:positionH>
            <wp:positionV relativeFrom="paragraph">
              <wp:posOffset>-711200</wp:posOffset>
            </wp:positionV>
            <wp:extent cx="8046085" cy="7741285"/>
            <wp:effectExtent l="0" t="0" r="12065" b="12065"/>
            <wp:wrapNone/>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5">
                      <a:lum/>
                    </a:blip>
                    <a:stretch>
                      <a:fillRect/>
                    </a:stretch>
                  </pic:blipFill>
                  <pic:spPr>
                    <a:xfrm>
                      <a:off x="0" y="0"/>
                      <a:ext cx="8046085" cy="7741285"/>
                    </a:xfrm>
                    <a:prstGeom prst="rect">
                      <a:avLst/>
                    </a:prstGeom>
                    <a:noFill/>
                    <a:ln>
                      <a:noFill/>
                    </a:ln>
                  </pic:spPr>
                </pic:pic>
              </a:graphicData>
            </a:graphic>
          </wp:anchor>
        </w:drawing>
      </w: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r>
        <w:rPr>
          <w:rFonts w:ascii="Calibri" w:hAnsi="Calibri" w:eastAsia="宋体" w:cs="Times New Roman"/>
          <w:kern w:val="2"/>
          <w:sz w:val="21"/>
          <w:szCs w:val="22"/>
          <w:lang w:val="en-US" w:eastAsia="zh-CN" w:bidi="ar-SA"/>
        </w:rPr>
        <w:drawing>
          <wp:anchor distT="0" distB="0" distL="114300" distR="114300" simplePos="0" relativeHeight="251660288" behindDoc="0" locked="0" layoutInCell="1" allowOverlap="1">
            <wp:simplePos x="0" y="0"/>
            <wp:positionH relativeFrom="page">
              <wp:posOffset>342900</wp:posOffset>
            </wp:positionH>
            <wp:positionV relativeFrom="paragraph">
              <wp:posOffset>46355</wp:posOffset>
            </wp:positionV>
            <wp:extent cx="3459480" cy="813435"/>
            <wp:effectExtent l="0" t="0" r="7620" b="5715"/>
            <wp:wrapNone/>
            <wp:docPr id="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4"/>
                    <pic:cNvPicPr>
                      <a:picLocks noChangeAspect="1"/>
                    </pic:cNvPicPr>
                  </pic:nvPicPr>
                  <pic:blipFill>
                    <a:blip r:embed="rId6">
                      <a:lum/>
                    </a:blip>
                    <a:stretch>
                      <a:fillRect/>
                    </a:stretch>
                  </pic:blipFill>
                  <pic:spPr>
                    <a:xfrm>
                      <a:off x="0" y="0"/>
                      <a:ext cx="3459480" cy="813435"/>
                    </a:xfrm>
                    <a:prstGeom prst="rect">
                      <a:avLst/>
                    </a:prstGeom>
                    <a:noFill/>
                    <a:ln>
                      <a:noFill/>
                    </a:ln>
                  </pic:spPr>
                </pic:pic>
              </a:graphicData>
            </a:graphic>
          </wp:anchor>
        </w:drawing>
      </w:r>
    </w:p>
    <w:p>
      <w:pPr>
        <w:pStyle w:val="10"/>
        <w:keepNext w:val="0"/>
        <w:keepLines w:val="0"/>
        <w:widowControl/>
        <w:suppressLineNumbers w:val="0"/>
        <w:rPr>
          <w:color w:val="000000"/>
          <w:sz w:val="50"/>
          <w:szCs w:val="50"/>
        </w:rPr>
      </w:pPr>
    </w:p>
    <w:p>
      <w:pPr>
        <w:spacing w:before="156"/>
        <w:jc w:val="center"/>
        <w:rPr>
          <w:rFonts w:hint="eastAsia" w:ascii="黑体" w:hAnsi="黑体" w:eastAsia="黑体" w:cs="宋体"/>
          <w:b/>
          <w:color w:val="000000"/>
          <w:sz w:val="48"/>
          <w:szCs w:val="48"/>
          <w:u w:val="single"/>
          <w:lang w:val="zh-CN" w:eastAsia="zh-CN"/>
        </w:rPr>
      </w:pPr>
    </w:p>
    <w:p>
      <w:pPr>
        <w:spacing w:before="156"/>
        <w:jc w:val="center"/>
        <w:rPr>
          <w:rFonts w:hint="eastAsia" w:ascii="黑体" w:hAnsi="黑体" w:eastAsia="黑体" w:cs="宋体"/>
          <w:b/>
          <w:color w:val="000000"/>
          <w:sz w:val="48"/>
          <w:szCs w:val="48"/>
          <w:u w:val="single"/>
          <w:lang w:val="zh-CN" w:eastAsia="zh-CN"/>
        </w:rPr>
      </w:pPr>
      <w:r>
        <w:rPr>
          <w:rFonts w:hint="eastAsia" w:ascii="黑体" w:hAnsi="黑体" w:eastAsia="黑体" w:cs="宋体"/>
          <w:b/>
          <w:color w:val="000000"/>
          <w:sz w:val="48"/>
          <w:szCs w:val="48"/>
          <w:u w:val="single"/>
          <w:lang w:val="zh-CN" w:eastAsia="zh-CN"/>
        </w:rPr>
        <w:t>广西电网公司钦州供电局2024年35千伏那香送变电工程项目节约集约用地论证分析专章编制服务零星采购项目技术规范书</w:t>
      </w: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bookmarkEnd w:id="0"/>
    <w:p>
      <w:pPr>
        <w:adjustRightInd w:val="0"/>
        <w:snapToGrid w:val="0"/>
        <w:spacing w:before="156" w:line="360" w:lineRule="auto"/>
        <w:jc w:val="center"/>
        <w:rPr>
          <w:rFonts w:hint="eastAsia" w:ascii="仿宋" w:hAnsi="仿宋" w:eastAsia="仿宋" w:cs="仿宋"/>
          <w:b/>
          <w:bCs/>
          <w:color w:val="000000"/>
          <w:sz w:val="28"/>
          <w:szCs w:val="28"/>
        </w:rPr>
      </w:pPr>
    </w:p>
    <w:p>
      <w:pPr>
        <w:adjustRightInd w:val="0"/>
        <w:snapToGrid w:val="0"/>
        <w:spacing w:before="156" w:line="360" w:lineRule="auto"/>
        <w:ind w:firstLine="562" w:firstLineChars="200"/>
        <w:jc w:val="center"/>
        <w:rPr>
          <w:rFonts w:hint="eastAsia" w:ascii="仿宋" w:hAnsi="仿宋" w:eastAsia="仿宋" w:cs="仿宋"/>
          <w:b/>
          <w:bCs/>
          <w:color w:val="000000"/>
          <w:sz w:val="28"/>
          <w:szCs w:val="28"/>
        </w:rPr>
      </w:pPr>
    </w:p>
    <w:p>
      <w:pPr>
        <w:spacing w:before="156"/>
        <w:jc w:val="center"/>
        <w:rPr>
          <w:rFonts w:hint="eastAsia" w:ascii="仿宋" w:hAnsi="仿宋" w:eastAsia="仿宋" w:cs="仿宋"/>
          <w:b/>
          <w:bCs/>
          <w:color w:val="000000"/>
          <w:sz w:val="28"/>
          <w:szCs w:val="28"/>
          <w:lang w:val="zh-CN" w:eastAsia="zh-CN"/>
        </w:rPr>
      </w:pPr>
      <w:r>
        <w:rPr>
          <w:rFonts w:hint="eastAsia" w:ascii="仿宋" w:hAnsi="仿宋" w:eastAsia="仿宋" w:cs="仿宋"/>
          <w:b/>
          <w:bCs/>
          <w:color w:val="000000"/>
          <w:sz w:val="28"/>
          <w:szCs w:val="28"/>
          <w:lang w:val="zh-CN" w:eastAsia="zh-CN"/>
        </w:rPr>
        <w:t>广西电网公司钦州供电局2024年35千伏那香送变电工程项目节约集约用地论证分析专章编制服务零星采购项目技术规范书</w:t>
      </w:r>
    </w:p>
    <w:p>
      <w:pPr>
        <w:spacing w:before="156"/>
        <w:jc w:val="center"/>
        <w:rPr>
          <w:rFonts w:hint="eastAsia" w:ascii="仿宋" w:hAnsi="仿宋" w:eastAsia="仿宋" w:cs="仿宋"/>
          <w:b/>
          <w:bCs/>
          <w:color w:val="000000"/>
          <w:sz w:val="28"/>
          <w:szCs w:val="28"/>
        </w:rPr>
      </w:pPr>
    </w:p>
    <w:p>
      <w:pPr>
        <w:adjustRightInd w:val="0"/>
        <w:snapToGrid w:val="0"/>
        <w:spacing w:before="156" w:line="360" w:lineRule="auto"/>
        <w:ind w:firstLine="560" w:firstLineChars="200"/>
        <w:jc w:val="left"/>
        <w:rPr>
          <w:rFonts w:ascii="仿宋" w:hAnsi="仿宋" w:eastAsia="仿宋" w:cs="仿宋"/>
          <w:color w:val="000000"/>
          <w:sz w:val="28"/>
          <w:szCs w:val="28"/>
        </w:rPr>
      </w:pPr>
      <w:r>
        <w:rPr>
          <w:rFonts w:hint="eastAsia" w:ascii="仿宋" w:hAnsi="仿宋" w:eastAsia="仿宋" w:cs="仿宋"/>
          <w:color w:val="000000"/>
          <w:sz w:val="28"/>
          <w:szCs w:val="28"/>
        </w:rPr>
        <w:t>为规范</w:t>
      </w:r>
      <w:r>
        <w:rPr>
          <w:rFonts w:hint="eastAsia" w:ascii="仿宋" w:hAnsi="仿宋" w:eastAsia="仿宋" w:cs="仿宋"/>
          <w:color w:val="000000"/>
          <w:sz w:val="28"/>
          <w:szCs w:val="28"/>
          <w:lang w:val="zh-CN" w:eastAsia="zh-CN"/>
        </w:rPr>
        <w:t>钦州供电局2024年35千伏那香送变电工程项目节约集约用地论证分析专章编制服务的零星采购工</w:t>
      </w:r>
      <w:r>
        <w:rPr>
          <w:rFonts w:hint="eastAsia" w:ascii="仿宋" w:hAnsi="仿宋" w:eastAsia="仿宋" w:cs="仿宋"/>
          <w:color w:val="000000"/>
          <w:sz w:val="28"/>
          <w:szCs w:val="28"/>
        </w:rPr>
        <w:t>作，保证项目如期完成，制订本服务标准。</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50" w:line="360" w:lineRule="auto"/>
        <w:ind w:leftChars="0" w:firstLine="562" w:firstLineChars="200"/>
        <w:textAlignment w:val="auto"/>
        <w:outlineLvl w:val="0"/>
        <w:rPr>
          <w:rFonts w:ascii="仿宋" w:hAnsi="仿宋" w:eastAsia="仿宋" w:cs="仿宋"/>
          <w:b/>
          <w:color w:val="000000"/>
          <w:sz w:val="28"/>
          <w:szCs w:val="28"/>
        </w:rPr>
      </w:pPr>
      <w:r>
        <w:rPr>
          <w:rFonts w:hint="eastAsia" w:ascii="仿宋" w:hAnsi="仿宋" w:eastAsia="仿宋" w:cs="仿宋"/>
          <w:b/>
          <w:color w:val="000000"/>
          <w:sz w:val="28"/>
          <w:szCs w:val="28"/>
          <w:lang w:eastAsia="zh-CN"/>
        </w:rPr>
        <w:t>一、</w:t>
      </w:r>
      <w:r>
        <w:rPr>
          <w:rFonts w:hint="eastAsia" w:ascii="仿宋" w:hAnsi="仿宋" w:eastAsia="仿宋" w:cs="仿宋"/>
          <w:b/>
          <w:color w:val="000000"/>
          <w:sz w:val="28"/>
          <w:szCs w:val="28"/>
        </w:rPr>
        <w:t>服务内容</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bookmarkStart w:id="1" w:name="_Toc349031717"/>
      <w:r>
        <w:rPr>
          <w:rFonts w:hint="eastAsia" w:ascii="仿宋" w:hAnsi="仿宋" w:eastAsia="仿宋" w:cs="仿宋"/>
          <w:color w:val="auto"/>
          <w:kern w:val="2"/>
          <w:sz w:val="28"/>
          <w:szCs w:val="28"/>
          <w:lang w:val="en-US" w:eastAsia="zh-CN" w:bidi="ar-SA"/>
        </w:rPr>
        <w:t>遵照国家及当地政府等相关规定，依据中国南方电网有限责任公司、广西电网有限责任公司关于电网基建项目管理的相关制度的要求，为钦州供电局2024年</w:t>
      </w:r>
      <w:r>
        <w:rPr>
          <w:rFonts w:hint="eastAsia" w:ascii="仿宋" w:hAnsi="仿宋" w:eastAsia="仿宋" w:cs="仿宋"/>
          <w:color w:val="000000"/>
          <w:sz w:val="28"/>
          <w:szCs w:val="28"/>
          <w:lang w:val="zh-CN" w:eastAsia="zh-CN"/>
        </w:rPr>
        <w:t>35千伏那香送变电工程项目节约集约用地论证分析专章编制服务</w:t>
      </w:r>
      <w:r>
        <w:rPr>
          <w:rFonts w:hint="eastAsia" w:ascii="仿宋" w:hAnsi="仿宋" w:eastAsia="仿宋" w:cs="仿宋"/>
          <w:color w:val="auto"/>
          <w:kern w:val="2"/>
          <w:sz w:val="28"/>
          <w:szCs w:val="28"/>
          <w:lang w:val="en-US" w:eastAsia="zh-CN" w:bidi="ar-SA"/>
        </w:rPr>
        <w:t>。</w:t>
      </w:r>
    </w:p>
    <w:bookmarkEnd w:id="1"/>
    <w:p>
      <w:pPr>
        <w:keepNext w:val="0"/>
        <w:keepLines w:val="0"/>
        <w:pageBreakBefore w:val="0"/>
        <w:widowControl w:val="0"/>
        <w:numPr>
          <w:ilvl w:val="0"/>
          <w:numId w:val="0"/>
        </w:numPr>
        <w:kinsoku/>
        <w:wordWrap/>
        <w:overflowPunct/>
        <w:topLinePunct w:val="0"/>
        <w:autoSpaceDE/>
        <w:autoSpaceDN/>
        <w:bidi w:val="0"/>
        <w:adjustRightInd w:val="0"/>
        <w:snapToGrid w:val="0"/>
        <w:spacing w:beforeLines="50" w:line="360" w:lineRule="auto"/>
        <w:ind w:leftChars="0" w:firstLine="562" w:firstLineChars="200"/>
        <w:textAlignment w:val="auto"/>
        <w:outlineLvl w:val="0"/>
        <w:rPr>
          <w:rFonts w:ascii="仿宋" w:hAnsi="仿宋" w:eastAsia="仿宋" w:cs="仿宋"/>
          <w:b/>
          <w:color w:val="000000"/>
          <w:sz w:val="28"/>
          <w:szCs w:val="28"/>
        </w:rPr>
      </w:pPr>
      <w:r>
        <w:rPr>
          <w:rFonts w:hint="eastAsia" w:ascii="仿宋" w:hAnsi="仿宋" w:eastAsia="仿宋" w:cs="仿宋"/>
          <w:b/>
          <w:color w:val="000000"/>
          <w:sz w:val="28"/>
          <w:szCs w:val="28"/>
          <w:lang w:eastAsia="zh-CN"/>
        </w:rPr>
        <w:t>二、</w:t>
      </w:r>
      <w:r>
        <w:rPr>
          <w:rFonts w:hint="eastAsia" w:ascii="仿宋" w:hAnsi="仿宋" w:eastAsia="仿宋" w:cs="仿宋"/>
          <w:b/>
          <w:color w:val="000000"/>
          <w:sz w:val="28"/>
          <w:szCs w:val="28"/>
        </w:rPr>
        <w:t>服务要求</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（一）根据政府相关办理用地预审</w:t>
      </w:r>
      <w:bookmarkStart w:id="3" w:name="_GoBack"/>
      <w:bookmarkEnd w:id="3"/>
      <w:r>
        <w:rPr>
          <w:rFonts w:hint="eastAsia" w:ascii="仿宋" w:hAnsi="仿宋" w:eastAsia="仿宋" w:cs="仿宋"/>
          <w:color w:val="auto"/>
          <w:kern w:val="2"/>
          <w:sz w:val="28"/>
          <w:szCs w:val="28"/>
          <w:lang w:val="en-US" w:eastAsia="zh-CN" w:bidi="ar-SA"/>
        </w:rPr>
        <w:t>等文件要求，完成</w:t>
      </w:r>
      <w:r>
        <w:rPr>
          <w:rFonts w:hint="eastAsia" w:ascii="仿宋" w:hAnsi="仿宋" w:eastAsia="仿宋" w:cs="仿宋"/>
          <w:color w:val="000000"/>
          <w:sz w:val="28"/>
          <w:szCs w:val="28"/>
          <w:lang w:val="zh-CN" w:eastAsia="zh-CN"/>
        </w:rPr>
        <w:t>35千伏那香送变电工程项目节约集约用地论证分析专章</w:t>
      </w:r>
      <w:r>
        <w:rPr>
          <w:rFonts w:hint="eastAsia" w:ascii="仿宋" w:hAnsi="仿宋" w:eastAsia="仿宋" w:cs="仿宋"/>
          <w:color w:val="auto"/>
          <w:kern w:val="2"/>
          <w:sz w:val="28"/>
          <w:szCs w:val="28"/>
          <w:lang w:val="zh-CN" w:eastAsia="zh-CN" w:bidi="ar-SA"/>
        </w:rPr>
        <w:t>编制</w:t>
      </w:r>
      <w:r>
        <w:rPr>
          <w:rFonts w:hint="eastAsia" w:ascii="仿宋" w:hAnsi="仿宋" w:eastAsia="仿宋" w:cs="仿宋"/>
          <w:color w:val="auto"/>
          <w:kern w:val="2"/>
          <w:sz w:val="28"/>
          <w:szCs w:val="28"/>
          <w:lang w:val="en-US" w:eastAsia="zh-CN" w:bidi="ar-SA"/>
        </w:rPr>
        <w:t>及报审工作。</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（二）根据调研情况及收集的资料，编制并提交</w:t>
      </w:r>
      <w:r>
        <w:rPr>
          <w:rFonts w:hint="eastAsia" w:ascii="仿宋" w:hAnsi="仿宋" w:eastAsia="仿宋" w:cs="仿宋"/>
          <w:color w:val="000000"/>
          <w:sz w:val="28"/>
          <w:szCs w:val="28"/>
          <w:lang w:val="zh-CN" w:eastAsia="zh-CN"/>
        </w:rPr>
        <w:t>35千伏那香送变电工程项目节约集约用地论证分析专章</w:t>
      </w:r>
      <w:r>
        <w:rPr>
          <w:rFonts w:hint="eastAsia" w:ascii="仿宋" w:hAnsi="仿宋" w:eastAsia="仿宋" w:cs="仿宋"/>
          <w:color w:val="auto"/>
          <w:kern w:val="2"/>
          <w:sz w:val="28"/>
          <w:szCs w:val="28"/>
          <w:lang w:val="en-US" w:eastAsia="zh-CN" w:bidi="ar-SA"/>
        </w:rPr>
        <w:t>。</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（三）按照审批部门要求，配合完成</w:t>
      </w:r>
      <w:r>
        <w:rPr>
          <w:rFonts w:hint="eastAsia" w:ascii="仿宋" w:hAnsi="仿宋" w:eastAsia="仿宋" w:cs="仿宋"/>
          <w:color w:val="000000"/>
          <w:sz w:val="28"/>
          <w:szCs w:val="28"/>
          <w:lang w:val="zh-CN" w:eastAsia="zh-CN"/>
        </w:rPr>
        <w:t>35千伏那香送变电工程项目节约集约用地论证分析专章编制服务</w:t>
      </w:r>
      <w:r>
        <w:rPr>
          <w:rFonts w:hint="eastAsia" w:ascii="仿宋" w:hAnsi="仿宋" w:eastAsia="仿宋" w:cs="仿宋"/>
          <w:color w:val="auto"/>
          <w:kern w:val="2"/>
          <w:sz w:val="28"/>
          <w:szCs w:val="28"/>
          <w:lang w:val="en-US" w:eastAsia="zh-CN" w:bidi="ar-SA"/>
        </w:rPr>
        <w:t>评审，取得相关评审单位对本项目的评审意见。</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default"/>
          <w:lang w:val="en-US" w:eastAsia="zh-CN"/>
        </w:rPr>
      </w:pPr>
      <w:r>
        <w:rPr>
          <w:rFonts w:hint="eastAsia" w:ascii="仿宋" w:hAnsi="仿宋" w:eastAsia="仿宋" w:cs="仿宋"/>
          <w:color w:val="auto"/>
          <w:kern w:val="2"/>
          <w:sz w:val="28"/>
          <w:szCs w:val="28"/>
          <w:lang w:val="en-US" w:eastAsia="zh-CN" w:bidi="ar-SA"/>
        </w:rPr>
        <w:t>（四）根据钦州市国土局的审查意见及甲方要求，乙方修改并向甲方提交</w:t>
      </w:r>
      <w:r>
        <w:rPr>
          <w:rFonts w:hint="eastAsia" w:ascii="仿宋" w:hAnsi="仿宋" w:eastAsia="仿宋" w:cs="仿宋"/>
          <w:color w:val="000000"/>
          <w:sz w:val="28"/>
          <w:szCs w:val="28"/>
          <w:lang w:val="zh-CN" w:eastAsia="zh-CN"/>
        </w:rPr>
        <w:t>35千伏那香送变电工程项目节约集约用地论证分析专章</w:t>
      </w:r>
      <w:r>
        <w:rPr>
          <w:rFonts w:hint="eastAsia" w:ascii="仿宋" w:hAnsi="仿宋" w:eastAsia="仿宋" w:cs="仿宋"/>
          <w:color w:val="auto"/>
          <w:kern w:val="2"/>
          <w:sz w:val="28"/>
          <w:szCs w:val="28"/>
          <w:lang w:val="en-US" w:eastAsia="zh-CN" w:bidi="ar-SA"/>
        </w:rPr>
        <w:t>，同时协助甲方向钦州市国土局申请评审，取得正式同意通过的批复意见。</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50" w:line="360" w:lineRule="auto"/>
        <w:ind w:leftChars="0" w:firstLine="562" w:firstLineChars="200"/>
        <w:textAlignment w:val="auto"/>
        <w:outlineLvl w:val="0"/>
        <w:rPr>
          <w:rFonts w:ascii="仿宋" w:hAnsi="仿宋" w:eastAsia="仿宋" w:cs="仿宋"/>
          <w:b/>
          <w:color w:val="000000"/>
          <w:sz w:val="28"/>
          <w:szCs w:val="28"/>
        </w:rPr>
      </w:pPr>
      <w:bookmarkStart w:id="2" w:name="_Toc349031718"/>
      <w:r>
        <w:rPr>
          <w:rFonts w:hint="eastAsia" w:ascii="仿宋" w:hAnsi="仿宋" w:eastAsia="仿宋" w:cs="仿宋"/>
          <w:b/>
          <w:color w:val="000000"/>
          <w:sz w:val="28"/>
          <w:szCs w:val="28"/>
          <w:lang w:eastAsia="zh-CN"/>
        </w:rPr>
        <w:t>三、</w:t>
      </w:r>
      <w:r>
        <w:rPr>
          <w:rFonts w:hint="eastAsia" w:ascii="仿宋" w:hAnsi="仿宋" w:eastAsia="仿宋" w:cs="仿宋"/>
          <w:b/>
          <w:color w:val="000000"/>
          <w:sz w:val="28"/>
          <w:szCs w:val="28"/>
        </w:rPr>
        <w:t>服务成果</w:t>
      </w:r>
    </w:p>
    <w:bookmarkEnd w:id="2"/>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color w:val="auto"/>
          <w:kern w:val="2"/>
          <w:sz w:val="28"/>
          <w:szCs w:val="28"/>
          <w:lang w:val="en-US" w:eastAsia="zh-CN" w:bidi="ar-SA"/>
        </w:rPr>
        <w:t>在承诺期限内完成</w:t>
      </w:r>
      <w:r>
        <w:rPr>
          <w:rFonts w:hint="eastAsia" w:ascii="仿宋" w:hAnsi="仿宋" w:eastAsia="仿宋" w:cs="仿宋"/>
          <w:color w:val="000000"/>
          <w:sz w:val="28"/>
          <w:szCs w:val="28"/>
          <w:lang w:val="zh-CN" w:eastAsia="zh-CN"/>
        </w:rPr>
        <w:t>项目节约集约用地论证分析专章</w:t>
      </w:r>
      <w:r>
        <w:rPr>
          <w:rFonts w:hint="eastAsia" w:ascii="仿宋" w:hAnsi="仿宋" w:eastAsia="仿宋" w:cs="仿宋"/>
          <w:color w:val="auto"/>
          <w:kern w:val="2"/>
          <w:sz w:val="28"/>
          <w:szCs w:val="28"/>
          <w:lang w:val="en-US" w:eastAsia="zh-CN" w:bidi="ar-SA"/>
        </w:rPr>
        <w:t>，并取得钦州市国土局正式同意通过的批复意见</w:t>
      </w:r>
      <w:r>
        <w:rPr>
          <w:rFonts w:hint="eastAsia" w:ascii="仿宋" w:hAnsi="仿宋" w:eastAsia="仿宋" w:cs="仿宋"/>
          <w:sz w:val="28"/>
          <w:szCs w:val="28"/>
          <w:lang w:val="en-US" w:eastAsia="zh-CN"/>
        </w:rPr>
        <w:t>。</w:t>
      </w:r>
    </w:p>
    <w:p>
      <w:pPr>
        <w:keepNext w:val="0"/>
        <w:keepLines w:val="0"/>
        <w:pageBreakBefore w:val="0"/>
        <w:widowControl w:val="0"/>
        <w:kinsoku/>
        <w:wordWrap/>
        <w:overflowPunct/>
        <w:topLinePunct w:val="0"/>
        <w:autoSpaceDE/>
        <w:autoSpaceDN/>
        <w:bidi w:val="0"/>
        <w:snapToGrid w:val="0"/>
        <w:spacing w:line="360" w:lineRule="auto"/>
        <w:ind w:firstLine="562" w:firstLineChars="200"/>
        <w:textAlignment w:val="auto"/>
        <w:rPr>
          <w:rFonts w:hint="eastAsia" w:ascii="仿宋" w:hAnsi="仿宋" w:eastAsia="仿宋" w:cs="仿宋"/>
          <w:b/>
          <w:color w:val="000000"/>
          <w:kern w:val="2"/>
          <w:sz w:val="28"/>
          <w:szCs w:val="28"/>
          <w:lang w:val="en-US" w:eastAsia="zh-CN" w:bidi="ar-SA"/>
        </w:rPr>
      </w:pPr>
      <w:r>
        <w:rPr>
          <w:rFonts w:hint="eastAsia" w:ascii="仿宋" w:hAnsi="仿宋" w:eastAsia="仿宋" w:cs="仿宋"/>
          <w:b/>
          <w:color w:val="000000"/>
          <w:sz w:val="28"/>
          <w:szCs w:val="28"/>
          <w:lang w:val="en-US" w:eastAsia="zh-CN"/>
        </w:rPr>
        <w:t>四、</w:t>
      </w:r>
      <w:r>
        <w:rPr>
          <w:rFonts w:hint="eastAsia" w:ascii="仿宋" w:hAnsi="仿宋" w:eastAsia="仿宋" w:cs="仿宋"/>
          <w:b/>
          <w:color w:val="000000"/>
          <w:kern w:val="2"/>
          <w:sz w:val="28"/>
          <w:szCs w:val="28"/>
          <w:lang w:val="en-US" w:eastAsia="zh-CN" w:bidi="ar-SA"/>
        </w:rPr>
        <w:t>服务工期</w:t>
      </w:r>
    </w:p>
    <w:p>
      <w:pPr>
        <w:numPr>
          <w:ilvl w:val="0"/>
          <w:numId w:val="0"/>
        </w:numPr>
        <w:rPr>
          <w:rFonts w:hint="default" w:ascii="仿宋" w:hAnsi="仿宋" w:eastAsia="仿宋" w:cs="仿宋"/>
          <w:color w:val="auto"/>
          <w:kern w:val="2"/>
          <w:sz w:val="28"/>
          <w:szCs w:val="28"/>
          <w:lang w:val="en-US" w:eastAsia="zh-CN" w:bidi="ar-SA"/>
        </w:rPr>
      </w:pPr>
      <w:r>
        <w:rPr>
          <w:rFonts w:hint="eastAsia"/>
          <w:lang w:val="en-US" w:eastAsia="zh-CN"/>
        </w:rPr>
        <w:t xml:space="preserve">     </w:t>
      </w:r>
      <w:r>
        <w:rPr>
          <w:rFonts w:hint="eastAsia" w:ascii="仿宋" w:hAnsi="仿宋" w:eastAsia="仿宋" w:cs="仿宋"/>
          <w:color w:val="auto"/>
          <w:kern w:val="2"/>
          <w:sz w:val="28"/>
          <w:szCs w:val="28"/>
          <w:lang w:val="en-US" w:eastAsia="zh-CN" w:bidi="ar-SA"/>
        </w:rPr>
        <w:t>自合同签订之日起至取得钦州市国土局批复，工期为3个月。</w:t>
      </w:r>
    </w:p>
    <w:p>
      <w:pPr>
        <w:numPr>
          <w:ilvl w:val="0"/>
          <w:numId w:val="0"/>
        </w:numPr>
        <w:ind w:firstLine="562" w:firstLineChars="200"/>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五、供应商需说明的其他问题</w:t>
      </w:r>
    </w:p>
    <w:p>
      <w:pPr>
        <w:numPr>
          <w:ilvl w:val="0"/>
          <w:numId w:val="0"/>
        </w:numPr>
        <w:ind w:firstLine="560" w:firstLineChars="200"/>
      </w:pPr>
      <w:r>
        <w:rPr>
          <w:rFonts w:hint="eastAsia" w:ascii="仿宋" w:hAnsi="仿宋" w:eastAsia="仿宋" w:cs="仿宋"/>
          <w:kern w:val="2"/>
          <w:sz w:val="28"/>
          <w:szCs w:val="28"/>
          <w:lang w:val="en-US" w:eastAsia="zh-CN" w:bidi="ar-SA"/>
        </w:rPr>
        <w:t>如有需说明的其他问题，供应商应通过书面形式提交，并盖章。</w:t>
      </w:r>
    </w:p>
    <w:sectPr>
      <w:footerReference r:id="rId3" w:type="default"/>
      <w:pgSz w:w="12242" w:h="15842"/>
      <w:pgMar w:top="1134" w:right="1417" w:bottom="1134" w:left="1417" w:header="851" w:footer="992" w:gutter="0"/>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PAGE   \* MERGEFORMAT</w:instrText>
    </w:r>
    <w:r>
      <w:fldChar w:fldCharType="separate"/>
    </w:r>
    <w:r>
      <w:rPr>
        <w:lang w:val="zh-CN"/>
      </w:rPr>
      <w:t>2</w:t>
    </w:r>
    <w:r>
      <w:fldChar w:fldCharType="end"/>
    </w:r>
  </w:p>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3Y2I3OTRlNTA1NjUwZGY1NGI3NTM4NWZhMGI4N2IifQ=="/>
  </w:docVars>
  <w:rsids>
    <w:rsidRoot w:val="00172A27"/>
    <w:rsid w:val="00093EF6"/>
    <w:rsid w:val="00172A27"/>
    <w:rsid w:val="0020535B"/>
    <w:rsid w:val="00285DD9"/>
    <w:rsid w:val="002C47E3"/>
    <w:rsid w:val="00304697"/>
    <w:rsid w:val="003224E2"/>
    <w:rsid w:val="003447BF"/>
    <w:rsid w:val="003836EE"/>
    <w:rsid w:val="003D5C60"/>
    <w:rsid w:val="004676D1"/>
    <w:rsid w:val="00585BA6"/>
    <w:rsid w:val="00724986"/>
    <w:rsid w:val="008403B6"/>
    <w:rsid w:val="008512EB"/>
    <w:rsid w:val="008E795B"/>
    <w:rsid w:val="00963000"/>
    <w:rsid w:val="00A75B03"/>
    <w:rsid w:val="00B15A82"/>
    <w:rsid w:val="00B4071C"/>
    <w:rsid w:val="00C368E7"/>
    <w:rsid w:val="00C5403B"/>
    <w:rsid w:val="00C62270"/>
    <w:rsid w:val="00CA44F0"/>
    <w:rsid w:val="00CC0F3C"/>
    <w:rsid w:val="00D22275"/>
    <w:rsid w:val="00D4700C"/>
    <w:rsid w:val="00D51C9D"/>
    <w:rsid w:val="00D65545"/>
    <w:rsid w:val="00D77346"/>
    <w:rsid w:val="00DD1F8E"/>
    <w:rsid w:val="00DE356D"/>
    <w:rsid w:val="00E15D07"/>
    <w:rsid w:val="00E477F8"/>
    <w:rsid w:val="00EE5EBA"/>
    <w:rsid w:val="00F824CE"/>
    <w:rsid w:val="00FD6FF6"/>
    <w:rsid w:val="01F1023F"/>
    <w:rsid w:val="03CB3BA3"/>
    <w:rsid w:val="046B38A6"/>
    <w:rsid w:val="04FA657D"/>
    <w:rsid w:val="060F01E6"/>
    <w:rsid w:val="06D75A51"/>
    <w:rsid w:val="08B82045"/>
    <w:rsid w:val="0946565C"/>
    <w:rsid w:val="094825D4"/>
    <w:rsid w:val="0AE47DFA"/>
    <w:rsid w:val="0BC866FE"/>
    <w:rsid w:val="0D9E7D4A"/>
    <w:rsid w:val="0E636C45"/>
    <w:rsid w:val="108960CA"/>
    <w:rsid w:val="10A4400A"/>
    <w:rsid w:val="161F2171"/>
    <w:rsid w:val="19B2362A"/>
    <w:rsid w:val="1AC008BD"/>
    <w:rsid w:val="1C480DE9"/>
    <w:rsid w:val="1C675B4D"/>
    <w:rsid w:val="1CE930EE"/>
    <w:rsid w:val="1CF24FF7"/>
    <w:rsid w:val="2146657F"/>
    <w:rsid w:val="21E37D11"/>
    <w:rsid w:val="248E77F1"/>
    <w:rsid w:val="24AD7D2A"/>
    <w:rsid w:val="25A51987"/>
    <w:rsid w:val="270A5F48"/>
    <w:rsid w:val="27180F70"/>
    <w:rsid w:val="28066B18"/>
    <w:rsid w:val="2AB053D0"/>
    <w:rsid w:val="2BAB54C1"/>
    <w:rsid w:val="2BBC4761"/>
    <w:rsid w:val="300C7626"/>
    <w:rsid w:val="30332B06"/>
    <w:rsid w:val="30C06E17"/>
    <w:rsid w:val="31FB74BE"/>
    <w:rsid w:val="321E718E"/>
    <w:rsid w:val="3296460B"/>
    <w:rsid w:val="3296737C"/>
    <w:rsid w:val="343716A5"/>
    <w:rsid w:val="34D00596"/>
    <w:rsid w:val="35315349"/>
    <w:rsid w:val="35C44201"/>
    <w:rsid w:val="38BE5CEE"/>
    <w:rsid w:val="395E02A8"/>
    <w:rsid w:val="3AD2491F"/>
    <w:rsid w:val="3C5248A7"/>
    <w:rsid w:val="3D2D0D0E"/>
    <w:rsid w:val="3DDF6F15"/>
    <w:rsid w:val="3F7E3672"/>
    <w:rsid w:val="3FE77A7E"/>
    <w:rsid w:val="40604AF8"/>
    <w:rsid w:val="42843849"/>
    <w:rsid w:val="42A7041B"/>
    <w:rsid w:val="437F455D"/>
    <w:rsid w:val="44AD1941"/>
    <w:rsid w:val="45A100BA"/>
    <w:rsid w:val="46884BEE"/>
    <w:rsid w:val="48FA06BB"/>
    <w:rsid w:val="494A108E"/>
    <w:rsid w:val="4A0A5461"/>
    <w:rsid w:val="4A986A2F"/>
    <w:rsid w:val="4B384F85"/>
    <w:rsid w:val="4C445423"/>
    <w:rsid w:val="4CB55F9B"/>
    <w:rsid w:val="506A2260"/>
    <w:rsid w:val="51452242"/>
    <w:rsid w:val="52711B64"/>
    <w:rsid w:val="5384060A"/>
    <w:rsid w:val="53A1686E"/>
    <w:rsid w:val="56654A4C"/>
    <w:rsid w:val="578D0032"/>
    <w:rsid w:val="5808685E"/>
    <w:rsid w:val="58B30458"/>
    <w:rsid w:val="5A26711B"/>
    <w:rsid w:val="5B5F66B7"/>
    <w:rsid w:val="5C046B35"/>
    <w:rsid w:val="5C34538D"/>
    <w:rsid w:val="5CF92A73"/>
    <w:rsid w:val="5D4D4958"/>
    <w:rsid w:val="5E7C1460"/>
    <w:rsid w:val="5EAE1426"/>
    <w:rsid w:val="61DD7156"/>
    <w:rsid w:val="62106567"/>
    <w:rsid w:val="64903F3E"/>
    <w:rsid w:val="64E06971"/>
    <w:rsid w:val="654B0169"/>
    <w:rsid w:val="66943B71"/>
    <w:rsid w:val="696F5C56"/>
    <w:rsid w:val="69E2036A"/>
    <w:rsid w:val="6BD83341"/>
    <w:rsid w:val="6EA61FA3"/>
    <w:rsid w:val="72C92680"/>
    <w:rsid w:val="73C965F4"/>
    <w:rsid w:val="74D8532A"/>
    <w:rsid w:val="76F73FDC"/>
    <w:rsid w:val="772939EB"/>
    <w:rsid w:val="793A7449"/>
    <w:rsid w:val="7B984078"/>
    <w:rsid w:val="7BBD7328"/>
    <w:rsid w:val="7C8F4E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link w:val="25"/>
    <w:unhideWhenUsed/>
    <w:qFormat/>
    <w:uiPriority w:val="99"/>
    <w:pPr>
      <w:jc w:val="left"/>
    </w:pPr>
  </w:style>
  <w:style w:type="paragraph" w:styleId="4">
    <w:name w:val="Body Text"/>
    <w:basedOn w:val="1"/>
    <w:link w:val="19"/>
    <w:unhideWhenUsed/>
    <w:qFormat/>
    <w:uiPriority w:val="99"/>
    <w:pPr>
      <w:spacing w:after="120"/>
    </w:pPr>
    <w:rPr>
      <w:kern w:val="0"/>
      <w:sz w:val="20"/>
      <w:szCs w:val="20"/>
    </w:rPr>
  </w:style>
  <w:style w:type="paragraph" w:styleId="5">
    <w:name w:val="Plain Text"/>
    <w:basedOn w:val="1"/>
    <w:link w:val="23"/>
    <w:unhideWhenUsed/>
    <w:qFormat/>
    <w:uiPriority w:val="99"/>
    <w:rPr>
      <w:rFonts w:hint="eastAsia" w:ascii="宋体" w:hAnsi="Courier New" w:eastAsia="仿宋_GB2312"/>
      <w:sz w:val="28"/>
      <w:szCs w:val="20"/>
    </w:rPr>
  </w:style>
  <w:style w:type="paragraph" w:styleId="6">
    <w:name w:val="Body Text Indent 2"/>
    <w:basedOn w:val="1"/>
    <w:link w:val="22"/>
    <w:unhideWhenUsed/>
    <w:qFormat/>
    <w:uiPriority w:val="99"/>
    <w:pPr>
      <w:ind w:firstLine="645"/>
    </w:pPr>
    <w:rPr>
      <w:rFonts w:hint="eastAsia" w:ascii="华文中宋" w:hAnsi="华文中宋" w:eastAsia="仿宋_GB2312"/>
      <w:sz w:val="32"/>
      <w:szCs w:val="44"/>
    </w:rPr>
  </w:style>
  <w:style w:type="paragraph" w:styleId="7">
    <w:name w:val="Balloon Text"/>
    <w:basedOn w:val="1"/>
    <w:link w:val="17"/>
    <w:unhideWhenUsed/>
    <w:qFormat/>
    <w:uiPriority w:val="99"/>
    <w:rPr>
      <w:kern w:val="0"/>
      <w:sz w:val="18"/>
      <w:szCs w:val="18"/>
    </w:rPr>
  </w:style>
  <w:style w:type="paragraph" w:styleId="8">
    <w:name w:val="footer"/>
    <w:basedOn w:val="1"/>
    <w:link w:val="24"/>
    <w:unhideWhenUsed/>
    <w:qFormat/>
    <w:uiPriority w:val="99"/>
    <w:pPr>
      <w:tabs>
        <w:tab w:val="center" w:pos="4153"/>
        <w:tab w:val="right" w:pos="8306"/>
      </w:tabs>
      <w:snapToGrid w:val="0"/>
      <w:jc w:val="left"/>
    </w:pPr>
    <w:rPr>
      <w:sz w:val="18"/>
      <w:szCs w:val="18"/>
    </w:rPr>
  </w:style>
  <w:style w:type="paragraph" w:styleId="9">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spacing w:before="100" w:beforeAutospacing="1" w:after="100" w:afterAutospacing="1"/>
    </w:pPr>
    <w:rPr>
      <w:rFonts w:ascii="宋体" w:hAnsi="宋体" w:eastAsia="宋体" w:cs="宋体"/>
      <w:color w:val="000000"/>
      <w:sz w:val="24"/>
      <w:lang w:val="en-US" w:eastAsia="zh-CN" w:bidi="ar-SA"/>
    </w:rPr>
  </w:style>
  <w:style w:type="paragraph" w:styleId="11">
    <w:name w:val="annotation subject"/>
    <w:basedOn w:val="3"/>
    <w:next w:val="3"/>
    <w:link w:val="18"/>
    <w:unhideWhenUsed/>
    <w:qFormat/>
    <w:uiPriority w:val="99"/>
    <w:rPr>
      <w:b/>
      <w:bCs/>
    </w:rPr>
  </w:style>
  <w:style w:type="paragraph" w:styleId="12">
    <w:name w:val="Body Text First Indent"/>
    <w:basedOn w:val="1"/>
    <w:link w:val="21"/>
    <w:unhideWhenUsed/>
    <w:qFormat/>
    <w:uiPriority w:val="0"/>
    <w:pPr>
      <w:spacing w:beforeLines="50" w:line="360" w:lineRule="auto"/>
      <w:ind w:firstLine="200" w:firstLineChars="200"/>
    </w:pPr>
    <w:rPr>
      <w:rFonts w:ascii="Times New Roman" w:hAnsi="Times New Roman"/>
      <w:kern w:val="0"/>
      <w:sz w:val="24"/>
      <w:szCs w:val="24"/>
    </w:rPr>
  </w:style>
  <w:style w:type="character" w:styleId="15">
    <w:name w:val="Hyperlink"/>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批注框文本 Char"/>
    <w:link w:val="7"/>
    <w:semiHidden/>
    <w:qFormat/>
    <w:uiPriority w:val="99"/>
    <w:rPr>
      <w:rFonts w:ascii="Calibri" w:hAnsi="Calibri" w:eastAsia="宋体" w:cs="Times New Roman"/>
      <w:sz w:val="18"/>
      <w:szCs w:val="18"/>
    </w:rPr>
  </w:style>
  <w:style w:type="character" w:customStyle="1" w:styleId="18">
    <w:name w:val="批注主题 Char"/>
    <w:link w:val="11"/>
    <w:semiHidden/>
    <w:qFormat/>
    <w:uiPriority w:val="99"/>
    <w:rPr>
      <w:b/>
      <w:bCs/>
      <w:kern w:val="2"/>
      <w:sz w:val="21"/>
      <w:szCs w:val="22"/>
    </w:rPr>
  </w:style>
  <w:style w:type="character" w:customStyle="1" w:styleId="19">
    <w:name w:val="正文文本 Char"/>
    <w:link w:val="4"/>
    <w:semiHidden/>
    <w:qFormat/>
    <w:uiPriority w:val="99"/>
    <w:rPr>
      <w:rFonts w:ascii="Calibri" w:hAnsi="Calibri" w:eastAsia="宋体" w:cs="Times New Roman"/>
    </w:rPr>
  </w:style>
  <w:style w:type="character" w:customStyle="1" w:styleId="20">
    <w:name w:val="页眉 Char"/>
    <w:link w:val="9"/>
    <w:qFormat/>
    <w:uiPriority w:val="99"/>
    <w:rPr>
      <w:kern w:val="2"/>
      <w:sz w:val="18"/>
      <w:szCs w:val="18"/>
    </w:rPr>
  </w:style>
  <w:style w:type="character" w:customStyle="1" w:styleId="21">
    <w:name w:val="正文首行缩进 Char"/>
    <w:link w:val="12"/>
    <w:qFormat/>
    <w:uiPriority w:val="0"/>
    <w:rPr>
      <w:rFonts w:ascii="Times New Roman" w:hAnsi="Times New Roman" w:eastAsia="宋体" w:cs="Times New Roman"/>
      <w:sz w:val="24"/>
      <w:szCs w:val="24"/>
    </w:rPr>
  </w:style>
  <w:style w:type="character" w:customStyle="1" w:styleId="22">
    <w:name w:val="正文文本缩进 2 Char"/>
    <w:basedOn w:val="14"/>
    <w:link w:val="6"/>
    <w:qFormat/>
    <w:uiPriority w:val="0"/>
    <w:rPr>
      <w:rFonts w:hint="eastAsia" w:ascii="华文中宋" w:hAnsi="华文中宋" w:eastAsia="仿宋_GB2312" w:cs="Times New Roman"/>
      <w:kern w:val="2"/>
      <w:sz w:val="32"/>
      <w:szCs w:val="44"/>
    </w:rPr>
  </w:style>
  <w:style w:type="character" w:customStyle="1" w:styleId="23">
    <w:name w:val="纯文本 Char1"/>
    <w:basedOn w:val="14"/>
    <w:link w:val="5"/>
    <w:qFormat/>
    <w:uiPriority w:val="0"/>
    <w:rPr>
      <w:rFonts w:hint="eastAsia" w:ascii="宋体" w:hAnsi="Courier New" w:eastAsia="仿宋_GB2312" w:cs="Times New Roman"/>
      <w:kern w:val="2"/>
      <w:sz w:val="28"/>
    </w:rPr>
  </w:style>
  <w:style w:type="character" w:customStyle="1" w:styleId="24">
    <w:name w:val="页脚 Char"/>
    <w:link w:val="8"/>
    <w:qFormat/>
    <w:uiPriority w:val="99"/>
    <w:rPr>
      <w:kern w:val="2"/>
      <w:sz w:val="18"/>
      <w:szCs w:val="18"/>
    </w:rPr>
  </w:style>
  <w:style w:type="character" w:customStyle="1" w:styleId="25">
    <w:name w:val="批注文字 Char"/>
    <w:link w:val="3"/>
    <w:semiHidden/>
    <w:qFormat/>
    <w:uiPriority w:val="99"/>
    <w:rPr>
      <w:kern w:val="2"/>
      <w:sz w:val="21"/>
      <w:szCs w:val="22"/>
    </w:rPr>
  </w:style>
  <w:style w:type="character" w:customStyle="1" w:styleId="26">
    <w:name w:val="纯文本 Char"/>
    <w:basedOn w:val="14"/>
    <w:qFormat/>
    <w:uiPriority w:val="0"/>
    <w:rPr>
      <w:rFonts w:hint="eastAsia" w:ascii="宋体" w:hAnsi="Courier New" w:eastAsia="宋体" w:cs="Courier New"/>
      <w:kern w:val="2"/>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Sky123.Org</Company>
  <Pages>4</Pages>
  <Words>1169</Words>
  <Characters>1231</Characters>
  <Lines>22</Lines>
  <Paragraphs>6</Paragraphs>
  <TotalTime>1</TotalTime>
  <ScaleCrop>false</ScaleCrop>
  <LinksUpToDate>false</LinksUpToDate>
  <CharactersWithSpaces>1231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2017-03-20T13:45:00Z</dcterms:created>
  <dc:creator>2012-5-02</dc:creator>
  <cp:lastModifiedBy>罗燕萍</cp:lastModifiedBy>
  <cp:lastPrinted>2018-05-22T00:59:00Z</cp:lastPrinted>
  <dcterms:modified xsi:type="dcterms:W3CDTF">2024-03-18T02:48:57Z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CAFDE56C694C4409BC99D128A0FA0E93</vt:lpwstr>
  </property>
</Properties>
</file>