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pacing w:before="120" w:after="120" w:line="360" w:lineRule="auto"/>
        <w:jc w:val="center"/>
        <w:rPr>
          <w:rFonts w:asciiTheme="minorEastAsia" w:hAnsiTheme="minorEastAsia" w:eastAsiaTheme="minorEastAsia"/>
          <w:color w:val="auto"/>
          <w:sz w:val="28"/>
          <w:szCs w:val="28"/>
          <w:highlight w:val="none"/>
        </w:rPr>
      </w:pPr>
      <w:r>
        <w:rPr>
          <w:rFonts w:hint="eastAsia" w:ascii="宋体" w:hAnsi="宋体" w:eastAsia="宋体" w:cs="宋体"/>
          <w:b/>
          <w:bCs/>
          <w:color w:val="auto"/>
          <w:sz w:val="28"/>
          <w:szCs w:val="28"/>
          <w:highlight w:val="none"/>
          <w:lang w:eastAsia="zh-CN"/>
        </w:rPr>
        <w:t>采购服务需求</w:t>
      </w:r>
    </w:p>
    <w:p>
      <w:pPr>
        <w:pStyle w:val="4"/>
        <w:numPr>
          <w:ilvl w:val="0"/>
          <w:numId w:val="2"/>
        </w:numPr>
        <w:spacing w:before="240" w:after="120" w:line="360" w:lineRule="auto"/>
        <w:ind w:left="0" w:firstLine="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项目背景</w:t>
      </w:r>
      <w:r>
        <w:rPr>
          <w:rFonts w:hint="eastAsia" w:asciiTheme="minorEastAsia" w:hAnsiTheme="minorEastAsia" w:eastAsiaTheme="minorEastAsia"/>
          <w:color w:val="auto"/>
          <w:sz w:val="28"/>
          <w:szCs w:val="28"/>
          <w:highlight w:val="none"/>
          <w:lang w:eastAsia="zh-CN"/>
        </w:rPr>
        <w:t>及目标</w:t>
      </w:r>
    </w:p>
    <w:p>
      <w:pPr>
        <w:adjustRightInd w:val="0"/>
        <w:snapToGrid w:val="0"/>
        <w:spacing w:before="50" w:line="360" w:lineRule="auto"/>
        <w:ind w:firstLine="560" w:firstLineChars="200"/>
        <w:outlineLvl w:val="0"/>
        <w:rPr>
          <w:rFonts w:hint="eastAsia" w:ascii="仿宋" w:hAnsi="仿宋" w:eastAsia="仿宋" w:cs="Times New Roman"/>
          <w:color w:val="auto"/>
          <w:kern w:val="2"/>
          <w:sz w:val="28"/>
          <w:szCs w:val="28"/>
          <w:highlight w:val="none"/>
          <w:lang w:val="en-US" w:eastAsia="zh-CN" w:bidi="ar-SA"/>
        </w:rPr>
      </w:pPr>
      <w:r>
        <w:rPr>
          <w:rFonts w:hint="eastAsia" w:ascii="仿宋" w:hAnsi="仿宋" w:eastAsia="仿宋" w:cs="Times New Roman"/>
          <w:color w:val="auto"/>
          <w:kern w:val="2"/>
          <w:sz w:val="28"/>
          <w:szCs w:val="28"/>
          <w:highlight w:val="none"/>
          <w:lang w:val="en-US" w:eastAsia="zh-CN" w:bidi="ar-SA"/>
        </w:rPr>
        <w:t xml:space="preserve"> 采购方因业务发展需求，为保持ITSS资质持续有效，开展公司ITSS资质2024年监督审核，拟需采购ITSS资质2024年审核服务，采购方现有ITSS资质证书有效期为2025年5月16日，本次采购服务包含但不限于ITSS资质2024年监督审核咨询指导培训、审核等，确保公司ITSS资质顺利通过2024年监督审核，保持资质有效。  </w:t>
      </w:r>
    </w:p>
    <w:p>
      <w:pPr>
        <w:pStyle w:val="5"/>
        <w:adjustRightInd w:val="0"/>
        <w:spacing w:beforeLines="50" w:afterLines="50" w:line="360" w:lineRule="auto"/>
        <w:rPr>
          <w:rFonts w:hint="default" w:asciiTheme="minorEastAsia" w:hAnsiTheme="minorEastAsia" w:eastAsiaTheme="minorEastAsia"/>
          <w:color w:val="auto"/>
          <w:sz w:val="28"/>
          <w:szCs w:val="28"/>
          <w:highlight w:val="none"/>
          <w:lang w:val="en-US" w:eastAsia="zh-CN"/>
        </w:rPr>
      </w:pPr>
      <w:r>
        <w:rPr>
          <w:rFonts w:hint="eastAsia" w:asciiTheme="minorEastAsia" w:hAnsiTheme="minorEastAsia" w:eastAsiaTheme="minorEastAsia"/>
          <w:color w:val="auto"/>
          <w:sz w:val="28"/>
          <w:szCs w:val="28"/>
          <w:highlight w:val="none"/>
          <w:lang w:val="en-US" w:eastAsia="zh-CN"/>
        </w:rPr>
        <w:t>2</w:t>
      </w:r>
      <w:r>
        <w:rPr>
          <w:rFonts w:hint="eastAsia" w:asciiTheme="minorEastAsia" w:hAnsiTheme="minorEastAsia" w:eastAsiaTheme="minorEastAsia"/>
          <w:color w:val="auto"/>
          <w:sz w:val="28"/>
          <w:szCs w:val="28"/>
          <w:highlight w:val="none"/>
        </w:rPr>
        <w:t>.服务要求</w:t>
      </w:r>
      <w:r>
        <w:rPr>
          <w:rFonts w:hint="eastAsia" w:asciiTheme="minorEastAsia" w:hAnsiTheme="minorEastAsia" w:eastAsiaTheme="minorEastAsia"/>
          <w:color w:val="auto"/>
          <w:sz w:val="28"/>
          <w:szCs w:val="28"/>
          <w:highlight w:val="none"/>
          <w:lang w:val="en-US" w:eastAsia="zh-CN"/>
        </w:rPr>
        <w:t>及项目实施保障</w:t>
      </w:r>
    </w:p>
    <w:p>
      <w:pPr>
        <w:adjustRightInd w:val="0"/>
        <w:snapToGrid w:val="0"/>
        <w:spacing w:line="360" w:lineRule="auto"/>
        <w:ind w:firstLine="548" w:firstLineChars="196"/>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服务商</w:t>
      </w:r>
      <w:r>
        <w:rPr>
          <w:rFonts w:hint="eastAsia" w:ascii="仿宋" w:hAnsi="仿宋" w:eastAsia="仿宋"/>
          <w:color w:val="auto"/>
          <w:sz w:val="28"/>
          <w:szCs w:val="28"/>
          <w:highlight w:val="none"/>
        </w:rPr>
        <w:t>需在协议签订后至公司通过</w:t>
      </w:r>
      <w:r>
        <w:rPr>
          <w:rFonts w:hint="eastAsia" w:ascii="仿宋" w:hAnsi="仿宋" w:eastAsia="仿宋" w:cs="Times New Roman"/>
          <w:color w:val="auto"/>
          <w:kern w:val="2"/>
          <w:sz w:val="28"/>
          <w:szCs w:val="28"/>
          <w:highlight w:val="none"/>
          <w:lang w:val="en-US" w:eastAsia="zh-CN" w:bidi="ar-SA"/>
        </w:rPr>
        <w:t>ITSS</w:t>
      </w:r>
      <w:r>
        <w:rPr>
          <w:rFonts w:hint="eastAsia" w:ascii="仿宋" w:hAnsi="仿宋" w:eastAsia="仿宋"/>
          <w:color w:val="auto"/>
          <w:sz w:val="28"/>
          <w:szCs w:val="28"/>
          <w:highlight w:val="none"/>
        </w:rPr>
        <w:t>评估，提供咨询、指导、培训和</w:t>
      </w:r>
      <w:r>
        <w:rPr>
          <w:rFonts w:hint="eastAsia" w:ascii="仿宋" w:hAnsi="仿宋" w:eastAsia="仿宋"/>
          <w:color w:val="auto"/>
          <w:sz w:val="28"/>
          <w:szCs w:val="28"/>
          <w:highlight w:val="none"/>
          <w:lang w:eastAsia="zh-CN"/>
        </w:rPr>
        <w:t>审核</w:t>
      </w:r>
      <w:r>
        <w:rPr>
          <w:rFonts w:hint="eastAsia" w:ascii="仿宋" w:hAnsi="仿宋" w:eastAsia="仿宋"/>
          <w:color w:val="auto"/>
          <w:sz w:val="28"/>
          <w:szCs w:val="28"/>
          <w:highlight w:val="none"/>
        </w:rPr>
        <w:t>等工作</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制定完善的服务措施、承诺、项目实施保障以及推进计划安排。</w:t>
      </w:r>
    </w:p>
    <w:p>
      <w:pPr>
        <w:pStyle w:val="5"/>
        <w:spacing w:before="120" w:after="120"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3</w:t>
      </w:r>
      <w:r>
        <w:rPr>
          <w:rFonts w:hint="eastAsia" w:asciiTheme="minorEastAsia" w:hAnsiTheme="minorEastAsia" w:eastAsiaTheme="minorEastAsia"/>
          <w:color w:val="auto"/>
          <w:sz w:val="28"/>
          <w:szCs w:val="28"/>
          <w:highlight w:val="none"/>
        </w:rPr>
        <w:t>.1职责分工</w:t>
      </w:r>
    </w:p>
    <w:p>
      <w:pPr>
        <w:pStyle w:val="6"/>
        <w:adjustRightInd w:val="0"/>
        <w:spacing w:before="0" w:after="0" w:line="360" w:lineRule="auto"/>
        <w:rPr>
          <w:rFonts w:asciiTheme="minorEastAsia" w:hAnsiTheme="minorEastAsia"/>
          <w:color w:val="auto"/>
          <w:sz w:val="28"/>
          <w:highlight w:val="none"/>
        </w:rPr>
      </w:pPr>
      <w:r>
        <w:rPr>
          <w:rFonts w:hint="eastAsia" w:asciiTheme="minorEastAsia" w:hAnsiTheme="minorEastAsia"/>
          <w:color w:val="auto"/>
          <w:sz w:val="28"/>
          <w:highlight w:val="none"/>
          <w:lang w:val="en-US" w:eastAsia="zh-CN"/>
        </w:rPr>
        <w:t>3</w:t>
      </w:r>
      <w:r>
        <w:rPr>
          <w:rFonts w:hint="eastAsia" w:asciiTheme="minorEastAsia" w:hAnsiTheme="minorEastAsia"/>
          <w:color w:val="auto"/>
          <w:sz w:val="28"/>
          <w:highlight w:val="none"/>
        </w:rPr>
        <w:t>.1.1</w:t>
      </w:r>
      <w:r>
        <w:rPr>
          <w:rFonts w:hint="eastAsia" w:asciiTheme="minorEastAsia" w:hAnsiTheme="minorEastAsia"/>
          <w:color w:val="auto"/>
          <w:sz w:val="28"/>
          <w:highlight w:val="none"/>
          <w:lang w:eastAsia="zh-CN"/>
        </w:rPr>
        <w:t>服务商</w:t>
      </w:r>
      <w:r>
        <w:rPr>
          <w:rFonts w:hint="eastAsia" w:asciiTheme="minorEastAsia" w:hAnsiTheme="minorEastAsia"/>
          <w:color w:val="auto"/>
          <w:sz w:val="28"/>
          <w:highlight w:val="none"/>
        </w:rPr>
        <w:t>职责</w:t>
      </w:r>
    </w:p>
    <w:p>
      <w:pPr>
        <w:adjustRightInd w:val="0"/>
        <w:snapToGrid w:val="0"/>
        <w:spacing w:line="360" w:lineRule="auto"/>
        <w:ind w:firstLine="548" w:firstLineChars="196"/>
        <w:rPr>
          <w:rFonts w:ascii="仿宋" w:hAnsi="仿宋" w:eastAsia="仿宋"/>
          <w:color w:val="auto"/>
          <w:sz w:val="28"/>
          <w:szCs w:val="28"/>
          <w:highlight w:val="none"/>
        </w:rPr>
      </w:pPr>
      <w:r>
        <w:rPr>
          <w:rFonts w:ascii="仿宋" w:hAnsi="仿宋" w:eastAsia="仿宋"/>
          <w:color w:val="auto"/>
          <w:sz w:val="28"/>
          <w:szCs w:val="28"/>
          <w:highlight w:val="none"/>
        </w:rPr>
        <w:t>（</w:t>
      </w:r>
      <w:r>
        <w:rPr>
          <w:rFonts w:hint="eastAsia" w:ascii="仿宋" w:hAnsi="仿宋" w:eastAsia="仿宋"/>
          <w:color w:val="auto"/>
          <w:sz w:val="28"/>
          <w:szCs w:val="28"/>
          <w:highlight w:val="none"/>
        </w:rPr>
        <w:t>1</w:t>
      </w:r>
      <w:r>
        <w:rPr>
          <w:rFonts w:ascii="仿宋" w:hAnsi="仿宋" w:eastAsia="仿宋"/>
          <w:color w:val="auto"/>
          <w:sz w:val="28"/>
          <w:szCs w:val="28"/>
          <w:highlight w:val="none"/>
        </w:rPr>
        <w:t>）</w:t>
      </w:r>
      <w:r>
        <w:rPr>
          <w:rFonts w:hint="eastAsia" w:ascii="仿宋" w:hAnsi="仿宋" w:eastAsia="仿宋"/>
          <w:color w:val="auto"/>
          <w:sz w:val="28"/>
          <w:szCs w:val="28"/>
          <w:highlight w:val="none"/>
        </w:rPr>
        <w:t>负责项目过程监督与指导，指导采购方开展项目过程管控。</w:t>
      </w:r>
    </w:p>
    <w:p>
      <w:pPr>
        <w:adjustRightInd w:val="0"/>
        <w:snapToGrid w:val="0"/>
        <w:spacing w:line="360" w:lineRule="auto"/>
        <w:ind w:firstLine="548" w:firstLineChars="196"/>
        <w:rPr>
          <w:rFonts w:ascii="仿宋" w:hAnsi="仿宋" w:eastAsia="仿宋"/>
          <w:color w:val="auto"/>
          <w:sz w:val="28"/>
          <w:szCs w:val="28"/>
          <w:highlight w:val="none"/>
        </w:rPr>
      </w:pPr>
      <w:r>
        <w:rPr>
          <w:rFonts w:ascii="仿宋" w:hAnsi="仿宋" w:eastAsia="仿宋"/>
          <w:color w:val="auto"/>
          <w:sz w:val="28"/>
          <w:szCs w:val="28"/>
          <w:highlight w:val="none"/>
        </w:rPr>
        <w:t>（</w:t>
      </w:r>
      <w:r>
        <w:rPr>
          <w:rFonts w:hint="eastAsia" w:ascii="仿宋" w:hAnsi="仿宋" w:eastAsia="仿宋"/>
          <w:color w:val="auto"/>
          <w:sz w:val="28"/>
          <w:szCs w:val="28"/>
          <w:highlight w:val="none"/>
        </w:rPr>
        <w:t>2</w:t>
      </w:r>
      <w:r>
        <w:rPr>
          <w:rFonts w:ascii="仿宋" w:hAnsi="仿宋" w:eastAsia="仿宋"/>
          <w:color w:val="auto"/>
          <w:sz w:val="28"/>
          <w:szCs w:val="28"/>
          <w:highlight w:val="none"/>
        </w:rPr>
        <w:t>）</w:t>
      </w:r>
      <w:r>
        <w:rPr>
          <w:rFonts w:hint="eastAsia" w:ascii="仿宋" w:hAnsi="仿宋" w:eastAsia="仿宋"/>
          <w:color w:val="auto"/>
          <w:sz w:val="28"/>
          <w:szCs w:val="28"/>
          <w:highlight w:val="none"/>
        </w:rPr>
        <w:t>负责诊断评估采</w:t>
      </w:r>
      <w:bookmarkStart w:id="1" w:name="_GoBack"/>
      <w:bookmarkEnd w:id="1"/>
      <w:r>
        <w:rPr>
          <w:rFonts w:hint="eastAsia" w:ascii="仿宋" w:hAnsi="仿宋" w:eastAsia="仿宋"/>
          <w:color w:val="auto"/>
          <w:sz w:val="28"/>
          <w:szCs w:val="28"/>
          <w:highlight w:val="none"/>
        </w:rPr>
        <w:t>购方运维现状，提出改进建议。</w:t>
      </w:r>
    </w:p>
    <w:p>
      <w:pPr>
        <w:adjustRightInd w:val="0"/>
        <w:snapToGrid w:val="0"/>
        <w:spacing w:line="360" w:lineRule="auto"/>
        <w:ind w:firstLine="548" w:firstLineChars="196"/>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（3）负责制定编排行动策略与改进计划</w:t>
      </w:r>
      <w:r>
        <w:rPr>
          <w:rFonts w:hint="eastAsia" w:ascii="仿宋" w:hAnsi="仿宋" w:eastAsia="仿宋"/>
          <w:color w:val="auto"/>
          <w:sz w:val="28"/>
          <w:szCs w:val="28"/>
          <w:highlight w:val="none"/>
          <w:lang w:eastAsia="zh-CN"/>
        </w:rPr>
        <w:t>。</w:t>
      </w:r>
    </w:p>
    <w:p>
      <w:pPr>
        <w:adjustRightInd w:val="0"/>
        <w:snapToGrid w:val="0"/>
        <w:spacing w:line="360" w:lineRule="auto"/>
        <w:ind w:firstLine="548" w:firstLineChars="196"/>
        <w:rPr>
          <w:rFonts w:asciiTheme="minorEastAsia" w:hAnsiTheme="minorEastAsia" w:eastAsiaTheme="minorEastAsia"/>
          <w:color w:val="auto"/>
          <w:sz w:val="24"/>
          <w:highlight w:val="none"/>
        </w:rPr>
      </w:pPr>
      <w:r>
        <w:rPr>
          <w:rFonts w:hint="eastAsia" w:ascii="仿宋" w:hAnsi="仿宋" w:eastAsia="仿宋"/>
          <w:color w:val="auto"/>
          <w:sz w:val="28"/>
          <w:szCs w:val="28"/>
          <w:highlight w:val="none"/>
        </w:rPr>
        <w:t>（4</w:t>
      </w:r>
      <w:r>
        <w:rPr>
          <w:rFonts w:ascii="仿宋" w:hAnsi="仿宋" w:eastAsia="仿宋"/>
          <w:color w:val="auto"/>
          <w:sz w:val="28"/>
          <w:szCs w:val="28"/>
          <w:highlight w:val="none"/>
        </w:rPr>
        <w:t>）</w:t>
      </w:r>
      <w:r>
        <w:rPr>
          <w:rFonts w:hint="eastAsia" w:ascii="仿宋" w:hAnsi="仿宋" w:eastAsia="仿宋"/>
          <w:color w:val="auto"/>
          <w:sz w:val="28"/>
          <w:szCs w:val="28"/>
          <w:highlight w:val="none"/>
        </w:rPr>
        <w:t>负责组织运行及改良以满足信息技术服务运行维护服务能力成熟度模型三级的相关要求。</w:t>
      </w:r>
    </w:p>
    <w:p>
      <w:pPr>
        <w:pStyle w:val="6"/>
        <w:adjustRightInd w:val="0"/>
        <w:spacing w:before="0" w:after="0" w:line="360" w:lineRule="auto"/>
        <w:rPr>
          <w:rFonts w:asciiTheme="minorEastAsia" w:hAnsiTheme="minorEastAsia"/>
          <w:color w:val="auto"/>
          <w:sz w:val="28"/>
          <w:highlight w:val="none"/>
        </w:rPr>
      </w:pPr>
      <w:r>
        <w:rPr>
          <w:rFonts w:hint="eastAsia" w:asciiTheme="minorEastAsia" w:hAnsiTheme="minorEastAsia"/>
          <w:color w:val="auto"/>
          <w:sz w:val="28"/>
          <w:highlight w:val="none"/>
          <w:lang w:val="en-US" w:eastAsia="zh-CN"/>
        </w:rPr>
        <w:t>3</w:t>
      </w:r>
      <w:r>
        <w:rPr>
          <w:rFonts w:hint="eastAsia" w:asciiTheme="minorEastAsia" w:hAnsiTheme="minorEastAsia"/>
          <w:color w:val="auto"/>
          <w:sz w:val="28"/>
          <w:highlight w:val="none"/>
        </w:rPr>
        <w:t>.1.2 采购方职责</w:t>
      </w:r>
    </w:p>
    <w:p>
      <w:pPr>
        <w:adjustRightInd w:val="0"/>
        <w:snapToGrid w:val="0"/>
        <w:spacing w:line="360" w:lineRule="auto"/>
        <w:ind w:firstLine="548" w:firstLineChars="196"/>
        <w:rPr>
          <w:rFonts w:ascii="仿宋" w:hAnsi="仿宋" w:eastAsia="仿宋"/>
          <w:color w:val="auto"/>
          <w:sz w:val="28"/>
          <w:szCs w:val="28"/>
          <w:highlight w:val="none"/>
        </w:rPr>
      </w:pPr>
      <w:r>
        <w:rPr>
          <w:rFonts w:ascii="仿宋" w:hAnsi="仿宋" w:eastAsia="仿宋"/>
          <w:color w:val="auto"/>
          <w:sz w:val="28"/>
          <w:szCs w:val="28"/>
          <w:highlight w:val="none"/>
        </w:rPr>
        <w:t>（</w:t>
      </w:r>
      <w:r>
        <w:rPr>
          <w:rFonts w:hint="eastAsia" w:ascii="仿宋" w:hAnsi="仿宋" w:eastAsia="仿宋"/>
          <w:color w:val="auto"/>
          <w:sz w:val="28"/>
          <w:szCs w:val="28"/>
          <w:highlight w:val="none"/>
        </w:rPr>
        <w:t>1</w:t>
      </w:r>
      <w:r>
        <w:rPr>
          <w:rFonts w:ascii="仿宋" w:hAnsi="仿宋" w:eastAsia="仿宋"/>
          <w:color w:val="auto"/>
          <w:sz w:val="28"/>
          <w:szCs w:val="28"/>
          <w:highlight w:val="none"/>
        </w:rPr>
        <w:t>）</w:t>
      </w:r>
      <w:r>
        <w:rPr>
          <w:rFonts w:hint="eastAsia" w:ascii="仿宋" w:hAnsi="仿宋" w:eastAsia="仿宋"/>
          <w:color w:val="auto"/>
          <w:sz w:val="28"/>
          <w:szCs w:val="28"/>
          <w:highlight w:val="none"/>
        </w:rPr>
        <w:t>负责成立相关工作组织，开展项目过程的统一的管控工作。</w:t>
      </w:r>
    </w:p>
    <w:p>
      <w:pPr>
        <w:adjustRightInd w:val="0"/>
        <w:snapToGrid w:val="0"/>
        <w:spacing w:line="360" w:lineRule="auto"/>
        <w:ind w:firstLine="548" w:firstLineChars="196"/>
        <w:rPr>
          <w:rFonts w:ascii="仿宋" w:hAnsi="仿宋" w:eastAsia="仿宋"/>
          <w:color w:val="auto"/>
          <w:sz w:val="28"/>
          <w:szCs w:val="28"/>
          <w:highlight w:val="none"/>
        </w:rPr>
      </w:pPr>
      <w:r>
        <w:rPr>
          <w:rFonts w:hint="eastAsia" w:ascii="仿宋" w:hAnsi="仿宋" w:eastAsia="仿宋"/>
          <w:color w:val="auto"/>
          <w:sz w:val="28"/>
          <w:szCs w:val="28"/>
          <w:highlight w:val="none"/>
        </w:rPr>
        <w:t>（2）负责协调调动公司资源，保证资源的连续、可用。</w:t>
      </w:r>
    </w:p>
    <w:p>
      <w:pPr>
        <w:adjustRightInd w:val="0"/>
        <w:snapToGrid w:val="0"/>
        <w:spacing w:line="360" w:lineRule="auto"/>
        <w:ind w:firstLine="548" w:firstLineChars="196"/>
        <w:rPr>
          <w:rFonts w:ascii="仿宋" w:hAnsi="仿宋" w:eastAsia="仿宋"/>
          <w:color w:val="auto"/>
          <w:sz w:val="28"/>
          <w:szCs w:val="28"/>
          <w:highlight w:val="none"/>
        </w:rPr>
      </w:pPr>
      <w:r>
        <w:rPr>
          <w:rFonts w:hint="eastAsia" w:ascii="仿宋" w:hAnsi="仿宋" w:eastAsia="仿宋"/>
          <w:color w:val="auto"/>
          <w:sz w:val="28"/>
          <w:szCs w:val="28"/>
          <w:highlight w:val="none"/>
        </w:rPr>
        <w:t>（3）负责在</w:t>
      </w:r>
      <w:r>
        <w:rPr>
          <w:rFonts w:hint="eastAsia" w:ascii="仿宋" w:hAnsi="仿宋" w:eastAsia="仿宋"/>
          <w:color w:val="auto"/>
          <w:sz w:val="28"/>
          <w:szCs w:val="28"/>
          <w:highlight w:val="none"/>
          <w:lang w:val="en-US" w:eastAsia="zh-CN"/>
        </w:rPr>
        <w:t>谈判对象</w:t>
      </w:r>
      <w:r>
        <w:rPr>
          <w:rFonts w:hint="eastAsia" w:ascii="仿宋" w:hAnsi="仿宋" w:eastAsia="仿宋"/>
          <w:color w:val="auto"/>
          <w:sz w:val="28"/>
          <w:szCs w:val="28"/>
          <w:highlight w:val="none"/>
        </w:rPr>
        <w:t>的协助下，开展标准体系优化的工作。</w:t>
      </w:r>
    </w:p>
    <w:p>
      <w:pPr>
        <w:adjustRightInd w:val="0"/>
        <w:snapToGrid w:val="0"/>
        <w:spacing w:line="360" w:lineRule="auto"/>
        <w:ind w:firstLine="548" w:firstLineChars="196"/>
        <w:rPr>
          <w:rFonts w:ascii="仿宋" w:hAnsi="仿宋" w:eastAsia="仿宋"/>
          <w:color w:val="auto"/>
          <w:sz w:val="28"/>
          <w:szCs w:val="28"/>
          <w:highlight w:val="none"/>
        </w:rPr>
      </w:pPr>
      <w:r>
        <w:rPr>
          <w:rFonts w:hint="eastAsia" w:ascii="仿宋" w:hAnsi="仿宋" w:eastAsia="仿宋"/>
          <w:color w:val="auto"/>
          <w:sz w:val="28"/>
          <w:szCs w:val="28"/>
          <w:highlight w:val="none"/>
        </w:rPr>
        <w:t>（4）负责体系的推广与部署工作。</w:t>
      </w:r>
    </w:p>
    <w:p>
      <w:pPr>
        <w:pStyle w:val="5"/>
        <w:spacing w:before="120" w:after="120"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3</w:t>
      </w:r>
      <w:r>
        <w:rPr>
          <w:rFonts w:hint="eastAsia" w:asciiTheme="minorEastAsia" w:hAnsiTheme="minorEastAsia" w:eastAsiaTheme="minorEastAsia"/>
          <w:color w:val="auto"/>
          <w:sz w:val="28"/>
          <w:szCs w:val="28"/>
          <w:highlight w:val="none"/>
        </w:rPr>
        <w:t>.</w:t>
      </w:r>
      <w:r>
        <w:rPr>
          <w:rFonts w:hint="eastAsia" w:asciiTheme="minorEastAsia" w:hAnsiTheme="minorEastAsia" w:eastAsiaTheme="minorEastAsia"/>
          <w:color w:val="auto"/>
          <w:sz w:val="28"/>
          <w:szCs w:val="28"/>
          <w:highlight w:val="none"/>
          <w:lang w:val="en-US" w:eastAsia="zh-CN"/>
        </w:rPr>
        <w:t>1.3</w:t>
      </w:r>
      <w:r>
        <w:rPr>
          <w:rFonts w:hint="eastAsia" w:asciiTheme="minorEastAsia" w:hAnsiTheme="minorEastAsia" w:eastAsiaTheme="minorEastAsia"/>
          <w:color w:val="auto"/>
          <w:sz w:val="28"/>
          <w:szCs w:val="28"/>
          <w:highlight w:val="none"/>
        </w:rPr>
        <w:t>工作内容</w:t>
      </w:r>
    </w:p>
    <w:p>
      <w:pPr>
        <w:adjustRightInd w:val="0"/>
        <w:snapToGrid w:val="0"/>
        <w:spacing w:line="360" w:lineRule="auto"/>
        <w:ind w:firstLine="548" w:firstLineChars="196"/>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服务商</w:t>
      </w:r>
      <w:r>
        <w:rPr>
          <w:rFonts w:hint="eastAsia" w:ascii="仿宋" w:hAnsi="仿宋" w:eastAsia="仿宋"/>
          <w:color w:val="auto"/>
          <w:sz w:val="28"/>
          <w:szCs w:val="28"/>
          <w:highlight w:val="none"/>
        </w:rPr>
        <w:t>需协助采购方建立一套建立完善一套符合公司业务现状、高效实用、高价值、可落地执行、持续改进的标准过程体系，</w:t>
      </w:r>
      <w:r>
        <w:rPr>
          <w:rFonts w:hint="eastAsia" w:ascii="仿宋" w:hAnsi="仿宋" w:eastAsia="仿宋"/>
          <w:color w:val="auto"/>
          <w:sz w:val="28"/>
          <w:szCs w:val="28"/>
          <w:highlight w:val="none"/>
          <w:lang w:eastAsia="zh-CN"/>
        </w:rPr>
        <w:t>通过</w:t>
      </w:r>
      <w:r>
        <w:rPr>
          <w:rFonts w:hint="eastAsia" w:ascii="仿宋" w:hAnsi="仿宋" w:eastAsia="仿宋"/>
          <w:color w:val="auto"/>
          <w:sz w:val="28"/>
          <w:szCs w:val="28"/>
          <w:highlight w:val="none"/>
          <w:lang w:val="en-US" w:eastAsia="zh-CN"/>
        </w:rPr>
        <w:t>2023年监督审核，保持证书持续有效，</w:t>
      </w:r>
      <w:r>
        <w:rPr>
          <w:rFonts w:hint="eastAsia" w:ascii="仿宋" w:hAnsi="仿宋" w:eastAsia="仿宋"/>
          <w:color w:val="auto"/>
          <w:sz w:val="28"/>
          <w:szCs w:val="28"/>
          <w:highlight w:val="none"/>
        </w:rPr>
        <w:t>并具备通过信息技术服务运行维护服务能力成熟度模型三级评估的能力。</w:t>
      </w:r>
    </w:p>
    <w:p>
      <w:pPr>
        <w:adjustRightInd w:val="0"/>
        <w:snapToGrid w:val="0"/>
        <w:spacing w:line="360" w:lineRule="auto"/>
        <w:ind w:firstLine="548" w:firstLineChars="196"/>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服务商</w:t>
      </w:r>
      <w:r>
        <w:rPr>
          <w:rFonts w:hint="eastAsia" w:ascii="仿宋" w:hAnsi="仿宋" w:eastAsia="仿宋"/>
          <w:color w:val="auto"/>
          <w:sz w:val="28"/>
          <w:szCs w:val="28"/>
          <w:highlight w:val="none"/>
        </w:rPr>
        <w:t>在信息技术服务运行维护服务能力成熟度模型三级建设工作中的所需承担的工作内容包括但不限于：</w:t>
      </w:r>
    </w:p>
    <w:p>
      <w:pPr>
        <w:adjustRightInd w:val="0"/>
        <w:snapToGrid w:val="0"/>
        <w:spacing w:line="360" w:lineRule="auto"/>
        <w:ind w:firstLine="551" w:firstLineChars="196"/>
        <w:rPr>
          <w:rFonts w:ascii="仿宋" w:hAnsi="仿宋" w:eastAsia="仿宋"/>
          <w:b/>
          <w:color w:val="auto"/>
          <w:sz w:val="28"/>
          <w:szCs w:val="28"/>
          <w:highlight w:val="none"/>
        </w:rPr>
      </w:pPr>
      <w:r>
        <w:rPr>
          <w:rFonts w:hint="eastAsia" w:ascii="仿宋" w:hAnsi="仿宋" w:eastAsia="仿宋"/>
          <w:b/>
          <w:color w:val="auto"/>
          <w:sz w:val="28"/>
          <w:szCs w:val="28"/>
          <w:highlight w:val="none"/>
        </w:rPr>
        <w:t>诊断与分析</w:t>
      </w:r>
    </w:p>
    <w:p>
      <w:pPr>
        <w:adjustRightInd w:val="0"/>
        <w:snapToGrid w:val="0"/>
        <w:spacing w:line="360" w:lineRule="auto"/>
        <w:ind w:firstLine="548" w:firstLineChars="196"/>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服务商</w:t>
      </w:r>
      <w:r>
        <w:rPr>
          <w:rFonts w:hint="eastAsia" w:ascii="仿宋" w:hAnsi="仿宋" w:eastAsia="仿宋"/>
          <w:color w:val="auto"/>
          <w:sz w:val="28"/>
          <w:szCs w:val="28"/>
          <w:highlight w:val="none"/>
        </w:rPr>
        <w:t>需在每个重要阶段开展现场评估与差距分析工作，识别评估ITSS体系建设工作存在的问题与风险，提出改进建议与下一步的详细的行动计划。</w:t>
      </w:r>
    </w:p>
    <w:p>
      <w:pPr>
        <w:adjustRightInd w:val="0"/>
        <w:snapToGrid w:val="0"/>
        <w:spacing w:line="360" w:lineRule="auto"/>
        <w:ind w:firstLine="551" w:firstLineChars="196"/>
        <w:rPr>
          <w:rFonts w:ascii="仿宋" w:hAnsi="仿宋" w:eastAsia="仿宋"/>
          <w:b/>
          <w:color w:val="auto"/>
          <w:sz w:val="28"/>
          <w:szCs w:val="28"/>
          <w:highlight w:val="none"/>
        </w:rPr>
      </w:pPr>
      <w:r>
        <w:rPr>
          <w:rFonts w:hint="eastAsia" w:ascii="仿宋" w:hAnsi="仿宋" w:eastAsia="仿宋"/>
          <w:b/>
          <w:color w:val="auto"/>
          <w:sz w:val="28"/>
          <w:szCs w:val="28"/>
          <w:highlight w:val="none"/>
        </w:rPr>
        <w:t>设计与优化</w:t>
      </w:r>
    </w:p>
    <w:p>
      <w:pPr>
        <w:adjustRightInd w:val="0"/>
        <w:snapToGrid w:val="0"/>
        <w:spacing w:line="360" w:lineRule="auto"/>
        <w:ind w:firstLine="548" w:firstLineChars="196"/>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服务商</w:t>
      </w:r>
      <w:r>
        <w:rPr>
          <w:rFonts w:hint="eastAsia" w:ascii="仿宋" w:hAnsi="仿宋" w:eastAsia="仿宋"/>
          <w:color w:val="auto"/>
          <w:sz w:val="28"/>
          <w:szCs w:val="28"/>
          <w:highlight w:val="none"/>
        </w:rPr>
        <w:t>需结合评估结果与采购方现有标准过程体系，</w:t>
      </w:r>
      <w:r>
        <w:rPr>
          <w:rFonts w:hint="eastAsia" w:ascii="仿宋" w:hAnsi="仿宋" w:eastAsia="仿宋"/>
          <w:color w:val="auto"/>
          <w:sz w:val="28"/>
          <w:szCs w:val="28"/>
          <w:highlight w:val="none"/>
          <w:lang w:val="en-US" w:eastAsia="zh-CN"/>
        </w:rPr>
        <w:t>服务商</w:t>
      </w:r>
      <w:r>
        <w:rPr>
          <w:rFonts w:hint="eastAsia" w:ascii="仿宋" w:hAnsi="仿宋" w:eastAsia="仿宋"/>
          <w:color w:val="auto"/>
          <w:sz w:val="28"/>
          <w:szCs w:val="28"/>
          <w:highlight w:val="none"/>
        </w:rPr>
        <w:t>协助指导，协助采购方优化、完善当前的运维管理体系，充分满足ITSS三级相关过程域的要求的标准过程体系。</w:t>
      </w:r>
    </w:p>
    <w:p>
      <w:pPr>
        <w:adjustRightInd w:val="0"/>
        <w:snapToGrid w:val="0"/>
        <w:spacing w:line="360" w:lineRule="auto"/>
        <w:ind w:firstLine="551" w:firstLineChars="196"/>
        <w:rPr>
          <w:rFonts w:ascii="仿宋" w:hAnsi="仿宋" w:eastAsia="仿宋"/>
          <w:b/>
          <w:color w:val="auto"/>
          <w:sz w:val="28"/>
          <w:szCs w:val="28"/>
          <w:highlight w:val="none"/>
        </w:rPr>
      </w:pPr>
      <w:r>
        <w:rPr>
          <w:rFonts w:hint="eastAsia" w:ascii="仿宋" w:hAnsi="仿宋" w:eastAsia="仿宋"/>
          <w:b/>
          <w:color w:val="auto"/>
          <w:sz w:val="28"/>
          <w:szCs w:val="28"/>
          <w:highlight w:val="none"/>
        </w:rPr>
        <w:t>试点与推广</w:t>
      </w:r>
    </w:p>
    <w:p>
      <w:pPr>
        <w:adjustRightInd w:val="0"/>
        <w:snapToGrid w:val="0"/>
        <w:spacing w:line="360" w:lineRule="auto"/>
        <w:ind w:firstLine="548" w:firstLineChars="196"/>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服务商</w:t>
      </w:r>
      <w:r>
        <w:rPr>
          <w:rFonts w:hint="eastAsia" w:ascii="仿宋" w:hAnsi="仿宋" w:eastAsia="仿宋"/>
          <w:color w:val="auto"/>
          <w:sz w:val="28"/>
          <w:szCs w:val="28"/>
          <w:highlight w:val="none"/>
        </w:rPr>
        <w:t>应协助、指导采购方开展体系的全面推广运行工作，通过试点推广在项目中导入标准过程体系，导入ITSS三级实践，同时满足ITSS三级评估证据提取的要求。</w:t>
      </w:r>
    </w:p>
    <w:p>
      <w:pPr>
        <w:adjustRightInd w:val="0"/>
        <w:snapToGrid w:val="0"/>
        <w:spacing w:line="360" w:lineRule="auto"/>
        <w:ind w:firstLine="551" w:firstLineChars="196"/>
        <w:rPr>
          <w:rFonts w:ascii="仿宋" w:hAnsi="仿宋" w:eastAsia="仿宋"/>
          <w:b/>
          <w:color w:val="auto"/>
          <w:sz w:val="28"/>
          <w:szCs w:val="28"/>
          <w:highlight w:val="none"/>
        </w:rPr>
      </w:pPr>
      <w:r>
        <w:rPr>
          <w:rFonts w:hint="eastAsia" w:ascii="仿宋" w:hAnsi="仿宋" w:eastAsia="仿宋"/>
          <w:b/>
          <w:color w:val="auto"/>
          <w:sz w:val="28"/>
          <w:szCs w:val="28"/>
          <w:highlight w:val="none"/>
        </w:rPr>
        <w:t>评估服务</w:t>
      </w:r>
    </w:p>
    <w:p>
      <w:pPr>
        <w:adjustRightInd w:val="0"/>
        <w:snapToGrid w:val="0"/>
        <w:spacing w:line="360" w:lineRule="auto"/>
        <w:ind w:firstLine="548" w:firstLineChars="196"/>
        <w:rPr>
          <w:rFonts w:asciiTheme="minorEastAsia" w:hAnsiTheme="minorEastAsia" w:eastAsiaTheme="minorEastAsia"/>
          <w:color w:val="auto"/>
          <w:sz w:val="24"/>
          <w:highlight w:val="none"/>
        </w:rPr>
      </w:pPr>
      <w:r>
        <w:rPr>
          <w:rFonts w:hint="eastAsia" w:ascii="仿宋" w:hAnsi="仿宋" w:eastAsia="仿宋"/>
          <w:color w:val="auto"/>
          <w:sz w:val="28"/>
          <w:szCs w:val="28"/>
          <w:highlight w:val="none"/>
          <w:lang w:val="en-US" w:eastAsia="zh-CN"/>
        </w:rPr>
        <w:t>服务商</w:t>
      </w:r>
      <w:r>
        <w:rPr>
          <w:rFonts w:hint="eastAsia" w:ascii="仿宋" w:hAnsi="仿宋" w:eastAsia="仿宋"/>
          <w:color w:val="auto"/>
          <w:sz w:val="28"/>
          <w:szCs w:val="28"/>
          <w:highlight w:val="none"/>
        </w:rPr>
        <w:t>应保证评估师的相关资质与资源，协助开展评估项目的遴选、管控、指导等工作，以确保项目满足ITSS三级的要求，并满足顺利通过ITSS三级的评估能力。</w:t>
      </w:r>
    </w:p>
    <w:p>
      <w:pPr>
        <w:pStyle w:val="6"/>
        <w:adjustRightInd w:val="0"/>
        <w:spacing w:beforeLines="50" w:afterLines="50" w:line="360" w:lineRule="auto"/>
        <w:rPr>
          <w:rFonts w:asciiTheme="minorEastAsia" w:hAnsiTheme="minorEastAsia"/>
          <w:color w:val="auto"/>
          <w:sz w:val="28"/>
          <w:highlight w:val="none"/>
        </w:rPr>
      </w:pPr>
      <w:r>
        <w:rPr>
          <w:rFonts w:hint="eastAsia" w:asciiTheme="minorEastAsia" w:hAnsiTheme="minorEastAsia"/>
          <w:color w:val="auto"/>
          <w:sz w:val="28"/>
          <w:highlight w:val="none"/>
          <w:lang w:val="en-US" w:eastAsia="zh-CN"/>
        </w:rPr>
        <w:t>4.</w:t>
      </w:r>
      <w:r>
        <w:rPr>
          <w:rFonts w:hint="eastAsia" w:asciiTheme="minorEastAsia" w:hAnsiTheme="minorEastAsia"/>
          <w:color w:val="auto"/>
          <w:sz w:val="28"/>
          <w:highlight w:val="none"/>
        </w:rPr>
        <w:t>服务期限</w:t>
      </w:r>
    </w:p>
    <w:p>
      <w:pPr>
        <w:adjustRightInd w:val="0"/>
        <w:snapToGrid w:val="0"/>
        <w:spacing w:line="360" w:lineRule="auto"/>
        <w:ind w:firstLine="548" w:firstLineChars="196"/>
        <w:rPr>
          <w:rFonts w:hint="default"/>
          <w:lang w:val="en-US"/>
        </w:rPr>
      </w:pPr>
      <w:r>
        <w:rPr>
          <w:rFonts w:hint="eastAsia" w:ascii="仿宋" w:hAnsi="仿宋" w:eastAsia="仿宋" w:cs="仿宋"/>
          <w:b w:val="0"/>
          <w:bCs/>
          <w:color w:val="auto"/>
          <w:sz w:val="28"/>
          <w:szCs w:val="28"/>
          <w:lang w:val="en-US" w:eastAsia="zh-CN"/>
        </w:rPr>
        <w:t>服务期限为4个月，自合同约定之日起算。</w:t>
      </w:r>
    </w:p>
    <w:p>
      <w:pPr>
        <w:pStyle w:val="6"/>
        <w:adjustRightInd w:val="0"/>
        <w:spacing w:beforeLines="50" w:afterLines="50" w:line="360" w:lineRule="auto"/>
        <w:rPr>
          <w:rFonts w:asciiTheme="minorEastAsia" w:hAnsiTheme="minorEastAsia"/>
          <w:color w:val="auto"/>
          <w:sz w:val="28"/>
          <w:highlight w:val="none"/>
        </w:rPr>
      </w:pPr>
      <w:r>
        <w:rPr>
          <w:rFonts w:hint="eastAsia" w:asciiTheme="minorEastAsia" w:hAnsiTheme="minorEastAsia"/>
          <w:color w:val="auto"/>
          <w:sz w:val="28"/>
          <w:highlight w:val="none"/>
          <w:lang w:val="en-US" w:eastAsia="zh-CN"/>
        </w:rPr>
        <w:t>5</w:t>
      </w:r>
      <w:r>
        <w:rPr>
          <w:rFonts w:hint="eastAsia" w:asciiTheme="minorEastAsia" w:hAnsiTheme="minorEastAsia"/>
          <w:color w:val="auto"/>
          <w:sz w:val="28"/>
          <w:highlight w:val="none"/>
        </w:rPr>
        <w:t>.服务响应</w:t>
      </w:r>
    </w:p>
    <w:p>
      <w:pPr>
        <w:adjustRightInd w:val="0"/>
        <w:snapToGrid w:val="0"/>
        <w:spacing w:line="360" w:lineRule="auto"/>
        <w:ind w:firstLine="548" w:firstLineChars="196"/>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对于远程服务（主要以电话、Email、MSN等进行远程技术支持），采购方提出的服务请求，</w:t>
      </w:r>
      <w:r>
        <w:rPr>
          <w:rFonts w:hint="eastAsia" w:ascii="仿宋" w:hAnsi="仿宋" w:eastAsia="仿宋"/>
          <w:color w:val="auto"/>
          <w:sz w:val="28"/>
          <w:szCs w:val="28"/>
          <w:highlight w:val="none"/>
          <w:lang w:val="en-US" w:eastAsia="zh-CN"/>
        </w:rPr>
        <w:t>服务商</w:t>
      </w:r>
      <w:r>
        <w:rPr>
          <w:rFonts w:hint="eastAsia" w:ascii="仿宋" w:hAnsi="仿宋" w:eastAsia="仿宋"/>
          <w:color w:val="auto"/>
          <w:sz w:val="28"/>
          <w:szCs w:val="28"/>
          <w:highlight w:val="none"/>
        </w:rPr>
        <w:t>需在1个工作日内响应（邮件或MSN回复反馈）；对于技术问题，咨询师应在1个工作日内提出最佳解决方案，如遇紧急情况，2个工作日内到达工作现场进行指导</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针对项目提供具体实施方案或计划，合理可行。现场服务不低于15天。</w:t>
      </w:r>
    </w:p>
    <w:p>
      <w:pPr>
        <w:pStyle w:val="9"/>
        <w:widowControl w:val="0"/>
        <w:numPr>
          <w:ilvl w:val="0"/>
          <w:numId w:val="0"/>
        </w:numPr>
        <w:spacing w:line="360" w:lineRule="auto"/>
        <w:jc w:val="left"/>
        <w:rPr>
          <w:rFonts w:hint="eastAsia" w:ascii="仿宋" w:hAnsi="仿宋" w:eastAsia="仿宋" w:cs="仿宋"/>
          <w:color w:val="auto"/>
          <w:sz w:val="28"/>
          <w:szCs w:val="28"/>
          <w:highlight w:val="none"/>
          <w:lang w:val="en-US" w:eastAsia="zh-CN"/>
        </w:rPr>
      </w:pPr>
      <w:r>
        <w:rPr>
          <w:rFonts w:hint="eastAsia" w:asciiTheme="minorEastAsia" w:hAnsiTheme="minorEastAsia" w:eastAsiaTheme="minorEastAsia" w:cstheme="minorBidi"/>
          <w:b/>
          <w:bCs/>
          <w:color w:val="auto"/>
          <w:kern w:val="2"/>
          <w:sz w:val="28"/>
          <w:szCs w:val="32"/>
          <w:highlight w:val="none"/>
          <w:lang w:val="en-US" w:eastAsia="zh-CN" w:bidi="ar-SA"/>
        </w:rPr>
        <w:t>6.服务商能力</w:t>
      </w:r>
    </w:p>
    <w:p>
      <w:pPr>
        <w:adjustRightInd w:val="0"/>
        <w:snapToGrid w:val="0"/>
        <w:spacing w:line="360" w:lineRule="auto"/>
        <w:ind w:firstLine="548" w:firstLineChars="196"/>
        <w:rPr>
          <w:rFonts w:hint="eastAsia" w:ascii="仿宋" w:hAnsi="仿宋" w:eastAsia="仿宋" w:cs="Times New Roman"/>
          <w:color w:val="auto"/>
          <w:sz w:val="28"/>
          <w:szCs w:val="28"/>
          <w:highlight w:val="none"/>
          <w:lang w:eastAsia="zh-CN"/>
        </w:rPr>
      </w:pPr>
      <w:bookmarkStart w:id="0" w:name="_Toc18891"/>
      <w:r>
        <w:rPr>
          <w:rFonts w:hint="eastAsia" w:ascii="仿宋" w:hAnsi="仿宋" w:eastAsia="仿宋" w:cs="Times New Roman"/>
          <w:color w:val="auto"/>
          <w:sz w:val="28"/>
          <w:szCs w:val="28"/>
          <w:highlight w:val="none"/>
          <w:lang w:eastAsia="zh-CN"/>
        </w:rPr>
        <w:t>（</w:t>
      </w:r>
      <w:r>
        <w:rPr>
          <w:rFonts w:hint="eastAsia" w:ascii="仿宋" w:hAnsi="仿宋" w:eastAsia="仿宋" w:cs="Times New Roman"/>
          <w:color w:val="auto"/>
          <w:sz w:val="28"/>
          <w:szCs w:val="28"/>
          <w:highlight w:val="none"/>
          <w:lang w:val="en-US" w:eastAsia="zh-CN"/>
        </w:rPr>
        <w:t>1</w:t>
      </w:r>
      <w:r>
        <w:rPr>
          <w:rFonts w:hint="eastAsia" w:ascii="仿宋" w:hAnsi="仿宋" w:eastAsia="仿宋" w:cs="Times New Roman"/>
          <w:color w:val="auto"/>
          <w:sz w:val="28"/>
          <w:szCs w:val="28"/>
          <w:highlight w:val="none"/>
          <w:lang w:eastAsia="zh-CN"/>
        </w:rPr>
        <w:t>）</w:t>
      </w:r>
      <w:r>
        <w:rPr>
          <w:rFonts w:hint="eastAsia" w:ascii="仿宋" w:hAnsi="仿宋" w:eastAsia="仿宋" w:cs="Times New Roman"/>
          <w:color w:val="auto"/>
          <w:sz w:val="28"/>
          <w:szCs w:val="28"/>
          <w:highlight w:val="none"/>
        </w:rPr>
        <w:t>公司正常经营并具备相应资信能力</w:t>
      </w:r>
      <w:r>
        <w:rPr>
          <w:rFonts w:hint="eastAsia" w:ascii="仿宋" w:hAnsi="仿宋" w:eastAsia="仿宋" w:cs="Times New Roman"/>
          <w:color w:val="auto"/>
          <w:sz w:val="28"/>
          <w:szCs w:val="28"/>
          <w:highlight w:val="none"/>
          <w:lang w:eastAsia="zh-CN"/>
        </w:rPr>
        <w:t>（提供</w:t>
      </w:r>
      <w:r>
        <w:rPr>
          <w:rFonts w:hint="default" w:ascii="仿宋" w:hAnsi="仿宋" w:eastAsia="仿宋" w:cs="Times New Roman"/>
          <w:color w:val="auto"/>
          <w:sz w:val="28"/>
          <w:szCs w:val="28"/>
          <w:highlight w:val="none"/>
          <w:lang w:eastAsia="zh-CN"/>
        </w:rPr>
        <w:t>信用中国官网下载</w:t>
      </w:r>
      <w:r>
        <w:rPr>
          <w:rFonts w:hint="eastAsia" w:ascii="仿宋" w:hAnsi="仿宋" w:eastAsia="仿宋" w:cs="Times New Roman"/>
          <w:color w:val="auto"/>
          <w:sz w:val="28"/>
          <w:szCs w:val="28"/>
          <w:highlight w:val="none"/>
          <w:lang w:eastAsia="zh-CN"/>
        </w:rPr>
        <w:t>的近一个月</w:t>
      </w:r>
      <w:r>
        <w:rPr>
          <w:rFonts w:hint="default" w:ascii="仿宋" w:hAnsi="仿宋" w:eastAsia="仿宋" w:cs="Times New Roman"/>
          <w:color w:val="auto"/>
          <w:sz w:val="28"/>
          <w:szCs w:val="28"/>
          <w:highlight w:val="none"/>
          <w:lang w:eastAsia="zh-CN"/>
        </w:rPr>
        <w:t>企业信用报告</w:t>
      </w:r>
      <w:r>
        <w:rPr>
          <w:rFonts w:hint="eastAsia" w:ascii="仿宋" w:hAnsi="仿宋" w:eastAsia="仿宋" w:cs="Times New Roman"/>
          <w:color w:val="auto"/>
          <w:sz w:val="28"/>
          <w:szCs w:val="28"/>
          <w:highlight w:val="none"/>
          <w:lang w:eastAsia="zh-CN"/>
        </w:rPr>
        <w:t>）</w:t>
      </w:r>
      <w:r>
        <w:rPr>
          <w:rFonts w:hint="eastAsia" w:ascii="仿宋" w:hAnsi="仿宋" w:eastAsia="仿宋" w:cs="Times New Roman"/>
          <w:color w:val="auto"/>
          <w:sz w:val="28"/>
          <w:szCs w:val="28"/>
          <w:highlight w:val="none"/>
        </w:rPr>
        <w:t>、相关项目业绩</w:t>
      </w:r>
      <w:r>
        <w:rPr>
          <w:rFonts w:hint="eastAsia" w:ascii="仿宋" w:hAnsi="仿宋" w:eastAsia="仿宋" w:cs="Times New Roman"/>
          <w:color w:val="auto"/>
          <w:sz w:val="28"/>
          <w:szCs w:val="28"/>
          <w:highlight w:val="none"/>
          <w:lang w:eastAsia="zh-CN"/>
        </w:rPr>
        <w:t>（</w:t>
      </w:r>
      <w:r>
        <w:rPr>
          <w:rFonts w:hint="eastAsia" w:ascii="仿宋" w:hAnsi="仿宋" w:eastAsia="仿宋" w:cs="Times New Roman"/>
          <w:color w:val="auto"/>
          <w:sz w:val="28"/>
          <w:szCs w:val="28"/>
          <w:highlight w:val="none"/>
          <w:lang w:val="en-US" w:eastAsia="zh-CN"/>
        </w:rPr>
        <w:t>提供报价截止日前36个月</w:t>
      </w:r>
      <w:r>
        <w:rPr>
          <w:rFonts w:hint="eastAsia" w:ascii="仿宋" w:hAnsi="仿宋" w:eastAsia="仿宋" w:cs="仿宋"/>
          <w:sz w:val="28"/>
          <w:szCs w:val="28"/>
          <w:lang w:val="en-US" w:eastAsia="zh-CN"/>
        </w:rPr>
        <w:t>ITSS三级及以上级别咨询评估项目领域具有至少5项项目成功经验。</w:t>
      </w:r>
    </w:p>
    <w:p>
      <w:pPr>
        <w:numPr>
          <w:ilvl w:val="0"/>
          <w:numId w:val="0"/>
        </w:numPr>
        <w:adjustRightInd w:val="0"/>
        <w:snapToGrid w:val="0"/>
        <w:spacing w:line="360" w:lineRule="auto"/>
        <w:ind w:firstLine="560" w:firstLineChars="200"/>
        <w:rPr>
          <w:rFonts w:hint="eastAsia"/>
          <w:lang w:val="en-US" w:eastAsia="zh-CN"/>
        </w:rPr>
      </w:pPr>
      <w:r>
        <w:rPr>
          <w:rFonts w:hint="eastAsia" w:ascii="仿宋" w:hAnsi="仿宋" w:eastAsia="仿宋" w:cs="Times New Roman"/>
          <w:b w:val="0"/>
          <w:bCs w:val="0"/>
          <w:color w:val="auto"/>
          <w:kern w:val="2"/>
          <w:sz w:val="28"/>
          <w:szCs w:val="28"/>
          <w:highlight w:val="none"/>
          <w:lang w:val="en-US" w:eastAsia="zh-CN" w:bidi="ar-SA"/>
        </w:rPr>
        <w:t>（2）提供团队人员不少于3人（1名项目经理，</w:t>
      </w:r>
      <w:r>
        <w:rPr>
          <w:rFonts w:hint="eastAsia" w:ascii="仿宋" w:hAnsi="仿宋" w:eastAsia="仿宋" w:cs="仿宋"/>
          <w:sz w:val="28"/>
          <w:szCs w:val="28"/>
        </w:rPr>
        <w:t>派驻具备相应资质和经验的稳定服务人员</w:t>
      </w:r>
      <w:r>
        <w:rPr>
          <w:rFonts w:hint="eastAsia" w:ascii="仿宋" w:hAnsi="仿宋" w:eastAsia="仿宋" w:cs="仿宋"/>
          <w:sz w:val="28"/>
          <w:szCs w:val="28"/>
          <w:lang w:eastAsia="zh-CN"/>
        </w:rPr>
        <w:t>不少于</w:t>
      </w:r>
      <w:r>
        <w:rPr>
          <w:rFonts w:hint="eastAsia" w:ascii="仿宋" w:hAnsi="仿宋" w:eastAsia="仿宋" w:cs="仿宋"/>
          <w:sz w:val="28"/>
          <w:szCs w:val="28"/>
          <w:lang w:val="en-US" w:eastAsia="zh-CN"/>
        </w:rPr>
        <w:t>2名</w:t>
      </w:r>
      <w:r>
        <w:rPr>
          <w:rFonts w:hint="eastAsia" w:ascii="仿宋" w:hAnsi="仿宋" w:eastAsia="仿宋" w:cs="Times New Roman"/>
          <w:b w:val="0"/>
          <w:bCs w:val="0"/>
          <w:color w:val="auto"/>
          <w:kern w:val="2"/>
          <w:sz w:val="28"/>
          <w:szCs w:val="28"/>
          <w:highlight w:val="none"/>
          <w:lang w:val="en-US" w:eastAsia="zh-CN" w:bidi="ar-SA"/>
        </w:rPr>
        <w:t>）（须提供近一个月的社保缴纳证明）开展服务</w:t>
      </w:r>
      <w:r>
        <w:rPr>
          <w:rFonts w:hint="eastAsia" w:ascii="仿宋" w:hAnsi="仿宋" w:eastAsia="仿宋" w:cs="仿宋"/>
          <w:sz w:val="28"/>
          <w:szCs w:val="28"/>
          <w:lang w:val="en-US" w:eastAsia="zh-CN"/>
        </w:rPr>
        <w:t>。其中，项目经理具有信息系统项目管理师高级职称</w:t>
      </w:r>
      <w:bookmarkEnd w:id="0"/>
      <w:r>
        <w:rPr>
          <w:rFonts w:hint="eastAsia" w:ascii="仿宋" w:hAnsi="仿宋" w:eastAsia="仿宋" w:cs="仿宋"/>
          <w:sz w:val="28"/>
          <w:szCs w:val="28"/>
        </w:rPr>
        <w:t>。</w:t>
      </w:r>
    </w:p>
    <w:p>
      <w:pPr>
        <w:pStyle w:val="5"/>
        <w:adjustRightInd w:val="0"/>
        <w:spacing w:beforeLines="50" w:afterLines="50"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7.</w:t>
      </w:r>
      <w:r>
        <w:rPr>
          <w:rFonts w:hint="eastAsia" w:asciiTheme="minorEastAsia" w:hAnsiTheme="minorEastAsia" w:eastAsiaTheme="minorEastAsia"/>
          <w:color w:val="auto"/>
          <w:sz w:val="28"/>
          <w:szCs w:val="28"/>
          <w:highlight w:val="none"/>
        </w:rPr>
        <w:t>其他要求</w:t>
      </w:r>
    </w:p>
    <w:p>
      <w:pPr>
        <w:pStyle w:val="6"/>
        <w:adjustRightInd w:val="0"/>
        <w:spacing w:beforeLines="50" w:afterLines="50" w:line="360" w:lineRule="auto"/>
        <w:rPr>
          <w:rFonts w:asciiTheme="minorEastAsia" w:hAnsiTheme="minorEastAsia"/>
          <w:color w:val="auto"/>
          <w:sz w:val="28"/>
          <w:highlight w:val="none"/>
        </w:rPr>
      </w:pPr>
      <w:r>
        <w:rPr>
          <w:rFonts w:hint="eastAsia" w:asciiTheme="minorEastAsia" w:hAnsiTheme="minorEastAsia"/>
          <w:color w:val="auto"/>
          <w:sz w:val="28"/>
          <w:highlight w:val="none"/>
          <w:lang w:val="en-US" w:eastAsia="zh-CN"/>
        </w:rPr>
        <w:t>7</w:t>
      </w:r>
      <w:r>
        <w:rPr>
          <w:rFonts w:hint="eastAsia" w:asciiTheme="minorEastAsia" w:hAnsiTheme="minorEastAsia"/>
          <w:color w:val="auto"/>
          <w:sz w:val="28"/>
          <w:highlight w:val="none"/>
        </w:rPr>
        <w:t>.1保障性要求</w:t>
      </w:r>
    </w:p>
    <w:p>
      <w:pPr>
        <w:pStyle w:val="9"/>
        <w:numPr>
          <w:ilvl w:val="0"/>
          <w:numId w:val="0"/>
        </w:numPr>
        <w:spacing w:line="360" w:lineRule="auto"/>
        <w:ind w:firstLine="560" w:firstLineChars="200"/>
        <w:jc w:val="left"/>
        <w:rPr>
          <w:rFonts w:ascii="仿宋" w:hAnsi="仿宋" w:eastAsia="仿宋"/>
          <w:color w:val="auto"/>
          <w:sz w:val="28"/>
          <w:szCs w:val="32"/>
          <w:highlight w:val="none"/>
        </w:rPr>
      </w:pPr>
      <w:r>
        <w:rPr>
          <w:rFonts w:hint="eastAsia" w:ascii="仿宋" w:hAnsi="仿宋" w:eastAsia="仿宋"/>
          <w:color w:val="auto"/>
          <w:sz w:val="28"/>
          <w:szCs w:val="32"/>
          <w:highlight w:val="none"/>
          <w:lang w:eastAsia="zh-CN"/>
        </w:rPr>
        <w:t>（</w:t>
      </w:r>
      <w:r>
        <w:rPr>
          <w:rFonts w:hint="eastAsia" w:ascii="仿宋" w:hAnsi="仿宋" w:eastAsia="仿宋"/>
          <w:color w:val="auto"/>
          <w:sz w:val="28"/>
          <w:szCs w:val="32"/>
          <w:highlight w:val="none"/>
          <w:lang w:val="en-US" w:eastAsia="zh-CN"/>
        </w:rPr>
        <w:t>1</w:t>
      </w:r>
      <w:r>
        <w:rPr>
          <w:rFonts w:hint="eastAsia" w:ascii="仿宋" w:hAnsi="仿宋" w:eastAsia="仿宋"/>
          <w:color w:val="auto"/>
          <w:sz w:val="28"/>
          <w:szCs w:val="32"/>
          <w:highlight w:val="none"/>
          <w:lang w:eastAsia="zh-CN"/>
        </w:rPr>
        <w:t>）</w:t>
      </w:r>
      <w:r>
        <w:rPr>
          <w:rFonts w:hint="eastAsia" w:ascii="仿宋" w:hAnsi="仿宋" w:eastAsia="仿宋"/>
          <w:color w:val="auto"/>
          <w:sz w:val="28"/>
          <w:szCs w:val="32"/>
          <w:highlight w:val="none"/>
        </w:rPr>
        <w:t>整个咨询评估项目按照项目管理进行。</w:t>
      </w:r>
      <w:r>
        <w:rPr>
          <w:rFonts w:hint="eastAsia" w:ascii="仿宋" w:hAnsi="仿宋" w:eastAsia="仿宋"/>
          <w:color w:val="auto"/>
          <w:sz w:val="28"/>
          <w:szCs w:val="28"/>
          <w:highlight w:val="none"/>
          <w:lang w:val="en-US" w:eastAsia="zh-CN"/>
        </w:rPr>
        <w:t>服务商</w:t>
      </w:r>
      <w:r>
        <w:rPr>
          <w:rFonts w:hint="eastAsia" w:ascii="仿宋" w:hAnsi="仿宋" w:eastAsia="仿宋"/>
          <w:color w:val="auto"/>
          <w:sz w:val="28"/>
          <w:szCs w:val="32"/>
          <w:highlight w:val="none"/>
        </w:rPr>
        <w:t>的实施方案与工作计划需得到双方的一致认可。</w:t>
      </w:r>
    </w:p>
    <w:p>
      <w:pPr>
        <w:pStyle w:val="9"/>
        <w:numPr>
          <w:ilvl w:val="0"/>
          <w:numId w:val="0"/>
        </w:numPr>
        <w:spacing w:line="360" w:lineRule="auto"/>
        <w:ind w:firstLine="560" w:firstLineChars="200"/>
        <w:jc w:val="left"/>
        <w:rPr>
          <w:rFonts w:asciiTheme="minorEastAsia" w:hAnsiTheme="minorEastAsia"/>
          <w:color w:val="auto"/>
          <w:sz w:val="28"/>
          <w:highlight w:val="none"/>
        </w:rPr>
      </w:pPr>
      <w:r>
        <w:rPr>
          <w:rFonts w:hint="eastAsia" w:ascii="仿宋" w:hAnsi="仿宋" w:eastAsia="仿宋"/>
          <w:color w:val="auto"/>
          <w:sz w:val="28"/>
          <w:szCs w:val="32"/>
          <w:highlight w:val="none"/>
          <w:lang w:eastAsia="zh-CN"/>
        </w:rPr>
        <w:t>（</w:t>
      </w:r>
      <w:r>
        <w:rPr>
          <w:rFonts w:hint="eastAsia" w:ascii="仿宋" w:hAnsi="仿宋" w:eastAsia="仿宋"/>
          <w:color w:val="auto"/>
          <w:sz w:val="28"/>
          <w:szCs w:val="32"/>
          <w:highlight w:val="none"/>
          <w:lang w:val="en-US" w:eastAsia="zh-CN"/>
        </w:rPr>
        <w:t>2</w:t>
      </w:r>
      <w:r>
        <w:rPr>
          <w:rFonts w:hint="eastAsia" w:ascii="仿宋" w:hAnsi="仿宋" w:eastAsia="仿宋"/>
          <w:color w:val="auto"/>
          <w:sz w:val="28"/>
          <w:szCs w:val="32"/>
          <w:highlight w:val="none"/>
          <w:lang w:eastAsia="zh-CN"/>
        </w:rPr>
        <w:t>）服务商</w:t>
      </w:r>
      <w:r>
        <w:rPr>
          <w:rFonts w:hint="eastAsia" w:ascii="仿宋" w:hAnsi="仿宋" w:eastAsia="仿宋"/>
          <w:color w:val="auto"/>
          <w:sz w:val="28"/>
          <w:szCs w:val="32"/>
          <w:highlight w:val="none"/>
        </w:rPr>
        <w:t>在项目实施过程中，未经允许不能擅自更换咨询师。若咨询师能力未能满足工作要求或者工作态度不端正，采购方有权向</w:t>
      </w:r>
      <w:r>
        <w:rPr>
          <w:rFonts w:hint="eastAsia" w:ascii="仿宋" w:hAnsi="仿宋" w:eastAsia="仿宋"/>
          <w:color w:val="auto"/>
          <w:sz w:val="28"/>
          <w:szCs w:val="32"/>
          <w:highlight w:val="none"/>
          <w:lang w:eastAsia="zh-CN"/>
        </w:rPr>
        <w:t>服务商</w:t>
      </w:r>
      <w:r>
        <w:rPr>
          <w:rFonts w:hint="eastAsia" w:ascii="仿宋" w:hAnsi="仿宋" w:eastAsia="仿宋"/>
          <w:color w:val="auto"/>
          <w:sz w:val="28"/>
          <w:szCs w:val="32"/>
          <w:highlight w:val="none"/>
        </w:rPr>
        <w:t>提出更换咨询师的要求。</w:t>
      </w:r>
    </w:p>
    <w:p>
      <w:pPr>
        <w:pStyle w:val="6"/>
        <w:adjustRightInd w:val="0"/>
        <w:spacing w:beforeLines="50" w:afterLines="50" w:line="360" w:lineRule="auto"/>
        <w:rPr>
          <w:rFonts w:hint="eastAsia" w:asciiTheme="minorEastAsia" w:hAnsiTheme="minorEastAsia"/>
          <w:color w:val="auto"/>
          <w:sz w:val="28"/>
          <w:highlight w:val="none"/>
          <w:lang w:val="en-US" w:eastAsia="zh-CN"/>
        </w:rPr>
      </w:pPr>
      <w:r>
        <w:rPr>
          <w:rFonts w:hint="eastAsia" w:asciiTheme="minorEastAsia" w:hAnsiTheme="minorEastAsia"/>
          <w:color w:val="auto"/>
          <w:sz w:val="28"/>
          <w:highlight w:val="none"/>
          <w:lang w:val="en-US" w:eastAsia="zh-CN"/>
        </w:rPr>
        <w:t>7.2安全要求</w:t>
      </w:r>
    </w:p>
    <w:p>
      <w:pPr>
        <w:spacing w:line="360" w:lineRule="auto"/>
        <w:ind w:firstLine="560" w:firstLineChars="200"/>
        <w:jc w:val="left"/>
        <w:rPr>
          <w:rFonts w:ascii="仿宋" w:hAnsi="仿宋" w:eastAsia="仿宋"/>
          <w:color w:val="auto"/>
          <w:sz w:val="28"/>
          <w:szCs w:val="32"/>
          <w:highlight w:val="none"/>
        </w:rPr>
      </w:pPr>
      <w:r>
        <w:rPr>
          <w:rFonts w:hint="eastAsia" w:ascii="仿宋" w:hAnsi="仿宋" w:eastAsia="仿宋"/>
          <w:color w:val="auto"/>
          <w:sz w:val="28"/>
          <w:szCs w:val="32"/>
          <w:highlight w:val="none"/>
        </w:rPr>
        <w:t>双方不得</w:t>
      </w:r>
      <w:r>
        <w:rPr>
          <w:rFonts w:ascii="仿宋" w:hAnsi="仿宋" w:eastAsia="仿宋"/>
          <w:color w:val="auto"/>
          <w:sz w:val="28"/>
          <w:szCs w:val="32"/>
          <w:highlight w:val="none"/>
        </w:rPr>
        <w:t>向第三方泄露任何机密信息。双方应采取合理安全措施, 至少采取能确保其自身机密信息的保密措施。</w:t>
      </w:r>
      <w:r>
        <w:rPr>
          <w:rFonts w:hint="eastAsia" w:ascii="仿宋" w:hAnsi="仿宋" w:eastAsia="仿宋"/>
          <w:color w:val="auto"/>
          <w:sz w:val="28"/>
          <w:szCs w:val="32"/>
          <w:highlight w:val="none"/>
        </w:rPr>
        <w:t>双方</w:t>
      </w:r>
      <w:r>
        <w:rPr>
          <w:rFonts w:ascii="仿宋" w:hAnsi="仿宋" w:eastAsia="仿宋"/>
          <w:color w:val="auto"/>
          <w:sz w:val="28"/>
          <w:szCs w:val="32"/>
          <w:highlight w:val="none"/>
        </w:rPr>
        <w:t>只能向必须了解机密信息的员工透露机密信息。双方应与这些员工签订或达成协议，</w:t>
      </w:r>
      <w:r>
        <w:rPr>
          <w:rFonts w:hint="eastAsia" w:ascii="仿宋" w:hAnsi="仿宋" w:eastAsia="仿宋"/>
          <w:color w:val="auto"/>
          <w:sz w:val="28"/>
          <w:szCs w:val="32"/>
          <w:highlight w:val="none"/>
        </w:rPr>
        <w:t>公司保密</w:t>
      </w:r>
      <w:r>
        <w:rPr>
          <w:rFonts w:ascii="仿宋" w:hAnsi="仿宋" w:eastAsia="仿宋"/>
          <w:color w:val="auto"/>
          <w:sz w:val="28"/>
          <w:szCs w:val="32"/>
          <w:highlight w:val="none"/>
        </w:rPr>
        <w:t>信息包括，但不限于：</w:t>
      </w:r>
    </w:p>
    <w:p>
      <w:pPr>
        <w:pStyle w:val="9"/>
        <w:numPr>
          <w:ilvl w:val="0"/>
          <w:numId w:val="0"/>
        </w:numPr>
        <w:spacing w:line="360" w:lineRule="auto"/>
        <w:ind w:left="480" w:leftChars="0"/>
        <w:jc w:val="left"/>
        <w:rPr>
          <w:rFonts w:hint="eastAsia" w:ascii="仿宋" w:hAnsi="仿宋" w:eastAsia="仿宋"/>
          <w:color w:val="auto"/>
          <w:sz w:val="28"/>
          <w:szCs w:val="32"/>
          <w:highlight w:val="none"/>
          <w:lang w:eastAsia="zh-CN"/>
        </w:rPr>
      </w:pPr>
      <w:r>
        <w:rPr>
          <w:rFonts w:hint="eastAsia" w:ascii="仿宋" w:hAnsi="仿宋" w:eastAsia="仿宋"/>
          <w:color w:val="auto"/>
          <w:sz w:val="28"/>
          <w:szCs w:val="32"/>
          <w:highlight w:val="none"/>
          <w:lang w:eastAsia="zh-CN"/>
        </w:rPr>
        <w:t>（</w:t>
      </w:r>
      <w:r>
        <w:rPr>
          <w:rFonts w:hint="eastAsia" w:ascii="仿宋" w:hAnsi="仿宋" w:eastAsia="仿宋"/>
          <w:color w:val="auto"/>
          <w:sz w:val="28"/>
          <w:szCs w:val="32"/>
          <w:highlight w:val="none"/>
          <w:lang w:val="en-US" w:eastAsia="zh-CN"/>
        </w:rPr>
        <w:t>1</w:t>
      </w:r>
      <w:r>
        <w:rPr>
          <w:rFonts w:hint="eastAsia" w:ascii="仿宋" w:hAnsi="仿宋" w:eastAsia="仿宋"/>
          <w:color w:val="auto"/>
          <w:sz w:val="28"/>
          <w:szCs w:val="32"/>
          <w:highlight w:val="none"/>
          <w:lang w:eastAsia="zh-CN"/>
        </w:rPr>
        <w:t>）</w:t>
      </w:r>
      <w:r>
        <w:rPr>
          <w:rFonts w:ascii="仿宋" w:hAnsi="仿宋" w:eastAsia="仿宋"/>
          <w:color w:val="auto"/>
          <w:sz w:val="28"/>
          <w:szCs w:val="32"/>
          <w:highlight w:val="none"/>
        </w:rPr>
        <w:t>产品技术资料</w:t>
      </w:r>
      <w:r>
        <w:rPr>
          <w:rFonts w:hint="eastAsia" w:ascii="仿宋" w:hAnsi="仿宋" w:eastAsia="仿宋"/>
          <w:color w:val="auto"/>
          <w:sz w:val="28"/>
          <w:szCs w:val="32"/>
          <w:highlight w:val="none"/>
          <w:lang w:eastAsia="zh-CN"/>
        </w:rPr>
        <w:t>；</w:t>
      </w:r>
    </w:p>
    <w:p>
      <w:pPr>
        <w:pStyle w:val="9"/>
        <w:numPr>
          <w:ilvl w:val="0"/>
          <w:numId w:val="0"/>
        </w:numPr>
        <w:spacing w:line="360" w:lineRule="auto"/>
        <w:ind w:firstLine="560" w:firstLineChars="200"/>
        <w:jc w:val="left"/>
        <w:rPr>
          <w:rFonts w:hint="eastAsia" w:ascii="仿宋" w:hAnsi="仿宋" w:eastAsia="仿宋"/>
          <w:color w:val="auto"/>
          <w:sz w:val="28"/>
          <w:szCs w:val="32"/>
          <w:highlight w:val="none"/>
          <w:lang w:eastAsia="zh-CN"/>
        </w:rPr>
      </w:pPr>
      <w:r>
        <w:rPr>
          <w:rFonts w:hint="eastAsia" w:ascii="仿宋" w:hAnsi="仿宋" w:eastAsia="仿宋"/>
          <w:color w:val="auto"/>
          <w:sz w:val="28"/>
          <w:szCs w:val="32"/>
          <w:highlight w:val="none"/>
          <w:lang w:eastAsia="zh-CN"/>
        </w:rPr>
        <w:t>（</w:t>
      </w:r>
      <w:r>
        <w:rPr>
          <w:rFonts w:hint="eastAsia" w:ascii="仿宋" w:hAnsi="仿宋" w:eastAsia="仿宋"/>
          <w:color w:val="auto"/>
          <w:sz w:val="28"/>
          <w:szCs w:val="32"/>
          <w:highlight w:val="none"/>
          <w:lang w:val="en-US" w:eastAsia="zh-CN"/>
        </w:rPr>
        <w:t>2</w:t>
      </w:r>
      <w:r>
        <w:rPr>
          <w:rFonts w:hint="eastAsia" w:ascii="仿宋" w:hAnsi="仿宋" w:eastAsia="仿宋"/>
          <w:color w:val="auto"/>
          <w:sz w:val="28"/>
          <w:szCs w:val="32"/>
          <w:highlight w:val="none"/>
          <w:lang w:eastAsia="zh-CN"/>
        </w:rPr>
        <w:t>）</w:t>
      </w:r>
      <w:r>
        <w:rPr>
          <w:rFonts w:ascii="仿宋" w:hAnsi="仿宋" w:eastAsia="仿宋"/>
          <w:color w:val="auto"/>
          <w:sz w:val="28"/>
          <w:szCs w:val="32"/>
          <w:highlight w:val="none"/>
        </w:rPr>
        <w:t>经营举措</w:t>
      </w:r>
      <w:r>
        <w:rPr>
          <w:rFonts w:hint="eastAsia" w:ascii="仿宋" w:hAnsi="仿宋" w:eastAsia="仿宋"/>
          <w:color w:val="auto"/>
          <w:sz w:val="28"/>
          <w:szCs w:val="32"/>
          <w:highlight w:val="none"/>
          <w:lang w:eastAsia="zh-CN"/>
        </w:rPr>
        <w:t>；</w:t>
      </w:r>
    </w:p>
    <w:p>
      <w:pPr>
        <w:pStyle w:val="9"/>
        <w:numPr>
          <w:ilvl w:val="0"/>
          <w:numId w:val="0"/>
        </w:numPr>
        <w:spacing w:line="360" w:lineRule="auto"/>
        <w:ind w:left="480" w:leftChars="0"/>
        <w:jc w:val="left"/>
        <w:rPr>
          <w:rFonts w:hint="eastAsia" w:ascii="仿宋" w:hAnsi="仿宋" w:eastAsia="仿宋"/>
          <w:color w:val="auto"/>
          <w:sz w:val="28"/>
          <w:szCs w:val="32"/>
          <w:highlight w:val="none"/>
          <w:lang w:eastAsia="zh-CN"/>
        </w:rPr>
      </w:pPr>
      <w:r>
        <w:rPr>
          <w:rFonts w:hint="eastAsia" w:ascii="仿宋" w:hAnsi="仿宋" w:eastAsia="仿宋"/>
          <w:color w:val="auto"/>
          <w:sz w:val="28"/>
          <w:szCs w:val="32"/>
          <w:highlight w:val="none"/>
          <w:lang w:eastAsia="zh-CN"/>
        </w:rPr>
        <w:t>（</w:t>
      </w:r>
      <w:r>
        <w:rPr>
          <w:rFonts w:hint="eastAsia" w:ascii="仿宋" w:hAnsi="仿宋" w:eastAsia="仿宋"/>
          <w:color w:val="auto"/>
          <w:sz w:val="28"/>
          <w:szCs w:val="32"/>
          <w:highlight w:val="none"/>
          <w:lang w:val="en-US" w:eastAsia="zh-CN"/>
        </w:rPr>
        <w:t>3</w:t>
      </w:r>
      <w:r>
        <w:rPr>
          <w:rFonts w:hint="eastAsia" w:ascii="仿宋" w:hAnsi="仿宋" w:eastAsia="仿宋"/>
          <w:color w:val="auto"/>
          <w:sz w:val="28"/>
          <w:szCs w:val="32"/>
          <w:highlight w:val="none"/>
          <w:lang w:eastAsia="zh-CN"/>
        </w:rPr>
        <w:t>）</w:t>
      </w:r>
      <w:r>
        <w:rPr>
          <w:rFonts w:ascii="仿宋" w:hAnsi="仿宋" w:eastAsia="仿宋"/>
          <w:color w:val="auto"/>
          <w:sz w:val="28"/>
          <w:szCs w:val="32"/>
          <w:highlight w:val="none"/>
        </w:rPr>
        <w:t>未来发展计划</w:t>
      </w:r>
      <w:r>
        <w:rPr>
          <w:rFonts w:hint="eastAsia" w:ascii="仿宋" w:hAnsi="仿宋" w:eastAsia="仿宋"/>
          <w:color w:val="auto"/>
          <w:sz w:val="28"/>
          <w:szCs w:val="32"/>
          <w:highlight w:val="none"/>
          <w:lang w:eastAsia="zh-CN"/>
        </w:rPr>
        <w:t>；</w:t>
      </w:r>
    </w:p>
    <w:p>
      <w:pPr>
        <w:pStyle w:val="9"/>
        <w:numPr>
          <w:ilvl w:val="0"/>
          <w:numId w:val="0"/>
        </w:numPr>
        <w:spacing w:line="360" w:lineRule="auto"/>
        <w:ind w:left="480" w:leftChars="0"/>
        <w:jc w:val="left"/>
        <w:rPr>
          <w:rFonts w:hint="eastAsia" w:ascii="仿宋" w:hAnsi="仿宋" w:eastAsia="仿宋"/>
          <w:color w:val="auto"/>
          <w:sz w:val="28"/>
          <w:szCs w:val="32"/>
          <w:highlight w:val="none"/>
          <w:lang w:eastAsia="zh-CN"/>
        </w:rPr>
      </w:pPr>
      <w:r>
        <w:rPr>
          <w:rFonts w:hint="eastAsia" w:ascii="仿宋" w:hAnsi="仿宋" w:eastAsia="仿宋"/>
          <w:color w:val="auto"/>
          <w:sz w:val="28"/>
          <w:szCs w:val="32"/>
          <w:highlight w:val="none"/>
          <w:lang w:eastAsia="zh-CN"/>
        </w:rPr>
        <w:t>（</w:t>
      </w:r>
      <w:r>
        <w:rPr>
          <w:rFonts w:hint="eastAsia" w:ascii="仿宋" w:hAnsi="仿宋" w:eastAsia="仿宋"/>
          <w:color w:val="auto"/>
          <w:sz w:val="28"/>
          <w:szCs w:val="32"/>
          <w:highlight w:val="none"/>
          <w:lang w:val="en-US" w:eastAsia="zh-CN"/>
        </w:rPr>
        <w:t>4</w:t>
      </w:r>
      <w:r>
        <w:rPr>
          <w:rFonts w:hint="eastAsia" w:ascii="仿宋" w:hAnsi="仿宋" w:eastAsia="仿宋"/>
          <w:color w:val="auto"/>
          <w:sz w:val="28"/>
          <w:szCs w:val="32"/>
          <w:highlight w:val="none"/>
          <w:lang w:eastAsia="zh-CN"/>
        </w:rPr>
        <w:t>）</w:t>
      </w:r>
      <w:r>
        <w:rPr>
          <w:rFonts w:ascii="仿宋" w:hAnsi="仿宋" w:eastAsia="仿宋"/>
          <w:color w:val="auto"/>
          <w:sz w:val="28"/>
          <w:szCs w:val="32"/>
          <w:highlight w:val="none"/>
        </w:rPr>
        <w:t>客户资料</w:t>
      </w:r>
      <w:r>
        <w:rPr>
          <w:rFonts w:hint="eastAsia" w:ascii="仿宋" w:hAnsi="仿宋" w:eastAsia="仿宋"/>
          <w:color w:val="auto"/>
          <w:sz w:val="28"/>
          <w:szCs w:val="32"/>
          <w:highlight w:val="none"/>
          <w:lang w:eastAsia="zh-CN"/>
        </w:rPr>
        <w:t>；</w:t>
      </w:r>
    </w:p>
    <w:p>
      <w:pPr>
        <w:pStyle w:val="9"/>
        <w:numPr>
          <w:ilvl w:val="0"/>
          <w:numId w:val="0"/>
        </w:numPr>
        <w:spacing w:line="360" w:lineRule="auto"/>
        <w:ind w:left="480" w:leftChars="0"/>
        <w:jc w:val="left"/>
        <w:rPr>
          <w:rFonts w:hint="eastAsia" w:ascii="仿宋" w:hAnsi="仿宋" w:eastAsia="仿宋"/>
          <w:color w:val="auto"/>
          <w:sz w:val="28"/>
          <w:szCs w:val="32"/>
          <w:highlight w:val="none"/>
          <w:lang w:eastAsia="zh-CN"/>
        </w:rPr>
      </w:pPr>
      <w:r>
        <w:rPr>
          <w:rFonts w:hint="eastAsia" w:ascii="仿宋" w:hAnsi="仿宋" w:eastAsia="仿宋"/>
          <w:color w:val="auto"/>
          <w:sz w:val="28"/>
          <w:szCs w:val="32"/>
          <w:highlight w:val="none"/>
          <w:lang w:eastAsia="zh-CN"/>
        </w:rPr>
        <w:t>（</w:t>
      </w:r>
      <w:r>
        <w:rPr>
          <w:rFonts w:hint="eastAsia" w:ascii="仿宋" w:hAnsi="仿宋" w:eastAsia="仿宋"/>
          <w:color w:val="auto"/>
          <w:sz w:val="28"/>
          <w:szCs w:val="32"/>
          <w:highlight w:val="none"/>
          <w:lang w:val="en-US" w:eastAsia="zh-CN"/>
        </w:rPr>
        <w:t>5</w:t>
      </w:r>
      <w:r>
        <w:rPr>
          <w:rFonts w:hint="eastAsia" w:ascii="仿宋" w:hAnsi="仿宋" w:eastAsia="仿宋"/>
          <w:color w:val="auto"/>
          <w:sz w:val="28"/>
          <w:szCs w:val="32"/>
          <w:highlight w:val="none"/>
          <w:lang w:eastAsia="zh-CN"/>
        </w:rPr>
        <w:t>）</w:t>
      </w:r>
      <w:r>
        <w:rPr>
          <w:rFonts w:ascii="仿宋" w:hAnsi="仿宋" w:eastAsia="仿宋"/>
          <w:color w:val="auto"/>
          <w:sz w:val="28"/>
          <w:szCs w:val="32"/>
          <w:highlight w:val="none"/>
        </w:rPr>
        <w:t>财务资料</w:t>
      </w:r>
      <w:r>
        <w:rPr>
          <w:rFonts w:hint="eastAsia" w:ascii="仿宋" w:hAnsi="仿宋" w:eastAsia="仿宋"/>
          <w:color w:val="auto"/>
          <w:sz w:val="28"/>
          <w:szCs w:val="32"/>
          <w:highlight w:val="none"/>
          <w:lang w:eastAsia="zh-CN"/>
        </w:rPr>
        <w:t>；</w:t>
      </w:r>
    </w:p>
    <w:p>
      <w:pPr>
        <w:pStyle w:val="9"/>
        <w:numPr>
          <w:ilvl w:val="0"/>
          <w:numId w:val="0"/>
        </w:numPr>
        <w:spacing w:line="360" w:lineRule="auto"/>
        <w:ind w:left="480" w:leftChars="0"/>
        <w:jc w:val="left"/>
        <w:rPr>
          <w:rFonts w:hint="eastAsia" w:ascii="仿宋" w:hAnsi="仿宋" w:eastAsia="仿宋"/>
          <w:color w:val="auto"/>
          <w:sz w:val="28"/>
          <w:szCs w:val="32"/>
          <w:highlight w:val="none"/>
          <w:lang w:eastAsia="zh-CN"/>
        </w:rPr>
      </w:pPr>
      <w:r>
        <w:rPr>
          <w:rFonts w:hint="eastAsia" w:ascii="仿宋" w:hAnsi="仿宋" w:eastAsia="仿宋"/>
          <w:color w:val="auto"/>
          <w:sz w:val="28"/>
          <w:szCs w:val="32"/>
          <w:highlight w:val="none"/>
          <w:lang w:eastAsia="zh-CN"/>
        </w:rPr>
        <w:t>（</w:t>
      </w:r>
      <w:r>
        <w:rPr>
          <w:rFonts w:hint="eastAsia" w:ascii="仿宋" w:hAnsi="仿宋" w:eastAsia="仿宋"/>
          <w:color w:val="auto"/>
          <w:sz w:val="28"/>
          <w:szCs w:val="32"/>
          <w:highlight w:val="none"/>
          <w:lang w:val="en-US" w:eastAsia="zh-CN"/>
        </w:rPr>
        <w:t>6</w:t>
      </w:r>
      <w:r>
        <w:rPr>
          <w:rFonts w:hint="eastAsia" w:ascii="仿宋" w:hAnsi="仿宋" w:eastAsia="仿宋"/>
          <w:color w:val="auto"/>
          <w:sz w:val="28"/>
          <w:szCs w:val="32"/>
          <w:highlight w:val="none"/>
          <w:lang w:eastAsia="zh-CN"/>
        </w:rPr>
        <w:t>）标准</w:t>
      </w:r>
      <w:r>
        <w:rPr>
          <w:rFonts w:ascii="仿宋" w:hAnsi="仿宋" w:eastAsia="仿宋"/>
          <w:color w:val="auto"/>
          <w:sz w:val="28"/>
          <w:szCs w:val="32"/>
          <w:highlight w:val="none"/>
        </w:rPr>
        <w:t>体系文件及内部规章制度等文件</w:t>
      </w:r>
      <w:r>
        <w:rPr>
          <w:rFonts w:hint="eastAsia" w:ascii="仿宋" w:hAnsi="仿宋" w:eastAsia="仿宋"/>
          <w:color w:val="auto"/>
          <w:sz w:val="28"/>
          <w:szCs w:val="32"/>
          <w:highlight w:val="none"/>
          <w:lang w:eastAsia="zh-CN"/>
        </w:rPr>
        <w:t>；</w:t>
      </w:r>
    </w:p>
    <w:p>
      <w:pPr>
        <w:pStyle w:val="9"/>
        <w:numPr>
          <w:ilvl w:val="0"/>
          <w:numId w:val="0"/>
        </w:numPr>
        <w:spacing w:line="360" w:lineRule="auto"/>
        <w:ind w:left="480" w:leftChars="0"/>
        <w:jc w:val="left"/>
        <w:rPr>
          <w:rFonts w:hint="eastAsia" w:ascii="仿宋" w:hAnsi="仿宋" w:eastAsia="仿宋"/>
          <w:color w:val="auto"/>
          <w:sz w:val="28"/>
          <w:szCs w:val="32"/>
          <w:highlight w:val="none"/>
          <w:lang w:eastAsia="zh-CN"/>
        </w:rPr>
      </w:pPr>
      <w:r>
        <w:rPr>
          <w:rFonts w:hint="eastAsia" w:ascii="仿宋" w:hAnsi="仿宋" w:eastAsia="仿宋"/>
          <w:color w:val="auto"/>
          <w:sz w:val="28"/>
          <w:szCs w:val="32"/>
          <w:highlight w:val="none"/>
          <w:lang w:eastAsia="zh-CN"/>
        </w:rPr>
        <w:t>（</w:t>
      </w:r>
      <w:r>
        <w:rPr>
          <w:rFonts w:hint="eastAsia" w:ascii="仿宋" w:hAnsi="仿宋" w:eastAsia="仿宋"/>
          <w:color w:val="auto"/>
          <w:sz w:val="28"/>
          <w:szCs w:val="32"/>
          <w:highlight w:val="none"/>
          <w:lang w:val="en-US" w:eastAsia="zh-CN"/>
        </w:rPr>
        <w:t>7</w:t>
      </w:r>
      <w:r>
        <w:rPr>
          <w:rFonts w:hint="eastAsia" w:ascii="仿宋" w:hAnsi="仿宋" w:eastAsia="仿宋"/>
          <w:color w:val="auto"/>
          <w:sz w:val="28"/>
          <w:szCs w:val="32"/>
          <w:highlight w:val="none"/>
          <w:lang w:eastAsia="zh-CN"/>
        </w:rPr>
        <w:t>）</w:t>
      </w:r>
      <w:r>
        <w:rPr>
          <w:rFonts w:ascii="仿宋" w:hAnsi="仿宋" w:eastAsia="仿宋"/>
          <w:color w:val="auto"/>
          <w:sz w:val="28"/>
          <w:szCs w:val="32"/>
          <w:highlight w:val="none"/>
        </w:rPr>
        <w:t>经营活动中所涉及到的其他商业秘密</w:t>
      </w:r>
      <w:r>
        <w:rPr>
          <w:rFonts w:hint="eastAsia" w:ascii="仿宋" w:hAnsi="仿宋" w:eastAsia="仿宋"/>
          <w:color w:val="auto"/>
          <w:sz w:val="28"/>
          <w:szCs w:val="32"/>
          <w:highlight w:val="none"/>
          <w:lang w:eastAsia="zh-CN"/>
        </w:rPr>
        <w:t>；</w:t>
      </w:r>
    </w:p>
    <w:p>
      <w:pPr>
        <w:pStyle w:val="9"/>
        <w:numPr>
          <w:ilvl w:val="0"/>
          <w:numId w:val="0"/>
        </w:numPr>
        <w:spacing w:line="360" w:lineRule="auto"/>
        <w:ind w:left="480" w:leftChars="0"/>
        <w:jc w:val="left"/>
        <w:rPr>
          <w:rFonts w:hint="eastAsia" w:ascii="仿宋" w:hAnsi="仿宋" w:eastAsia="仿宋"/>
          <w:color w:val="auto"/>
          <w:sz w:val="28"/>
          <w:szCs w:val="32"/>
          <w:highlight w:val="none"/>
          <w:lang w:eastAsia="zh-CN"/>
        </w:rPr>
      </w:pPr>
      <w:r>
        <w:rPr>
          <w:rFonts w:hint="eastAsia" w:ascii="仿宋" w:hAnsi="仿宋" w:eastAsia="仿宋"/>
          <w:color w:val="auto"/>
          <w:sz w:val="28"/>
          <w:szCs w:val="32"/>
          <w:highlight w:val="none"/>
          <w:lang w:eastAsia="zh-CN"/>
        </w:rPr>
        <w:t>（</w:t>
      </w:r>
      <w:r>
        <w:rPr>
          <w:rFonts w:hint="eastAsia" w:ascii="仿宋" w:hAnsi="仿宋" w:eastAsia="仿宋"/>
          <w:color w:val="auto"/>
          <w:sz w:val="28"/>
          <w:szCs w:val="32"/>
          <w:highlight w:val="none"/>
          <w:lang w:val="en-US" w:eastAsia="zh-CN"/>
        </w:rPr>
        <w:t>8</w:t>
      </w:r>
      <w:r>
        <w:rPr>
          <w:rFonts w:hint="eastAsia" w:ascii="仿宋" w:hAnsi="仿宋" w:eastAsia="仿宋"/>
          <w:color w:val="auto"/>
          <w:sz w:val="28"/>
          <w:szCs w:val="32"/>
          <w:highlight w:val="none"/>
          <w:lang w:eastAsia="zh-CN"/>
        </w:rPr>
        <w:t>）</w:t>
      </w:r>
      <w:r>
        <w:rPr>
          <w:rFonts w:ascii="仿宋" w:hAnsi="仿宋" w:eastAsia="仿宋"/>
          <w:color w:val="auto"/>
          <w:sz w:val="28"/>
          <w:szCs w:val="32"/>
          <w:highlight w:val="none"/>
        </w:rPr>
        <w:t>双方的访谈记录</w:t>
      </w:r>
      <w:r>
        <w:rPr>
          <w:rFonts w:hint="eastAsia" w:ascii="仿宋" w:hAnsi="仿宋" w:eastAsia="仿宋"/>
          <w:color w:val="auto"/>
          <w:sz w:val="28"/>
          <w:szCs w:val="32"/>
          <w:highlight w:val="none"/>
          <w:lang w:eastAsia="zh-CN"/>
        </w:rPr>
        <w:t>；</w:t>
      </w:r>
    </w:p>
    <w:p>
      <w:pPr>
        <w:pStyle w:val="9"/>
        <w:numPr>
          <w:ilvl w:val="0"/>
          <w:numId w:val="0"/>
        </w:numPr>
        <w:spacing w:line="360" w:lineRule="auto"/>
        <w:ind w:left="480" w:leftChars="0"/>
        <w:jc w:val="left"/>
        <w:rPr>
          <w:rFonts w:hint="eastAsia" w:ascii="仿宋" w:hAnsi="仿宋" w:eastAsia="仿宋"/>
          <w:color w:val="auto"/>
          <w:sz w:val="28"/>
          <w:szCs w:val="32"/>
          <w:highlight w:val="none"/>
          <w:lang w:val="en-US" w:eastAsia="zh-CN"/>
        </w:rPr>
      </w:pPr>
      <w:r>
        <w:rPr>
          <w:rFonts w:hint="eastAsia" w:ascii="仿宋" w:hAnsi="仿宋" w:eastAsia="仿宋"/>
          <w:color w:val="auto"/>
          <w:sz w:val="28"/>
          <w:szCs w:val="32"/>
          <w:highlight w:val="none"/>
          <w:lang w:eastAsia="zh-CN"/>
        </w:rPr>
        <w:t>（</w:t>
      </w:r>
      <w:r>
        <w:rPr>
          <w:rFonts w:hint="eastAsia" w:ascii="仿宋" w:hAnsi="仿宋" w:eastAsia="仿宋"/>
          <w:color w:val="auto"/>
          <w:sz w:val="28"/>
          <w:szCs w:val="32"/>
          <w:highlight w:val="none"/>
          <w:lang w:val="en-US" w:eastAsia="zh-CN"/>
        </w:rPr>
        <w:t>9</w:t>
      </w:r>
      <w:r>
        <w:rPr>
          <w:rFonts w:hint="eastAsia" w:ascii="仿宋" w:hAnsi="仿宋" w:eastAsia="仿宋"/>
          <w:color w:val="auto"/>
          <w:sz w:val="28"/>
          <w:szCs w:val="32"/>
          <w:highlight w:val="none"/>
          <w:lang w:eastAsia="zh-CN"/>
        </w:rPr>
        <w:t>）</w:t>
      </w:r>
      <w:r>
        <w:rPr>
          <w:rFonts w:ascii="仿宋" w:hAnsi="仿宋" w:eastAsia="仿宋"/>
          <w:color w:val="auto"/>
          <w:sz w:val="28"/>
          <w:szCs w:val="32"/>
          <w:highlight w:val="none"/>
        </w:rPr>
        <w:t>包括公司获取并有义务保密的信息，和被认为机密的口头信息</w:t>
      </w:r>
      <w:r>
        <w:rPr>
          <w:rFonts w:hint="eastAsia" w:ascii="仿宋" w:hAnsi="仿宋" w:eastAsia="仿宋"/>
          <w:color w:val="auto"/>
          <w:sz w:val="28"/>
          <w:szCs w:val="32"/>
          <w:highlight w:val="none"/>
          <w:lang w:eastAsia="zh-CN"/>
        </w:rPr>
        <w:t>。</w:t>
      </w:r>
    </w:p>
    <w:p>
      <w:pPr>
        <w:pStyle w:val="6"/>
        <w:adjustRightInd w:val="0"/>
        <w:spacing w:beforeLines="50" w:afterLines="50" w:line="360" w:lineRule="auto"/>
        <w:rPr>
          <w:rFonts w:hint="eastAsia" w:asciiTheme="minorEastAsia" w:hAnsiTheme="minorEastAsia"/>
          <w:color w:val="auto"/>
          <w:sz w:val="28"/>
          <w:highlight w:val="none"/>
          <w:lang w:val="en-US" w:eastAsia="zh-CN"/>
        </w:rPr>
      </w:pPr>
      <w:r>
        <w:rPr>
          <w:rFonts w:hint="eastAsia" w:asciiTheme="minorEastAsia" w:hAnsiTheme="minorEastAsia"/>
          <w:color w:val="auto"/>
          <w:sz w:val="28"/>
          <w:highlight w:val="none"/>
          <w:lang w:val="en-US" w:eastAsia="zh-CN"/>
        </w:rPr>
        <w:t>8.报价要求</w:t>
      </w:r>
    </w:p>
    <w:p>
      <w:pPr>
        <w:ind w:firstLine="560" w:firstLineChars="200"/>
        <w:rPr>
          <w:rFonts w:hint="eastAsia" w:ascii="仿宋" w:hAnsi="仿宋" w:eastAsia="仿宋" w:cs="Times New Roman"/>
          <w:color w:val="auto"/>
          <w:kern w:val="2"/>
          <w:sz w:val="28"/>
          <w:szCs w:val="28"/>
          <w:highlight w:val="none"/>
          <w:lang w:val="en-US" w:eastAsia="zh-CN" w:bidi="ar-SA"/>
        </w:rPr>
      </w:pPr>
      <w:r>
        <w:rPr>
          <w:rFonts w:hint="eastAsia" w:ascii="仿宋" w:hAnsi="仿宋" w:eastAsia="仿宋" w:cs="Times New Roman"/>
          <w:color w:val="auto"/>
          <w:kern w:val="2"/>
          <w:sz w:val="28"/>
          <w:szCs w:val="28"/>
          <w:highlight w:val="none"/>
          <w:lang w:val="en-US" w:eastAsia="zh-CN" w:bidi="ar-SA"/>
        </w:rPr>
        <w:t>本次采购服务包干报价，包含但不限于ITSS资质2024年监督审核咨询指导培训、审核以及审核老师差旅费、专家费等与该项目相关的所有费用。</w:t>
      </w:r>
    </w:p>
    <w:p>
      <w:pPr>
        <w:pStyle w:val="6"/>
        <w:numPr>
          <w:ilvl w:val="0"/>
          <w:numId w:val="3"/>
        </w:numPr>
        <w:adjustRightInd w:val="0"/>
        <w:spacing w:beforeLines="50" w:afterLines="50" w:line="360" w:lineRule="auto"/>
        <w:rPr>
          <w:rFonts w:hint="eastAsia" w:asciiTheme="minorEastAsia" w:hAnsiTheme="minorEastAsia"/>
          <w:color w:val="auto"/>
          <w:sz w:val="28"/>
          <w:highlight w:val="none"/>
          <w:lang w:val="en-US" w:eastAsia="zh-CN"/>
        </w:rPr>
      </w:pPr>
      <w:r>
        <w:rPr>
          <w:rFonts w:hint="eastAsia" w:asciiTheme="minorEastAsia" w:hAnsiTheme="minorEastAsia"/>
          <w:color w:val="auto"/>
          <w:sz w:val="28"/>
          <w:highlight w:val="none"/>
          <w:lang w:val="en-US" w:eastAsia="zh-CN"/>
        </w:rPr>
        <w:t>付款方式</w:t>
      </w:r>
    </w:p>
    <w:p>
      <w:pPr>
        <w:ind w:firstLine="560" w:firstLineChars="200"/>
        <w:rPr>
          <w:rFonts w:hint="eastAsia" w:ascii="仿宋" w:hAnsi="仿宋" w:eastAsia="仿宋" w:cs="Times New Roman"/>
          <w:color w:val="auto"/>
          <w:kern w:val="2"/>
          <w:sz w:val="28"/>
          <w:szCs w:val="28"/>
          <w:highlight w:val="none"/>
          <w:lang w:val="en-US" w:eastAsia="zh-CN" w:bidi="ar-SA"/>
        </w:rPr>
      </w:pPr>
      <w:r>
        <w:rPr>
          <w:rFonts w:hint="eastAsia" w:ascii="仿宋" w:hAnsi="仿宋" w:eastAsia="仿宋" w:cs="Times New Roman"/>
          <w:color w:val="auto"/>
          <w:kern w:val="2"/>
          <w:sz w:val="28"/>
          <w:szCs w:val="28"/>
          <w:highlight w:val="none"/>
          <w:lang w:val="en-US" w:eastAsia="zh-CN" w:bidi="ar-SA"/>
        </w:rPr>
        <w:t>服务商在规定时限内使采购方通过ITSS 监督审核，且证书持续有效，经采购方验收合格后提供符合国家税务规定及采购方财务要求的发票，采购方于收到发票后30天内一次性支付合同总价款。</w:t>
      </w:r>
    </w:p>
    <w:p>
      <w:pPr>
        <w:pStyle w:val="2"/>
        <w:tabs>
          <w:tab w:val="left" w:pos="525"/>
        </w:tabs>
        <w:ind w:firstLine="562" w:firstLineChars="200"/>
        <w:rPr>
          <w:rFonts w:hint="default"/>
          <w:b/>
          <w:bCs/>
          <w:lang w:val="en-US" w:eastAsia="zh-CN"/>
        </w:rPr>
      </w:pPr>
      <w:r>
        <w:rPr>
          <w:rFonts w:hint="eastAsia" w:ascii="仿宋" w:hAnsi="仿宋" w:eastAsia="仿宋" w:cs="Times New Roman"/>
          <w:b/>
          <w:bCs/>
          <w:color w:val="auto"/>
          <w:kern w:val="2"/>
          <w:sz w:val="28"/>
          <w:szCs w:val="28"/>
          <w:highlight w:val="none"/>
          <w:lang w:val="en-US" w:eastAsia="zh-CN" w:bidi="ar-SA"/>
        </w:rPr>
        <w:t>注：成交人须按照采购方要求在规定时限内使采购方通过ITSS 监督审核，采购方一次性支付合同价款， 若未能在规定时限内通过，采购方将不予支付合同价款。</w:t>
      </w:r>
    </w:p>
    <w:p>
      <w:pPr>
        <w:pStyle w:val="2"/>
        <w:rPr>
          <w:rFonts w:hint="eastAsia"/>
          <w:lang w:val="en-US" w:eastAsia="zh-CN"/>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CF7BDE"/>
    <w:multiLevelType w:val="singleLevel"/>
    <w:tmpl w:val="08CF7BDE"/>
    <w:lvl w:ilvl="0" w:tentative="0">
      <w:start w:val="9"/>
      <w:numFmt w:val="decimal"/>
      <w:lvlText w:val="%1."/>
      <w:lvlJc w:val="left"/>
      <w:pPr>
        <w:tabs>
          <w:tab w:val="left" w:pos="312"/>
        </w:tabs>
      </w:pPr>
    </w:lvl>
  </w:abstractNum>
  <w:abstractNum w:abstractNumId="1">
    <w:nsid w:val="20E235E1"/>
    <w:multiLevelType w:val="multilevel"/>
    <w:tmpl w:val="20E235E1"/>
    <w:lvl w:ilvl="0" w:tentative="0">
      <w:start w:val="6"/>
      <w:numFmt w:val="decimal"/>
      <w:pStyle w:val="3"/>
      <w:lvlText w:val="%1"/>
      <w:lvlJc w:val="left"/>
      <w:pPr>
        <w:tabs>
          <w:tab w:val="left" w:pos="360"/>
        </w:tabs>
        <w:ind w:left="360" w:hanging="360"/>
      </w:pPr>
      <w:rPr>
        <w:rFonts w:hint="default"/>
      </w:rPr>
    </w:lvl>
    <w:lvl w:ilvl="1" w:tentative="0">
      <w:start w:val="2"/>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
    <w:nsid w:val="523455DC"/>
    <w:multiLevelType w:val="multilevel"/>
    <w:tmpl w:val="523455DC"/>
    <w:lvl w:ilvl="0" w:tentative="0">
      <w:start w:val="1"/>
      <w:numFmt w:val="decimal"/>
      <w:lvlText w:val="%1."/>
      <w:lvlJc w:val="left"/>
      <w:pPr>
        <w:ind w:left="521" w:hanging="360"/>
      </w:pPr>
      <w:rPr>
        <w:rFonts w:hint="default"/>
      </w:rPr>
    </w:lvl>
    <w:lvl w:ilvl="1" w:tentative="0">
      <w:start w:val="1"/>
      <w:numFmt w:val="lowerLetter"/>
      <w:lvlText w:val="%2)"/>
      <w:lvlJc w:val="left"/>
      <w:pPr>
        <w:ind w:left="1001" w:hanging="420"/>
      </w:pPr>
    </w:lvl>
    <w:lvl w:ilvl="2" w:tentative="0">
      <w:start w:val="1"/>
      <w:numFmt w:val="lowerRoman"/>
      <w:lvlText w:val="%3."/>
      <w:lvlJc w:val="right"/>
      <w:pPr>
        <w:ind w:left="1421" w:hanging="420"/>
      </w:pPr>
    </w:lvl>
    <w:lvl w:ilvl="3" w:tentative="0">
      <w:start w:val="1"/>
      <w:numFmt w:val="decimal"/>
      <w:lvlText w:val="%4."/>
      <w:lvlJc w:val="left"/>
      <w:pPr>
        <w:ind w:left="1841" w:hanging="420"/>
      </w:pPr>
    </w:lvl>
    <w:lvl w:ilvl="4" w:tentative="0">
      <w:start w:val="1"/>
      <w:numFmt w:val="lowerLetter"/>
      <w:lvlText w:val="%5)"/>
      <w:lvlJc w:val="left"/>
      <w:pPr>
        <w:ind w:left="2261" w:hanging="420"/>
      </w:pPr>
    </w:lvl>
    <w:lvl w:ilvl="5" w:tentative="0">
      <w:start w:val="1"/>
      <w:numFmt w:val="lowerRoman"/>
      <w:lvlText w:val="%6."/>
      <w:lvlJc w:val="right"/>
      <w:pPr>
        <w:ind w:left="2681" w:hanging="420"/>
      </w:pPr>
    </w:lvl>
    <w:lvl w:ilvl="6" w:tentative="0">
      <w:start w:val="1"/>
      <w:numFmt w:val="decimal"/>
      <w:lvlText w:val="%7."/>
      <w:lvlJc w:val="left"/>
      <w:pPr>
        <w:ind w:left="3101" w:hanging="420"/>
      </w:pPr>
    </w:lvl>
    <w:lvl w:ilvl="7" w:tentative="0">
      <w:start w:val="1"/>
      <w:numFmt w:val="lowerLetter"/>
      <w:lvlText w:val="%8)"/>
      <w:lvlJc w:val="left"/>
      <w:pPr>
        <w:ind w:left="3521" w:hanging="420"/>
      </w:pPr>
    </w:lvl>
    <w:lvl w:ilvl="8" w:tentative="0">
      <w:start w:val="1"/>
      <w:numFmt w:val="lowerRoman"/>
      <w:lvlText w:val="%9."/>
      <w:lvlJc w:val="right"/>
      <w:pPr>
        <w:ind w:left="3941" w:hanging="420"/>
      </w:pPr>
    </w:lvl>
  </w:abstractNum>
  <w:num w:numId="1">
    <w:abstractNumId w:val="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C3C7C41"/>
    <w:rsid w:val="001A2C7F"/>
    <w:rsid w:val="001F5456"/>
    <w:rsid w:val="00214171"/>
    <w:rsid w:val="0023488B"/>
    <w:rsid w:val="00DF69A4"/>
    <w:rsid w:val="01B4697C"/>
    <w:rsid w:val="01DE35C5"/>
    <w:rsid w:val="01FA5195"/>
    <w:rsid w:val="02444D56"/>
    <w:rsid w:val="02A77201"/>
    <w:rsid w:val="02BD45BF"/>
    <w:rsid w:val="033B006F"/>
    <w:rsid w:val="037209FE"/>
    <w:rsid w:val="03961DA5"/>
    <w:rsid w:val="03A03E25"/>
    <w:rsid w:val="03A558D6"/>
    <w:rsid w:val="03AF0897"/>
    <w:rsid w:val="03B63D62"/>
    <w:rsid w:val="03CC6C0D"/>
    <w:rsid w:val="046F7112"/>
    <w:rsid w:val="04AD625D"/>
    <w:rsid w:val="04C46EF2"/>
    <w:rsid w:val="04EA1D79"/>
    <w:rsid w:val="04F12241"/>
    <w:rsid w:val="05274A7C"/>
    <w:rsid w:val="05493256"/>
    <w:rsid w:val="0556631C"/>
    <w:rsid w:val="056A2EC5"/>
    <w:rsid w:val="05A01502"/>
    <w:rsid w:val="05E451BA"/>
    <w:rsid w:val="05F55C45"/>
    <w:rsid w:val="062022BC"/>
    <w:rsid w:val="06425006"/>
    <w:rsid w:val="06472E01"/>
    <w:rsid w:val="06505547"/>
    <w:rsid w:val="0680582F"/>
    <w:rsid w:val="06B53217"/>
    <w:rsid w:val="071E6184"/>
    <w:rsid w:val="07264597"/>
    <w:rsid w:val="07365FD3"/>
    <w:rsid w:val="077310AC"/>
    <w:rsid w:val="07822517"/>
    <w:rsid w:val="078831A0"/>
    <w:rsid w:val="07BA75EE"/>
    <w:rsid w:val="07E80FCF"/>
    <w:rsid w:val="08470DA2"/>
    <w:rsid w:val="08A0346A"/>
    <w:rsid w:val="08C600B7"/>
    <w:rsid w:val="08D936A0"/>
    <w:rsid w:val="08E67B39"/>
    <w:rsid w:val="092D7784"/>
    <w:rsid w:val="097E6986"/>
    <w:rsid w:val="09C94F0E"/>
    <w:rsid w:val="0A0C200B"/>
    <w:rsid w:val="0A327864"/>
    <w:rsid w:val="0A3D73AF"/>
    <w:rsid w:val="0A4E4FCE"/>
    <w:rsid w:val="0AA26546"/>
    <w:rsid w:val="0AF861B5"/>
    <w:rsid w:val="0B0B1A45"/>
    <w:rsid w:val="0B1F7092"/>
    <w:rsid w:val="0B523F3F"/>
    <w:rsid w:val="0BB22FB1"/>
    <w:rsid w:val="0C0342A2"/>
    <w:rsid w:val="0C3C7933"/>
    <w:rsid w:val="0C3C7C41"/>
    <w:rsid w:val="0C715AB4"/>
    <w:rsid w:val="0CEB0558"/>
    <w:rsid w:val="0CEE0DF7"/>
    <w:rsid w:val="0D123F2E"/>
    <w:rsid w:val="0D42697A"/>
    <w:rsid w:val="0D484832"/>
    <w:rsid w:val="0D4B3A82"/>
    <w:rsid w:val="0D5220E1"/>
    <w:rsid w:val="0D544A16"/>
    <w:rsid w:val="0D5907DA"/>
    <w:rsid w:val="0D6B4548"/>
    <w:rsid w:val="0D876B02"/>
    <w:rsid w:val="0D916E5A"/>
    <w:rsid w:val="0D9C1C87"/>
    <w:rsid w:val="0DA50969"/>
    <w:rsid w:val="0DAB0BD0"/>
    <w:rsid w:val="0DB93102"/>
    <w:rsid w:val="0DC014A7"/>
    <w:rsid w:val="0EC11B5C"/>
    <w:rsid w:val="0F29068B"/>
    <w:rsid w:val="0F357EF5"/>
    <w:rsid w:val="0F407551"/>
    <w:rsid w:val="0F86540A"/>
    <w:rsid w:val="0FF41F15"/>
    <w:rsid w:val="1016504B"/>
    <w:rsid w:val="10341F58"/>
    <w:rsid w:val="10871E94"/>
    <w:rsid w:val="109A5B60"/>
    <w:rsid w:val="10D250E4"/>
    <w:rsid w:val="1105099F"/>
    <w:rsid w:val="112537FD"/>
    <w:rsid w:val="11362589"/>
    <w:rsid w:val="116503E2"/>
    <w:rsid w:val="118152D6"/>
    <w:rsid w:val="1188347C"/>
    <w:rsid w:val="11CD3EB8"/>
    <w:rsid w:val="11D211DA"/>
    <w:rsid w:val="11ED045A"/>
    <w:rsid w:val="120C32F1"/>
    <w:rsid w:val="121B2E5E"/>
    <w:rsid w:val="1252082E"/>
    <w:rsid w:val="126A1F94"/>
    <w:rsid w:val="12867E4B"/>
    <w:rsid w:val="12945C6E"/>
    <w:rsid w:val="12CB3C38"/>
    <w:rsid w:val="12CB56A4"/>
    <w:rsid w:val="12FF7CB0"/>
    <w:rsid w:val="13260A46"/>
    <w:rsid w:val="133274BF"/>
    <w:rsid w:val="13461BD4"/>
    <w:rsid w:val="13563C56"/>
    <w:rsid w:val="13622B6E"/>
    <w:rsid w:val="13815A18"/>
    <w:rsid w:val="13A227C9"/>
    <w:rsid w:val="13A54EB3"/>
    <w:rsid w:val="13B871D3"/>
    <w:rsid w:val="13CD47E0"/>
    <w:rsid w:val="13E446A6"/>
    <w:rsid w:val="13F3761E"/>
    <w:rsid w:val="13F5617A"/>
    <w:rsid w:val="1401385E"/>
    <w:rsid w:val="141768D2"/>
    <w:rsid w:val="141B4575"/>
    <w:rsid w:val="14AF0F7B"/>
    <w:rsid w:val="14CA1F65"/>
    <w:rsid w:val="15227E5E"/>
    <w:rsid w:val="15610848"/>
    <w:rsid w:val="159B7ECD"/>
    <w:rsid w:val="15BF3F23"/>
    <w:rsid w:val="16801905"/>
    <w:rsid w:val="16F425FA"/>
    <w:rsid w:val="170A28A1"/>
    <w:rsid w:val="17380A34"/>
    <w:rsid w:val="173D6048"/>
    <w:rsid w:val="17895DEE"/>
    <w:rsid w:val="179327B7"/>
    <w:rsid w:val="180E5A71"/>
    <w:rsid w:val="18651DA8"/>
    <w:rsid w:val="187A79CD"/>
    <w:rsid w:val="18A44ECB"/>
    <w:rsid w:val="18BF5DD5"/>
    <w:rsid w:val="18D5496E"/>
    <w:rsid w:val="18F63894"/>
    <w:rsid w:val="19167EB4"/>
    <w:rsid w:val="1919476B"/>
    <w:rsid w:val="19CA344C"/>
    <w:rsid w:val="19E232F5"/>
    <w:rsid w:val="1A592567"/>
    <w:rsid w:val="1A687185"/>
    <w:rsid w:val="1A802ADD"/>
    <w:rsid w:val="1A994D3F"/>
    <w:rsid w:val="1AA04ECD"/>
    <w:rsid w:val="1AC13DA5"/>
    <w:rsid w:val="1AD9016A"/>
    <w:rsid w:val="1B062862"/>
    <w:rsid w:val="1B234A15"/>
    <w:rsid w:val="1B2D2D56"/>
    <w:rsid w:val="1B2F13C1"/>
    <w:rsid w:val="1B4A159A"/>
    <w:rsid w:val="1B696F69"/>
    <w:rsid w:val="1B6D5D4B"/>
    <w:rsid w:val="1BB137EA"/>
    <w:rsid w:val="1BB5727C"/>
    <w:rsid w:val="1C1F699A"/>
    <w:rsid w:val="1C2A606B"/>
    <w:rsid w:val="1C390ECC"/>
    <w:rsid w:val="1C536D7D"/>
    <w:rsid w:val="1C7D0B4A"/>
    <w:rsid w:val="1CB85698"/>
    <w:rsid w:val="1CD37E60"/>
    <w:rsid w:val="1CFA0ACE"/>
    <w:rsid w:val="1D0B34D4"/>
    <w:rsid w:val="1D14001F"/>
    <w:rsid w:val="1D224C60"/>
    <w:rsid w:val="1D24668D"/>
    <w:rsid w:val="1D812B75"/>
    <w:rsid w:val="1D891B9C"/>
    <w:rsid w:val="1D901250"/>
    <w:rsid w:val="1DA02095"/>
    <w:rsid w:val="1DAE2360"/>
    <w:rsid w:val="1DD2549F"/>
    <w:rsid w:val="1E352C90"/>
    <w:rsid w:val="1E4F0962"/>
    <w:rsid w:val="1EDF128F"/>
    <w:rsid w:val="1EE9414B"/>
    <w:rsid w:val="1EED6D05"/>
    <w:rsid w:val="1F5E55D1"/>
    <w:rsid w:val="1F65788A"/>
    <w:rsid w:val="1F8246BA"/>
    <w:rsid w:val="1F8D7E84"/>
    <w:rsid w:val="1FAE208E"/>
    <w:rsid w:val="1FDB4E77"/>
    <w:rsid w:val="2005477B"/>
    <w:rsid w:val="20592E0C"/>
    <w:rsid w:val="206874F9"/>
    <w:rsid w:val="20D626CE"/>
    <w:rsid w:val="2102112C"/>
    <w:rsid w:val="21044AB7"/>
    <w:rsid w:val="211F357E"/>
    <w:rsid w:val="21614AB6"/>
    <w:rsid w:val="21A70DFC"/>
    <w:rsid w:val="21A769FC"/>
    <w:rsid w:val="21C26A6B"/>
    <w:rsid w:val="21C319CF"/>
    <w:rsid w:val="21C8681D"/>
    <w:rsid w:val="221646F7"/>
    <w:rsid w:val="2225331F"/>
    <w:rsid w:val="222A33DC"/>
    <w:rsid w:val="224B547B"/>
    <w:rsid w:val="229B651B"/>
    <w:rsid w:val="230015C5"/>
    <w:rsid w:val="2312759B"/>
    <w:rsid w:val="233350E5"/>
    <w:rsid w:val="23954AAD"/>
    <w:rsid w:val="23977779"/>
    <w:rsid w:val="23F202AD"/>
    <w:rsid w:val="24232C09"/>
    <w:rsid w:val="24472878"/>
    <w:rsid w:val="245761F0"/>
    <w:rsid w:val="24914955"/>
    <w:rsid w:val="24A55BC6"/>
    <w:rsid w:val="24B156AB"/>
    <w:rsid w:val="24C81693"/>
    <w:rsid w:val="251A5F29"/>
    <w:rsid w:val="256C3A92"/>
    <w:rsid w:val="25982CE0"/>
    <w:rsid w:val="25AE1527"/>
    <w:rsid w:val="25B76308"/>
    <w:rsid w:val="25CF4046"/>
    <w:rsid w:val="25F63D5F"/>
    <w:rsid w:val="26592ECE"/>
    <w:rsid w:val="2696658F"/>
    <w:rsid w:val="26CE4BBF"/>
    <w:rsid w:val="26EE72C7"/>
    <w:rsid w:val="26F123EF"/>
    <w:rsid w:val="270569F2"/>
    <w:rsid w:val="275B1AB8"/>
    <w:rsid w:val="27805234"/>
    <w:rsid w:val="27BC2700"/>
    <w:rsid w:val="27BF5D0A"/>
    <w:rsid w:val="27E509A5"/>
    <w:rsid w:val="27F11389"/>
    <w:rsid w:val="28414D06"/>
    <w:rsid w:val="284942C2"/>
    <w:rsid w:val="28831BFA"/>
    <w:rsid w:val="28831E45"/>
    <w:rsid w:val="28AE0696"/>
    <w:rsid w:val="28BC1531"/>
    <w:rsid w:val="29206656"/>
    <w:rsid w:val="29B07543"/>
    <w:rsid w:val="29BB6733"/>
    <w:rsid w:val="29CA3456"/>
    <w:rsid w:val="29D25903"/>
    <w:rsid w:val="2A1D73D9"/>
    <w:rsid w:val="2A5659EF"/>
    <w:rsid w:val="2A5903E5"/>
    <w:rsid w:val="2A656BBA"/>
    <w:rsid w:val="2ABE0E76"/>
    <w:rsid w:val="2AD527EB"/>
    <w:rsid w:val="2B4C0A9B"/>
    <w:rsid w:val="2B5E2793"/>
    <w:rsid w:val="2B653BD6"/>
    <w:rsid w:val="2B7018D3"/>
    <w:rsid w:val="2B9B53C5"/>
    <w:rsid w:val="2BDA750E"/>
    <w:rsid w:val="2C0D6479"/>
    <w:rsid w:val="2C264887"/>
    <w:rsid w:val="2C316433"/>
    <w:rsid w:val="2C3332AB"/>
    <w:rsid w:val="2C343A3F"/>
    <w:rsid w:val="2C63231F"/>
    <w:rsid w:val="2C8A08F2"/>
    <w:rsid w:val="2C995F6E"/>
    <w:rsid w:val="2D702158"/>
    <w:rsid w:val="2D9C143F"/>
    <w:rsid w:val="2DA322FE"/>
    <w:rsid w:val="2DC800B0"/>
    <w:rsid w:val="2E333A14"/>
    <w:rsid w:val="2E5904FF"/>
    <w:rsid w:val="2E7D6DD2"/>
    <w:rsid w:val="2EA55943"/>
    <w:rsid w:val="2EE104CC"/>
    <w:rsid w:val="2F2E6F67"/>
    <w:rsid w:val="2F32101B"/>
    <w:rsid w:val="2F7D3308"/>
    <w:rsid w:val="2FBC583F"/>
    <w:rsid w:val="3048287A"/>
    <w:rsid w:val="304F5876"/>
    <w:rsid w:val="306271A5"/>
    <w:rsid w:val="308A5734"/>
    <w:rsid w:val="309A4ACE"/>
    <w:rsid w:val="311105CB"/>
    <w:rsid w:val="31350A9D"/>
    <w:rsid w:val="3151745B"/>
    <w:rsid w:val="31C67BAA"/>
    <w:rsid w:val="31E004B7"/>
    <w:rsid w:val="31E522F8"/>
    <w:rsid w:val="31EF13A0"/>
    <w:rsid w:val="32433111"/>
    <w:rsid w:val="32BF53B2"/>
    <w:rsid w:val="32C90455"/>
    <w:rsid w:val="32ED383B"/>
    <w:rsid w:val="335E5C86"/>
    <w:rsid w:val="33940155"/>
    <w:rsid w:val="339A1BB6"/>
    <w:rsid w:val="33D52F1F"/>
    <w:rsid w:val="33FE128F"/>
    <w:rsid w:val="347B0AD7"/>
    <w:rsid w:val="347B7741"/>
    <w:rsid w:val="348B6911"/>
    <w:rsid w:val="34953CBF"/>
    <w:rsid w:val="34A721FA"/>
    <w:rsid w:val="34AD3867"/>
    <w:rsid w:val="34F174FB"/>
    <w:rsid w:val="34F37A7C"/>
    <w:rsid w:val="351C0ACD"/>
    <w:rsid w:val="352011C8"/>
    <w:rsid w:val="35294729"/>
    <w:rsid w:val="359E6C2D"/>
    <w:rsid w:val="35A7227D"/>
    <w:rsid w:val="35AA262E"/>
    <w:rsid w:val="35AC0618"/>
    <w:rsid w:val="35B979C0"/>
    <w:rsid w:val="35BD6CBD"/>
    <w:rsid w:val="35BF4758"/>
    <w:rsid w:val="35D419C8"/>
    <w:rsid w:val="35E20F3C"/>
    <w:rsid w:val="35F37039"/>
    <w:rsid w:val="35F875DC"/>
    <w:rsid w:val="36522F0C"/>
    <w:rsid w:val="36655DCB"/>
    <w:rsid w:val="36694E42"/>
    <w:rsid w:val="366F4784"/>
    <w:rsid w:val="367175B0"/>
    <w:rsid w:val="369200FC"/>
    <w:rsid w:val="369D661E"/>
    <w:rsid w:val="36B2112A"/>
    <w:rsid w:val="36DA6C43"/>
    <w:rsid w:val="36EC1A34"/>
    <w:rsid w:val="374E1E6B"/>
    <w:rsid w:val="3758369D"/>
    <w:rsid w:val="376D68DD"/>
    <w:rsid w:val="37BB77A9"/>
    <w:rsid w:val="37BC0EC3"/>
    <w:rsid w:val="37C02DA4"/>
    <w:rsid w:val="37CF6F31"/>
    <w:rsid w:val="3837703B"/>
    <w:rsid w:val="385B3C23"/>
    <w:rsid w:val="38C6396E"/>
    <w:rsid w:val="38C63B62"/>
    <w:rsid w:val="391408F4"/>
    <w:rsid w:val="3946792E"/>
    <w:rsid w:val="394E0BDD"/>
    <w:rsid w:val="39A5612A"/>
    <w:rsid w:val="39B653FD"/>
    <w:rsid w:val="39FA54A7"/>
    <w:rsid w:val="3A084694"/>
    <w:rsid w:val="3A230975"/>
    <w:rsid w:val="3A2A650B"/>
    <w:rsid w:val="3A90735E"/>
    <w:rsid w:val="3B066FA6"/>
    <w:rsid w:val="3B7440A0"/>
    <w:rsid w:val="3BBE6F03"/>
    <w:rsid w:val="3BDF5CA7"/>
    <w:rsid w:val="3BE974A1"/>
    <w:rsid w:val="3BFA33FD"/>
    <w:rsid w:val="3C5D38FC"/>
    <w:rsid w:val="3C7B1581"/>
    <w:rsid w:val="3C804FEA"/>
    <w:rsid w:val="3C9F4DE1"/>
    <w:rsid w:val="3CB21A4F"/>
    <w:rsid w:val="3CD76C93"/>
    <w:rsid w:val="3CDA71E9"/>
    <w:rsid w:val="3CDC6980"/>
    <w:rsid w:val="3CF016C8"/>
    <w:rsid w:val="3D1B6BC2"/>
    <w:rsid w:val="3D623146"/>
    <w:rsid w:val="3D6A0255"/>
    <w:rsid w:val="3D6A125B"/>
    <w:rsid w:val="3D9A2109"/>
    <w:rsid w:val="3DC864EC"/>
    <w:rsid w:val="3DE115FC"/>
    <w:rsid w:val="3DE51306"/>
    <w:rsid w:val="3E203E3B"/>
    <w:rsid w:val="3E59218B"/>
    <w:rsid w:val="3E8E37FC"/>
    <w:rsid w:val="3EB938C6"/>
    <w:rsid w:val="3EBA0342"/>
    <w:rsid w:val="3F2B2ACF"/>
    <w:rsid w:val="3F42569D"/>
    <w:rsid w:val="3F432EFC"/>
    <w:rsid w:val="3F611BC6"/>
    <w:rsid w:val="3F67634F"/>
    <w:rsid w:val="3FE00028"/>
    <w:rsid w:val="3FF313CF"/>
    <w:rsid w:val="3FFB476A"/>
    <w:rsid w:val="400F64D3"/>
    <w:rsid w:val="40337F64"/>
    <w:rsid w:val="405718E0"/>
    <w:rsid w:val="4065150F"/>
    <w:rsid w:val="409620D8"/>
    <w:rsid w:val="40A00B38"/>
    <w:rsid w:val="40D35E20"/>
    <w:rsid w:val="40D56590"/>
    <w:rsid w:val="410329C3"/>
    <w:rsid w:val="41581B1C"/>
    <w:rsid w:val="41593247"/>
    <w:rsid w:val="41A319F1"/>
    <w:rsid w:val="41C07EA7"/>
    <w:rsid w:val="41DD7CCA"/>
    <w:rsid w:val="41FE7EF8"/>
    <w:rsid w:val="42192F2E"/>
    <w:rsid w:val="422554A4"/>
    <w:rsid w:val="423768CC"/>
    <w:rsid w:val="42457E3B"/>
    <w:rsid w:val="428C0A03"/>
    <w:rsid w:val="4299056A"/>
    <w:rsid w:val="42B1072F"/>
    <w:rsid w:val="42CC0F41"/>
    <w:rsid w:val="42D43E57"/>
    <w:rsid w:val="42EF5148"/>
    <w:rsid w:val="430B4BAE"/>
    <w:rsid w:val="4326429A"/>
    <w:rsid w:val="43290635"/>
    <w:rsid w:val="433410A9"/>
    <w:rsid w:val="435758E8"/>
    <w:rsid w:val="43C12830"/>
    <w:rsid w:val="43EB18C3"/>
    <w:rsid w:val="44266D0D"/>
    <w:rsid w:val="447877E2"/>
    <w:rsid w:val="448C0207"/>
    <w:rsid w:val="449A4AA7"/>
    <w:rsid w:val="44A74169"/>
    <w:rsid w:val="44C600A0"/>
    <w:rsid w:val="44F06CA2"/>
    <w:rsid w:val="450055CC"/>
    <w:rsid w:val="450D18C7"/>
    <w:rsid w:val="453A5982"/>
    <w:rsid w:val="45472F65"/>
    <w:rsid w:val="45886DF6"/>
    <w:rsid w:val="458C442E"/>
    <w:rsid w:val="462C6418"/>
    <w:rsid w:val="463B12AF"/>
    <w:rsid w:val="46431218"/>
    <w:rsid w:val="464F7572"/>
    <w:rsid w:val="466765DF"/>
    <w:rsid w:val="468177FE"/>
    <w:rsid w:val="46A50CBB"/>
    <w:rsid w:val="46B153A2"/>
    <w:rsid w:val="46DE7C22"/>
    <w:rsid w:val="46F612B5"/>
    <w:rsid w:val="47244996"/>
    <w:rsid w:val="47260646"/>
    <w:rsid w:val="473C0218"/>
    <w:rsid w:val="47417C37"/>
    <w:rsid w:val="474F7571"/>
    <w:rsid w:val="477A27AD"/>
    <w:rsid w:val="47A65D88"/>
    <w:rsid w:val="47B35BC1"/>
    <w:rsid w:val="47DC18FF"/>
    <w:rsid w:val="48067ED8"/>
    <w:rsid w:val="486527F6"/>
    <w:rsid w:val="48700F1B"/>
    <w:rsid w:val="48B82599"/>
    <w:rsid w:val="48C46AD8"/>
    <w:rsid w:val="48CA4756"/>
    <w:rsid w:val="48D93A4A"/>
    <w:rsid w:val="48DD7AC0"/>
    <w:rsid w:val="48DF61AB"/>
    <w:rsid w:val="491173CB"/>
    <w:rsid w:val="491D34D0"/>
    <w:rsid w:val="492C1908"/>
    <w:rsid w:val="496E2005"/>
    <w:rsid w:val="498E69C6"/>
    <w:rsid w:val="49F531AD"/>
    <w:rsid w:val="4A1709A5"/>
    <w:rsid w:val="4A5B138E"/>
    <w:rsid w:val="4AAA1C5A"/>
    <w:rsid w:val="4AAA2401"/>
    <w:rsid w:val="4ACE5A37"/>
    <w:rsid w:val="4B4C115B"/>
    <w:rsid w:val="4B6260DF"/>
    <w:rsid w:val="4B847748"/>
    <w:rsid w:val="4BDE521D"/>
    <w:rsid w:val="4C241BE3"/>
    <w:rsid w:val="4C31634A"/>
    <w:rsid w:val="4C4056A5"/>
    <w:rsid w:val="4C4606A7"/>
    <w:rsid w:val="4C6336AB"/>
    <w:rsid w:val="4C653693"/>
    <w:rsid w:val="4C682796"/>
    <w:rsid w:val="4C8A28BF"/>
    <w:rsid w:val="4C965349"/>
    <w:rsid w:val="4C9A27EF"/>
    <w:rsid w:val="4C9E24B7"/>
    <w:rsid w:val="4CB2333F"/>
    <w:rsid w:val="4CC252D7"/>
    <w:rsid w:val="4D1A2B6E"/>
    <w:rsid w:val="4D916A6D"/>
    <w:rsid w:val="4DFE1F28"/>
    <w:rsid w:val="4DFF399C"/>
    <w:rsid w:val="4E3650BA"/>
    <w:rsid w:val="4E5023F1"/>
    <w:rsid w:val="4E5A51A8"/>
    <w:rsid w:val="4EBE3386"/>
    <w:rsid w:val="4ED45646"/>
    <w:rsid w:val="4EE21C1F"/>
    <w:rsid w:val="4EEB3D0B"/>
    <w:rsid w:val="4F435A24"/>
    <w:rsid w:val="4F6B035D"/>
    <w:rsid w:val="4FA04A59"/>
    <w:rsid w:val="4FBC3D26"/>
    <w:rsid w:val="4FE35F97"/>
    <w:rsid w:val="50312A44"/>
    <w:rsid w:val="503D60D0"/>
    <w:rsid w:val="503D60F3"/>
    <w:rsid w:val="50437227"/>
    <w:rsid w:val="504B40FD"/>
    <w:rsid w:val="506D32E1"/>
    <w:rsid w:val="508C1FC2"/>
    <w:rsid w:val="508C538F"/>
    <w:rsid w:val="50A85991"/>
    <w:rsid w:val="51017D79"/>
    <w:rsid w:val="516B6828"/>
    <w:rsid w:val="516E5251"/>
    <w:rsid w:val="51A92C90"/>
    <w:rsid w:val="51B535A3"/>
    <w:rsid w:val="51BE775A"/>
    <w:rsid w:val="52297399"/>
    <w:rsid w:val="524E3E5C"/>
    <w:rsid w:val="528A7BA2"/>
    <w:rsid w:val="52AE7934"/>
    <w:rsid w:val="52C3379B"/>
    <w:rsid w:val="530E298D"/>
    <w:rsid w:val="53235B71"/>
    <w:rsid w:val="535D4915"/>
    <w:rsid w:val="53654557"/>
    <w:rsid w:val="537A3588"/>
    <w:rsid w:val="53984E7D"/>
    <w:rsid w:val="53C20A41"/>
    <w:rsid w:val="543C48DD"/>
    <w:rsid w:val="54644B2F"/>
    <w:rsid w:val="54781121"/>
    <w:rsid w:val="54863D25"/>
    <w:rsid w:val="54D17C36"/>
    <w:rsid w:val="54F9037E"/>
    <w:rsid w:val="551C5C34"/>
    <w:rsid w:val="552622B6"/>
    <w:rsid w:val="55446443"/>
    <w:rsid w:val="55707B02"/>
    <w:rsid w:val="5575181B"/>
    <w:rsid w:val="5590242D"/>
    <w:rsid w:val="55BE1AEE"/>
    <w:rsid w:val="55F5767A"/>
    <w:rsid w:val="56257203"/>
    <w:rsid w:val="569F11E6"/>
    <w:rsid w:val="56DF2C08"/>
    <w:rsid w:val="573430E6"/>
    <w:rsid w:val="574D0FED"/>
    <w:rsid w:val="575D1790"/>
    <w:rsid w:val="57645EFC"/>
    <w:rsid w:val="57B6786F"/>
    <w:rsid w:val="57BF7F18"/>
    <w:rsid w:val="583F2B0C"/>
    <w:rsid w:val="5864666D"/>
    <w:rsid w:val="587851CD"/>
    <w:rsid w:val="58892B07"/>
    <w:rsid w:val="58B5411B"/>
    <w:rsid w:val="58E63550"/>
    <w:rsid w:val="58F60E1D"/>
    <w:rsid w:val="591A334D"/>
    <w:rsid w:val="599C7F5A"/>
    <w:rsid w:val="59A31B78"/>
    <w:rsid w:val="59B156E8"/>
    <w:rsid w:val="59BD5C2D"/>
    <w:rsid w:val="59E67F56"/>
    <w:rsid w:val="5A121617"/>
    <w:rsid w:val="5A1D2FA7"/>
    <w:rsid w:val="5A5C42D3"/>
    <w:rsid w:val="5A78438D"/>
    <w:rsid w:val="5A7B0D5E"/>
    <w:rsid w:val="5B5F10B7"/>
    <w:rsid w:val="5B6F0B99"/>
    <w:rsid w:val="5BEF158B"/>
    <w:rsid w:val="5C3659E1"/>
    <w:rsid w:val="5C5730CF"/>
    <w:rsid w:val="5C65767B"/>
    <w:rsid w:val="5CC70246"/>
    <w:rsid w:val="5CCB6DCD"/>
    <w:rsid w:val="5CE54CC8"/>
    <w:rsid w:val="5D25577B"/>
    <w:rsid w:val="5D6C31B5"/>
    <w:rsid w:val="5D777BE9"/>
    <w:rsid w:val="5DC00CC7"/>
    <w:rsid w:val="5DC11A7F"/>
    <w:rsid w:val="5E35077A"/>
    <w:rsid w:val="5E453574"/>
    <w:rsid w:val="5E516C88"/>
    <w:rsid w:val="5E563BB0"/>
    <w:rsid w:val="5F02312D"/>
    <w:rsid w:val="5F121C1F"/>
    <w:rsid w:val="5F1E2BB0"/>
    <w:rsid w:val="5F373849"/>
    <w:rsid w:val="5F9A5E70"/>
    <w:rsid w:val="5FA4246E"/>
    <w:rsid w:val="5FD4199E"/>
    <w:rsid w:val="5FF45DB6"/>
    <w:rsid w:val="602F02B9"/>
    <w:rsid w:val="60410D54"/>
    <w:rsid w:val="60626A8A"/>
    <w:rsid w:val="6063176D"/>
    <w:rsid w:val="606B6C29"/>
    <w:rsid w:val="60706727"/>
    <w:rsid w:val="607309FF"/>
    <w:rsid w:val="607D5FD0"/>
    <w:rsid w:val="60A028AD"/>
    <w:rsid w:val="60C30061"/>
    <w:rsid w:val="61662985"/>
    <w:rsid w:val="61D86806"/>
    <w:rsid w:val="6201765E"/>
    <w:rsid w:val="621C1C21"/>
    <w:rsid w:val="622739A7"/>
    <w:rsid w:val="62804211"/>
    <w:rsid w:val="62804295"/>
    <w:rsid w:val="62AD16AC"/>
    <w:rsid w:val="62AF6AA1"/>
    <w:rsid w:val="62BE50F7"/>
    <w:rsid w:val="62DB25F0"/>
    <w:rsid w:val="63006291"/>
    <w:rsid w:val="63274C55"/>
    <w:rsid w:val="63556365"/>
    <w:rsid w:val="63607CE2"/>
    <w:rsid w:val="63674AC2"/>
    <w:rsid w:val="637D12E9"/>
    <w:rsid w:val="63A0023C"/>
    <w:rsid w:val="63C86D78"/>
    <w:rsid w:val="63F376D8"/>
    <w:rsid w:val="63FE2709"/>
    <w:rsid w:val="641B46DA"/>
    <w:rsid w:val="64294CFA"/>
    <w:rsid w:val="649233EF"/>
    <w:rsid w:val="64A47BC8"/>
    <w:rsid w:val="64AB1CE1"/>
    <w:rsid w:val="64CD43F5"/>
    <w:rsid w:val="64D557C2"/>
    <w:rsid w:val="64D96DBD"/>
    <w:rsid w:val="6504464F"/>
    <w:rsid w:val="651F6D68"/>
    <w:rsid w:val="65267E91"/>
    <w:rsid w:val="65722D12"/>
    <w:rsid w:val="65951690"/>
    <w:rsid w:val="65B2788F"/>
    <w:rsid w:val="65BB78C4"/>
    <w:rsid w:val="65F77CBF"/>
    <w:rsid w:val="65FA0B31"/>
    <w:rsid w:val="661772DF"/>
    <w:rsid w:val="665161E5"/>
    <w:rsid w:val="66777B30"/>
    <w:rsid w:val="669E2B06"/>
    <w:rsid w:val="66CC622D"/>
    <w:rsid w:val="66CE4385"/>
    <w:rsid w:val="66DD6CFB"/>
    <w:rsid w:val="67156AAB"/>
    <w:rsid w:val="671E2E50"/>
    <w:rsid w:val="67231D14"/>
    <w:rsid w:val="67330623"/>
    <w:rsid w:val="678A6EB5"/>
    <w:rsid w:val="679760CB"/>
    <w:rsid w:val="67C86418"/>
    <w:rsid w:val="67D94069"/>
    <w:rsid w:val="67F95C9B"/>
    <w:rsid w:val="681B67CD"/>
    <w:rsid w:val="68502062"/>
    <w:rsid w:val="687C11AE"/>
    <w:rsid w:val="689B50B0"/>
    <w:rsid w:val="68B144E5"/>
    <w:rsid w:val="68D93F0A"/>
    <w:rsid w:val="68FA7B3C"/>
    <w:rsid w:val="69304F53"/>
    <w:rsid w:val="693115C3"/>
    <w:rsid w:val="69420FEB"/>
    <w:rsid w:val="699110FF"/>
    <w:rsid w:val="69D572B0"/>
    <w:rsid w:val="6A0810D8"/>
    <w:rsid w:val="6A3917C0"/>
    <w:rsid w:val="6A5A48E9"/>
    <w:rsid w:val="6A894F6E"/>
    <w:rsid w:val="6AEC0AD2"/>
    <w:rsid w:val="6B107903"/>
    <w:rsid w:val="6B5A422D"/>
    <w:rsid w:val="6BDA1A72"/>
    <w:rsid w:val="6BEF2609"/>
    <w:rsid w:val="6C050DEB"/>
    <w:rsid w:val="6C1F5089"/>
    <w:rsid w:val="6C677515"/>
    <w:rsid w:val="6CD725F9"/>
    <w:rsid w:val="6CE035F4"/>
    <w:rsid w:val="6D84283D"/>
    <w:rsid w:val="6DBE300E"/>
    <w:rsid w:val="6DCD5C9F"/>
    <w:rsid w:val="6DD75D44"/>
    <w:rsid w:val="6E4239A6"/>
    <w:rsid w:val="6E9162A7"/>
    <w:rsid w:val="6EA87004"/>
    <w:rsid w:val="6ECB1FA6"/>
    <w:rsid w:val="6EF72E8D"/>
    <w:rsid w:val="6F002377"/>
    <w:rsid w:val="6F256076"/>
    <w:rsid w:val="6F2D175E"/>
    <w:rsid w:val="6F332BFF"/>
    <w:rsid w:val="6F5C7A39"/>
    <w:rsid w:val="6F631DAF"/>
    <w:rsid w:val="6FA9752C"/>
    <w:rsid w:val="6FAC0C49"/>
    <w:rsid w:val="6FC41261"/>
    <w:rsid w:val="6FE93A24"/>
    <w:rsid w:val="6FF97F0D"/>
    <w:rsid w:val="6FFE0635"/>
    <w:rsid w:val="709A22E0"/>
    <w:rsid w:val="712B4ABE"/>
    <w:rsid w:val="716D56F8"/>
    <w:rsid w:val="71E45318"/>
    <w:rsid w:val="721A107C"/>
    <w:rsid w:val="72290F72"/>
    <w:rsid w:val="72436B1A"/>
    <w:rsid w:val="72D87374"/>
    <w:rsid w:val="731B3187"/>
    <w:rsid w:val="737023F5"/>
    <w:rsid w:val="737F17F3"/>
    <w:rsid w:val="73E62379"/>
    <w:rsid w:val="73FA0A7B"/>
    <w:rsid w:val="741D154B"/>
    <w:rsid w:val="74231E52"/>
    <w:rsid w:val="7425364D"/>
    <w:rsid w:val="74404C8C"/>
    <w:rsid w:val="749651C8"/>
    <w:rsid w:val="74E5004E"/>
    <w:rsid w:val="74E9613E"/>
    <w:rsid w:val="75181FA5"/>
    <w:rsid w:val="75196D18"/>
    <w:rsid w:val="753707AB"/>
    <w:rsid w:val="75377EB7"/>
    <w:rsid w:val="754E468E"/>
    <w:rsid w:val="75E64A12"/>
    <w:rsid w:val="76174069"/>
    <w:rsid w:val="76284CA5"/>
    <w:rsid w:val="7662069E"/>
    <w:rsid w:val="769E4E50"/>
    <w:rsid w:val="76A4576C"/>
    <w:rsid w:val="76E05672"/>
    <w:rsid w:val="76FA40EF"/>
    <w:rsid w:val="77100595"/>
    <w:rsid w:val="772D3054"/>
    <w:rsid w:val="77393A83"/>
    <w:rsid w:val="7770452C"/>
    <w:rsid w:val="77A829D8"/>
    <w:rsid w:val="77AE1121"/>
    <w:rsid w:val="77B1715E"/>
    <w:rsid w:val="77C51B90"/>
    <w:rsid w:val="77D82140"/>
    <w:rsid w:val="78012ADB"/>
    <w:rsid w:val="78607446"/>
    <w:rsid w:val="78651EF7"/>
    <w:rsid w:val="788E546C"/>
    <w:rsid w:val="78A73C6A"/>
    <w:rsid w:val="78C6298B"/>
    <w:rsid w:val="78E24604"/>
    <w:rsid w:val="79144025"/>
    <w:rsid w:val="794430D8"/>
    <w:rsid w:val="79846DAB"/>
    <w:rsid w:val="79914481"/>
    <w:rsid w:val="7A1D6908"/>
    <w:rsid w:val="7A320FDA"/>
    <w:rsid w:val="7A3E7CF9"/>
    <w:rsid w:val="7A5640BB"/>
    <w:rsid w:val="7A593035"/>
    <w:rsid w:val="7A9029F6"/>
    <w:rsid w:val="7AA165E6"/>
    <w:rsid w:val="7ABD529D"/>
    <w:rsid w:val="7B0B23A8"/>
    <w:rsid w:val="7B0F3E2B"/>
    <w:rsid w:val="7B1869D9"/>
    <w:rsid w:val="7B1F1A88"/>
    <w:rsid w:val="7B4165B2"/>
    <w:rsid w:val="7B541AA6"/>
    <w:rsid w:val="7B6A0BEB"/>
    <w:rsid w:val="7B6A7942"/>
    <w:rsid w:val="7B6F1DCE"/>
    <w:rsid w:val="7B802EFD"/>
    <w:rsid w:val="7BBC5147"/>
    <w:rsid w:val="7BF128C7"/>
    <w:rsid w:val="7BF273FC"/>
    <w:rsid w:val="7C2A3635"/>
    <w:rsid w:val="7C645466"/>
    <w:rsid w:val="7C9F65AE"/>
    <w:rsid w:val="7CDE7A5B"/>
    <w:rsid w:val="7DA929A0"/>
    <w:rsid w:val="7E4971B2"/>
    <w:rsid w:val="7E5A727C"/>
    <w:rsid w:val="7E6F4929"/>
    <w:rsid w:val="7E9D7988"/>
    <w:rsid w:val="7EA25BF6"/>
    <w:rsid w:val="7EA75EFC"/>
    <w:rsid w:val="7EC9072C"/>
    <w:rsid w:val="7F420B31"/>
    <w:rsid w:val="7F642E17"/>
    <w:rsid w:val="7F887FDA"/>
    <w:rsid w:val="7F9043FF"/>
    <w:rsid w:val="7FAD1A28"/>
    <w:rsid w:val="7FCE15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qFormat/>
    <w:uiPriority w:val="9"/>
    <w:pPr>
      <w:keepNext/>
      <w:keepLines/>
      <w:spacing w:before="340" w:after="330" w:line="578" w:lineRule="auto"/>
      <w:outlineLvl w:val="0"/>
    </w:pPr>
    <w:rPr>
      <w:b/>
      <w:bCs/>
      <w:kern w:val="44"/>
      <w:sz w:val="44"/>
      <w:szCs w:val="44"/>
    </w:rPr>
  </w:style>
  <w:style w:type="paragraph" w:styleId="5">
    <w:name w:val="heading 2"/>
    <w:basedOn w:val="1"/>
    <w:next w:val="1"/>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unhideWhenUsed/>
    <w:qFormat/>
    <w:uiPriority w:val="0"/>
    <w:pPr>
      <w:keepNext/>
      <w:keepLines/>
      <w:spacing w:before="260" w:after="260" w:line="416" w:lineRule="auto"/>
      <w:outlineLvl w:val="2"/>
    </w:pPr>
    <w:rPr>
      <w:rFonts w:asciiTheme="minorHAnsi" w:hAnsiTheme="minorHAnsi" w:eastAsiaTheme="minorEastAsia" w:cstheme="minorBidi"/>
      <w:b/>
      <w:bCs/>
      <w:sz w:val="32"/>
      <w:szCs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99"/>
    <w:pPr>
      <w:spacing w:after="120"/>
    </w:pPr>
  </w:style>
  <w:style w:type="paragraph" w:styleId="3">
    <w:name w:val="Title"/>
    <w:basedOn w:val="1"/>
    <w:next w:val="1"/>
    <w:qFormat/>
    <w:uiPriority w:val="0"/>
    <w:pPr>
      <w:numPr>
        <w:ilvl w:val="0"/>
        <w:numId w:val="1"/>
      </w:numPr>
      <w:spacing w:before="240" w:after="60" w:line="240" w:lineRule="auto"/>
      <w:ind w:firstLine="0" w:firstLineChars="0"/>
      <w:jc w:val="center"/>
      <w:outlineLvl w:val="0"/>
    </w:pPr>
    <w:rPr>
      <w:rFonts w:ascii="Arial" w:hAnsi="Arial" w:cs="Arial"/>
      <w:b/>
      <w:bCs/>
      <w:sz w:val="32"/>
      <w:szCs w:val="32"/>
    </w:rPr>
  </w:style>
  <w:style w:type="paragraph" w:customStyle="1" w:styleId="9">
    <w:name w:val="列出段落1"/>
    <w:basedOn w:val="1"/>
    <w:qFormat/>
    <w:uiPriority w:val="34"/>
    <w:pPr>
      <w:ind w:firstLine="420" w:firstLineChars="200"/>
    </w:pPr>
    <w:rPr>
      <w:rFonts w:ascii="Times New Roman" w:hAnsi="Times New Roman" w:eastAsia="仿宋_GB2312"/>
      <w:sz w:val="32"/>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2024-04-02T03:47:00Z</dcterms:created>
  <dc:creator>522D4440D6554CD499B2E33CE61311B4</dc:creator>
  <cp:lastModifiedBy>522D4440D6554CD499B2E33CE61311B4</cp:lastModifiedBy>
  <dcterms:modified xsi:type="dcterms:W3CDTF">2024-04-02T03:51:11Z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65082E980B344E9085C47BC4A8ABBB55</vt:lpwstr>
  </property>
</Properties>
</file>