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4" w:beforeLines="200" w:line="0" w:lineRule="atLeast"/>
        <w:jc w:val="center"/>
        <w:rPr>
          <w:rFonts w:hint="eastAsia" w:ascii="黑体" w:hAnsi="黑体" w:eastAsia="黑体"/>
          <w:b/>
          <w:sz w:val="52"/>
          <w:szCs w:val="22"/>
          <w:highlight w:val="none"/>
          <w:lang w:val="en-US" w:eastAsia="zh-CN"/>
        </w:rPr>
      </w:pPr>
      <w:bookmarkStart w:id="0" w:name="_Toc131133981"/>
      <w:bookmarkStart w:id="1" w:name="_Toc114028927"/>
      <w:bookmarkStart w:id="2" w:name="_Toc131134226"/>
      <w:bookmarkStart w:id="3" w:name="_Toc131134327"/>
      <w:bookmarkStart w:id="4" w:name="_Toc131168595"/>
      <w:bookmarkStart w:id="5" w:name="_Toc183578143"/>
      <w:r>
        <w:rPr>
          <w:rFonts w:ascii="微软雅黑" w:hAnsi="微软雅黑" w:eastAsia="微软雅黑"/>
          <w:b/>
          <w:sz w:val="52"/>
          <w:highlight w:val="none"/>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-920750</wp:posOffset>
            </wp:positionV>
            <wp:extent cx="7578090" cy="2736850"/>
            <wp:effectExtent l="0" t="0" r="3810" b="6350"/>
            <wp:wrapTight wrapText="bothSides">
              <wp:wrapPolygon>
                <wp:start x="0" y="0"/>
                <wp:lineTo x="0" y="21550"/>
                <wp:lineTo x="21575" y="21550"/>
                <wp:lineTo x="21575" y="0"/>
                <wp:lineTo x="0" y="0"/>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15"/>
                    <a:stretch>
                      <a:fillRect/>
                    </a:stretch>
                  </pic:blipFill>
                  <pic:spPr>
                    <a:xfrm>
                      <a:off x="0" y="0"/>
                      <a:ext cx="7578090" cy="2736850"/>
                    </a:xfrm>
                    <a:prstGeom prst="rect">
                      <a:avLst/>
                    </a:prstGeom>
                    <a:noFill/>
                    <a:ln>
                      <a:noFill/>
                    </a:ln>
                  </pic:spPr>
                </pic:pic>
              </a:graphicData>
            </a:graphic>
          </wp:anchor>
        </w:drawing>
      </w:r>
      <w:r>
        <w:rPr>
          <w:rFonts w:hint="eastAsia" w:ascii="黑体" w:hAnsi="黑体" w:eastAsia="黑体"/>
          <w:b/>
          <w:sz w:val="52"/>
          <w:szCs w:val="22"/>
          <w:highlight w:val="none"/>
          <w:lang w:val="en-US" w:eastAsia="zh-CN"/>
        </w:rPr>
        <w:t>2024年华圃周转房智慧物管平台</w:t>
      </w:r>
    </w:p>
    <w:p>
      <w:pPr>
        <w:spacing w:before="624" w:beforeLines="200" w:line="0" w:lineRule="atLeast"/>
        <w:jc w:val="center"/>
        <w:rPr>
          <w:rFonts w:hint="eastAsia" w:ascii="黑体" w:hAnsi="黑体" w:eastAsia="黑体"/>
          <w:b/>
          <w:sz w:val="52"/>
          <w:szCs w:val="22"/>
          <w:highlight w:val="none"/>
        </w:rPr>
      </w:pPr>
      <w:r>
        <w:rPr>
          <w:rFonts w:hint="eastAsia" w:ascii="黑体" w:hAnsi="黑体" w:eastAsia="黑体"/>
          <w:b/>
          <w:sz w:val="52"/>
          <w:szCs w:val="22"/>
          <w:highlight w:val="none"/>
          <w:lang w:val="en-US" w:eastAsia="zh-CN"/>
        </w:rPr>
        <w:t>零星采购项目</w:t>
      </w:r>
      <w:r>
        <w:rPr>
          <w:rFonts w:hint="eastAsia" w:ascii="黑体" w:hAnsi="黑体" w:eastAsia="黑体"/>
          <w:b/>
          <w:sz w:val="52"/>
          <w:szCs w:val="22"/>
          <w:highlight w:val="none"/>
        </w:rPr>
        <w:t>技术规范书</w:t>
      </w:r>
    </w:p>
    <w:p>
      <w:pPr>
        <w:spacing w:before="624" w:beforeLines="200" w:line="0" w:lineRule="atLeast"/>
        <w:ind w:firstLine="2168" w:firstLineChars="600"/>
        <w:jc w:val="both"/>
        <w:rPr>
          <w:rFonts w:hint="eastAsia" w:ascii="黑体" w:hAnsi="黑体" w:eastAsia="黑体"/>
          <w:b/>
          <w:sz w:val="36"/>
          <w:highlight w:val="none"/>
          <w:lang w:eastAsia="zh-CN"/>
        </w:rPr>
      </w:pPr>
    </w:p>
    <w:p>
      <w:pPr>
        <w:spacing w:before="624" w:beforeLines="200" w:line="0" w:lineRule="atLeast"/>
        <w:ind w:firstLine="2168" w:firstLineChars="600"/>
        <w:jc w:val="left"/>
        <w:rPr>
          <w:rFonts w:hint="eastAsia" w:ascii="黑体" w:hAnsi="黑体" w:eastAsia="黑体"/>
          <w:b/>
          <w:sz w:val="36"/>
          <w:highlight w:val="none"/>
          <w:lang w:eastAsia="zh-CN"/>
        </w:rPr>
      </w:pPr>
    </w:p>
    <w:p>
      <w:pPr>
        <w:spacing w:before="624" w:beforeLines="200" w:line="0" w:lineRule="atLeast"/>
        <w:ind w:firstLine="2168" w:firstLineChars="600"/>
        <w:jc w:val="left"/>
        <w:rPr>
          <w:rFonts w:hint="eastAsia" w:ascii="黑体" w:hAnsi="黑体" w:eastAsia="黑体"/>
          <w:b/>
          <w:sz w:val="36"/>
          <w:highlight w:val="none"/>
          <w:lang w:eastAsia="zh-CN"/>
        </w:rPr>
      </w:pPr>
    </w:p>
    <w:p>
      <w:pPr>
        <w:spacing w:before="624" w:beforeLines="200" w:line="0" w:lineRule="atLeast"/>
        <w:jc w:val="left"/>
        <w:rPr>
          <w:rFonts w:hint="eastAsia" w:ascii="黑体" w:hAnsi="黑体" w:eastAsia="黑体"/>
          <w:b/>
          <w:sz w:val="36"/>
          <w:highlight w:val="none"/>
          <w:lang w:eastAsia="zh-CN"/>
        </w:rPr>
      </w:pPr>
    </w:p>
    <w:p>
      <w:pPr>
        <w:spacing w:before="624" w:beforeLines="200" w:line="0" w:lineRule="atLeast"/>
        <w:ind w:firstLine="2168" w:firstLineChars="600"/>
        <w:jc w:val="left"/>
        <w:rPr>
          <w:rFonts w:hint="eastAsia" w:ascii="黑体" w:hAnsi="黑体" w:eastAsia="黑体"/>
          <w:b/>
          <w:sz w:val="36"/>
          <w:highlight w:val="none"/>
        </w:rPr>
      </w:pPr>
    </w:p>
    <w:p>
      <w:pPr>
        <w:spacing w:before="624" w:beforeLines="200" w:line="0" w:lineRule="atLeast"/>
        <w:jc w:val="center"/>
        <w:rPr>
          <w:rFonts w:hint="default" w:ascii="黑体" w:hAnsi="黑体" w:eastAsia="黑体"/>
          <w:b/>
          <w:sz w:val="36"/>
          <w:highlight w:val="none"/>
          <w:lang w:val="en-US"/>
        </w:rPr>
      </w:pPr>
      <w:r>
        <w:rPr>
          <w:rFonts w:hint="eastAsia" w:ascii="黑体" w:hAnsi="黑体" w:eastAsia="黑体"/>
          <w:b/>
          <w:sz w:val="36"/>
          <w:highlight w:val="none"/>
        </w:rPr>
        <w:t>南方电网</w:t>
      </w:r>
      <w:r>
        <w:rPr>
          <w:rFonts w:hint="eastAsia" w:ascii="黑体" w:hAnsi="黑体" w:eastAsia="黑体"/>
          <w:b/>
          <w:sz w:val="36"/>
          <w:highlight w:val="none"/>
          <w:lang w:eastAsia="zh-CN"/>
        </w:rPr>
        <w:t>数字电网</w:t>
      </w:r>
      <w:r>
        <w:rPr>
          <w:rFonts w:hint="eastAsia" w:ascii="黑体" w:hAnsi="黑体" w:eastAsia="黑体"/>
          <w:b/>
          <w:sz w:val="36"/>
          <w:highlight w:val="none"/>
          <w:lang w:val="en-US" w:eastAsia="zh-CN"/>
        </w:rPr>
        <w:t>集团信息通信科技有限公司</w:t>
      </w:r>
    </w:p>
    <w:p>
      <w:pPr>
        <w:spacing w:line="360" w:lineRule="auto"/>
        <w:jc w:val="center"/>
        <w:rPr>
          <w:rFonts w:hint="eastAsia" w:ascii="黑体" w:hAnsi="黑体" w:eastAsia="黑体"/>
          <w:b/>
          <w:sz w:val="36"/>
          <w:highlight w:val="none"/>
        </w:rPr>
      </w:pPr>
      <w:r>
        <w:rPr>
          <w:rFonts w:hint="eastAsia" w:ascii="黑体" w:hAnsi="黑体" w:eastAsia="黑体"/>
          <w:b/>
          <w:sz w:val="36"/>
          <w:highlight w:val="none"/>
        </w:rPr>
        <w:t>20</w:t>
      </w:r>
      <w:r>
        <w:rPr>
          <w:rFonts w:hint="eastAsia" w:ascii="黑体" w:hAnsi="黑体" w:eastAsia="黑体"/>
          <w:b/>
          <w:sz w:val="36"/>
          <w:highlight w:val="none"/>
          <w:lang w:val="en-US" w:eastAsia="zh-CN"/>
        </w:rPr>
        <w:t>24</w:t>
      </w:r>
      <w:r>
        <w:rPr>
          <w:rFonts w:hint="eastAsia" w:ascii="黑体" w:hAnsi="黑体" w:eastAsia="黑体"/>
          <w:b/>
          <w:sz w:val="36"/>
          <w:highlight w:val="none"/>
        </w:rPr>
        <w:t>年0</w:t>
      </w:r>
      <w:r>
        <w:rPr>
          <w:rFonts w:hint="eastAsia" w:ascii="黑体" w:hAnsi="黑体" w:eastAsia="黑体"/>
          <w:b/>
          <w:sz w:val="36"/>
          <w:highlight w:val="none"/>
          <w:lang w:val="en-US" w:eastAsia="zh-CN"/>
        </w:rPr>
        <w:t>3</w:t>
      </w:r>
      <w:r>
        <w:rPr>
          <w:rFonts w:hint="eastAsia" w:ascii="黑体" w:hAnsi="黑体" w:eastAsia="黑体"/>
          <w:b/>
          <w:sz w:val="36"/>
          <w:highlight w:val="none"/>
        </w:rPr>
        <w:t xml:space="preserve">月  </w:t>
      </w:r>
      <w:bookmarkEnd w:id="0"/>
      <w:bookmarkEnd w:id="1"/>
      <w:bookmarkEnd w:id="2"/>
      <w:bookmarkEnd w:id="3"/>
      <w:bookmarkEnd w:id="4"/>
      <w:bookmarkEnd w:id="5"/>
    </w:p>
    <w:p>
      <w:pPr>
        <w:pStyle w:val="15"/>
        <w:ind w:left="0" w:leftChars="0" w:firstLine="0" w:firstLineChars="0"/>
        <w:jc w:val="left"/>
        <w:rPr>
          <w:rFonts w:hint="eastAsia" w:ascii="仿宋_GB2312" w:hAnsi="仿宋_GB2312" w:eastAsia="仿宋_GB2312" w:cs="仿宋_GB2312"/>
          <w:b w:val="0"/>
          <w:bCs/>
          <w:kern w:val="2"/>
          <w:sz w:val="32"/>
          <w:szCs w:val="32"/>
          <w:highlight w:val="none"/>
          <w:lang w:val="en-US" w:eastAsia="zh-CN" w:bidi="ar-SA"/>
        </w:rPr>
      </w:pPr>
    </w:p>
    <w:p>
      <w:pPr>
        <w:spacing w:line="360" w:lineRule="auto"/>
        <w:jc w:val="center"/>
        <w:rPr>
          <w:rFonts w:ascii="仿宋" w:hAnsi="仿宋" w:eastAsia="仿宋_GB2312"/>
          <w:sz w:val="24"/>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pgNumType w:fmt="lowerRoman" w:start="1"/>
          <w:cols w:space="720" w:num="1"/>
          <w:docGrid w:type="lines" w:linePitch="312" w:charSpace="0"/>
        </w:sectPr>
      </w:pPr>
    </w:p>
    <w:p>
      <w:pPr>
        <w:spacing w:line="360" w:lineRule="auto"/>
        <w:jc w:val="center"/>
        <w:rPr>
          <w:rFonts w:hint="eastAsia" w:ascii="黑体" w:hAnsi="黑体" w:eastAsia="黑体" w:cs="黑体"/>
          <w:b/>
          <w:sz w:val="32"/>
          <w:szCs w:val="32"/>
          <w:highlight w:val="none"/>
        </w:rPr>
      </w:pPr>
      <w:r>
        <w:rPr>
          <w:rFonts w:hint="eastAsia" w:ascii="黑体" w:hAnsi="黑体" w:eastAsia="黑体" w:cs="黑体"/>
          <w:b/>
          <w:sz w:val="32"/>
          <w:szCs w:val="32"/>
          <w:highlight w:val="none"/>
        </w:rPr>
        <w:t>目 录</w:t>
      </w:r>
    </w:p>
    <w:p>
      <w:pPr>
        <w:pStyle w:val="25"/>
        <w:tabs>
          <w:tab w:val="right" w:leader="dot" w:pos="8312"/>
        </w:tabs>
        <w:rPr>
          <w:highlight w:val="none"/>
        </w:rPr>
      </w:pPr>
      <w:r>
        <w:rPr>
          <w:rFonts w:hint="eastAsia" w:ascii="仿宋_GB2312" w:hAnsi="仿宋_GB2312" w:eastAsia="仿宋_GB2312" w:cs="仿宋_GB2312"/>
          <w:b/>
          <w:bCs/>
          <w:caps/>
          <w:sz w:val="24"/>
          <w:szCs w:val="24"/>
          <w:highlight w:val="none"/>
        </w:rPr>
        <w:fldChar w:fldCharType="begin"/>
      </w:r>
      <w:r>
        <w:rPr>
          <w:rFonts w:hint="eastAsia" w:ascii="仿宋_GB2312" w:hAnsi="仿宋_GB2312" w:eastAsia="仿宋_GB2312" w:cs="仿宋_GB2312"/>
          <w:b/>
          <w:bCs/>
          <w:caps/>
          <w:sz w:val="24"/>
          <w:szCs w:val="24"/>
          <w:highlight w:val="none"/>
        </w:rPr>
        <w:instrText xml:space="preserve"> TOC \o "1-3" \h \z \u </w:instrText>
      </w:r>
      <w:r>
        <w:rPr>
          <w:rFonts w:hint="eastAsia" w:ascii="仿宋_GB2312" w:hAnsi="仿宋_GB2312" w:eastAsia="仿宋_GB2312" w:cs="仿宋_GB2312"/>
          <w:b/>
          <w:bCs/>
          <w:caps/>
          <w:sz w:val="24"/>
          <w:szCs w:val="24"/>
          <w:highlight w:val="none"/>
        </w:rPr>
        <w:fldChar w:fldCharType="separate"/>
      </w:r>
      <w:r>
        <w:rPr>
          <w:rFonts w:hint="eastAsia" w:ascii="仿宋_GB2312" w:hAnsi="仿宋_GB2312" w:eastAsia="仿宋_GB2312" w:cs="仿宋_GB2312"/>
          <w:bCs/>
          <w:caps/>
          <w:szCs w:val="24"/>
          <w:highlight w:val="none"/>
        </w:rPr>
        <w:fldChar w:fldCharType="begin"/>
      </w:r>
      <w:r>
        <w:rPr>
          <w:rFonts w:hint="eastAsia" w:ascii="仿宋_GB2312" w:hAnsi="仿宋_GB2312" w:eastAsia="仿宋_GB2312" w:cs="仿宋_GB2312"/>
          <w:bCs/>
          <w:caps/>
          <w:szCs w:val="24"/>
          <w:highlight w:val="none"/>
        </w:rPr>
        <w:instrText xml:space="preserve"> HYPERLINK \l _Toc12196 </w:instrText>
      </w:r>
      <w:r>
        <w:rPr>
          <w:rFonts w:hint="eastAsia" w:ascii="仿宋_GB2312" w:hAnsi="仿宋_GB2312" w:eastAsia="仿宋_GB2312" w:cs="仿宋_GB2312"/>
          <w:bCs/>
          <w:caps/>
          <w:szCs w:val="24"/>
          <w:highlight w:val="none"/>
        </w:rPr>
        <w:fldChar w:fldCharType="separate"/>
      </w:r>
      <w:r>
        <w:rPr>
          <w:rFonts w:hint="default" w:ascii="Times New Roman" w:hAnsi="Times New Roman" w:eastAsia="宋体" w:cs="黑体"/>
          <w:i w:val="0"/>
          <w:spacing w:val="-12"/>
          <w:szCs w:val="44"/>
          <w:highlight w:val="none"/>
        </w:rPr>
        <w:t xml:space="preserve">1. </w:t>
      </w:r>
      <w:r>
        <w:rPr>
          <w:rFonts w:hint="eastAsia" w:ascii="黑体" w:hAnsi="黑体" w:eastAsia="黑体" w:cs="黑体"/>
          <w:highlight w:val="none"/>
        </w:rPr>
        <w:t>总则</w:t>
      </w:r>
      <w:r>
        <w:rPr>
          <w:highlight w:val="none"/>
        </w:rPr>
        <w:tab/>
      </w:r>
      <w:r>
        <w:rPr>
          <w:highlight w:val="none"/>
        </w:rPr>
        <w:fldChar w:fldCharType="begin"/>
      </w:r>
      <w:r>
        <w:rPr>
          <w:highlight w:val="none"/>
        </w:rPr>
        <w:instrText xml:space="preserve"> PAGEREF _Toc12196 \h </w:instrText>
      </w:r>
      <w:r>
        <w:rPr>
          <w:highlight w:val="none"/>
        </w:rPr>
        <w:fldChar w:fldCharType="separate"/>
      </w:r>
      <w:r>
        <w:rPr>
          <w:highlight w:val="none"/>
        </w:rPr>
        <w:t>1</w:t>
      </w:r>
      <w:r>
        <w:rPr>
          <w:highlight w:val="none"/>
        </w:rPr>
        <w:fldChar w:fldCharType="end"/>
      </w:r>
      <w:r>
        <w:rPr>
          <w:rFonts w:hint="eastAsia" w:ascii="仿宋_GB2312" w:hAnsi="仿宋_GB2312" w:eastAsia="仿宋_GB2312" w:cs="仿宋_GB2312"/>
          <w:bCs/>
          <w:caps/>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_Toc27775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rPr>
        <w:t xml:space="preserve">1.1. </w:t>
      </w:r>
      <w:r>
        <w:rPr>
          <w:rFonts w:hint="eastAsia"/>
          <w:highlight w:val="none"/>
        </w:rPr>
        <w:t>概述</w:t>
      </w:r>
      <w:r>
        <w:rPr>
          <w:highlight w:val="none"/>
        </w:rPr>
        <w:tab/>
      </w:r>
      <w:r>
        <w:rPr>
          <w:highlight w:val="none"/>
        </w:rPr>
        <w:fldChar w:fldCharType="begin"/>
      </w:r>
      <w:r>
        <w:rPr>
          <w:highlight w:val="none"/>
        </w:rPr>
        <w:instrText xml:space="preserve"> PAGEREF _Toc27775 \h </w:instrText>
      </w:r>
      <w:r>
        <w:rPr>
          <w:highlight w:val="none"/>
        </w:rPr>
        <w:fldChar w:fldCharType="separate"/>
      </w:r>
      <w:r>
        <w:rPr>
          <w:highlight w:val="none"/>
        </w:rPr>
        <w:t>1</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_Toc9878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rPr>
        <w:t xml:space="preserve">1.2. </w:t>
      </w:r>
      <w:r>
        <w:rPr>
          <w:rFonts w:hint="eastAsia"/>
          <w:highlight w:val="none"/>
        </w:rPr>
        <w:t>对投标技术文件的要求</w:t>
      </w:r>
      <w:r>
        <w:rPr>
          <w:highlight w:val="none"/>
        </w:rPr>
        <w:tab/>
      </w:r>
      <w:r>
        <w:rPr>
          <w:highlight w:val="none"/>
        </w:rPr>
        <w:fldChar w:fldCharType="begin"/>
      </w:r>
      <w:r>
        <w:rPr>
          <w:highlight w:val="none"/>
        </w:rPr>
        <w:instrText xml:space="preserve"> PAGEREF _Toc9878 \h </w:instrText>
      </w:r>
      <w:r>
        <w:rPr>
          <w:highlight w:val="none"/>
        </w:rPr>
        <w:fldChar w:fldCharType="separate"/>
      </w:r>
      <w:r>
        <w:rPr>
          <w:highlight w:val="none"/>
        </w:rPr>
        <w:t>1</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_Toc21326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rPr>
        <w:t xml:space="preserve">1.2.1. </w:t>
      </w:r>
      <w:r>
        <w:rPr>
          <w:rFonts w:hint="eastAsia"/>
          <w:highlight w:val="none"/>
        </w:rPr>
        <w:t>投标文件的响应</w:t>
      </w:r>
      <w:r>
        <w:rPr>
          <w:highlight w:val="none"/>
        </w:rPr>
        <w:tab/>
      </w:r>
      <w:r>
        <w:rPr>
          <w:highlight w:val="none"/>
        </w:rPr>
        <w:fldChar w:fldCharType="begin"/>
      </w:r>
      <w:r>
        <w:rPr>
          <w:highlight w:val="none"/>
        </w:rPr>
        <w:instrText xml:space="preserve"> PAGEREF _Toc21326 \h </w:instrText>
      </w:r>
      <w:r>
        <w:rPr>
          <w:highlight w:val="none"/>
        </w:rPr>
        <w:fldChar w:fldCharType="separate"/>
      </w:r>
      <w:r>
        <w:rPr>
          <w:highlight w:val="none"/>
        </w:rPr>
        <w:t>2</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5"/>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_Toc30047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i w:val="0"/>
          <w:spacing w:val="-12"/>
          <w:szCs w:val="44"/>
          <w:highlight w:val="none"/>
        </w:rPr>
        <w:t xml:space="preserve">2. </w:t>
      </w:r>
      <w:r>
        <w:rPr>
          <w:rFonts w:hint="eastAsia"/>
          <w:highlight w:val="none"/>
        </w:rPr>
        <w:t>项目内容</w:t>
      </w:r>
      <w:r>
        <w:rPr>
          <w:highlight w:val="none"/>
        </w:rPr>
        <w:tab/>
      </w:r>
      <w:r>
        <w:rPr>
          <w:highlight w:val="none"/>
        </w:rPr>
        <w:fldChar w:fldCharType="begin"/>
      </w:r>
      <w:r>
        <w:rPr>
          <w:highlight w:val="none"/>
        </w:rPr>
        <w:instrText xml:space="preserve"> PAGEREF _Toc30047 \h </w:instrText>
      </w:r>
      <w:r>
        <w:rPr>
          <w:highlight w:val="none"/>
        </w:rPr>
        <w:fldChar w:fldCharType="separate"/>
      </w:r>
      <w:r>
        <w:rPr>
          <w:highlight w:val="none"/>
        </w:rPr>
        <w:t>2</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_Toc10991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rPr>
        <w:t xml:space="preserve">2.1. </w:t>
      </w:r>
      <w:r>
        <w:rPr>
          <w:rFonts w:hint="eastAsia"/>
          <w:highlight w:val="none"/>
        </w:rPr>
        <w:t>项目背景</w:t>
      </w:r>
      <w:r>
        <w:rPr>
          <w:highlight w:val="none"/>
        </w:rPr>
        <w:tab/>
      </w:r>
      <w:r>
        <w:rPr>
          <w:highlight w:val="none"/>
        </w:rPr>
        <w:fldChar w:fldCharType="begin"/>
      </w:r>
      <w:r>
        <w:rPr>
          <w:highlight w:val="none"/>
        </w:rPr>
        <w:instrText xml:space="preserve"> PAGEREF _Toc10991 \h </w:instrText>
      </w:r>
      <w:r>
        <w:rPr>
          <w:highlight w:val="none"/>
        </w:rPr>
        <w:fldChar w:fldCharType="separate"/>
      </w:r>
      <w:r>
        <w:rPr>
          <w:highlight w:val="none"/>
        </w:rPr>
        <w:t>2</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_Toc14764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rPr>
        <w:t xml:space="preserve">2.2. </w:t>
      </w:r>
      <w:r>
        <w:rPr>
          <w:rFonts w:hint="eastAsia"/>
          <w:highlight w:val="none"/>
        </w:rPr>
        <w:t>项目目标</w:t>
      </w:r>
      <w:r>
        <w:rPr>
          <w:highlight w:val="none"/>
        </w:rPr>
        <w:tab/>
      </w:r>
      <w:r>
        <w:rPr>
          <w:highlight w:val="none"/>
        </w:rPr>
        <w:fldChar w:fldCharType="begin"/>
      </w:r>
      <w:r>
        <w:rPr>
          <w:highlight w:val="none"/>
        </w:rPr>
        <w:instrText xml:space="preserve"> PAGEREF _Toc14764 \h </w:instrText>
      </w:r>
      <w:r>
        <w:rPr>
          <w:highlight w:val="none"/>
        </w:rPr>
        <w:fldChar w:fldCharType="separate"/>
      </w:r>
      <w:r>
        <w:rPr>
          <w:highlight w:val="none"/>
        </w:rPr>
        <w:t>3</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_Toc14109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rPr>
        <w:t xml:space="preserve">2.3. </w:t>
      </w:r>
      <w:r>
        <w:rPr>
          <w:rFonts w:hint="eastAsia"/>
          <w:highlight w:val="none"/>
          <w:lang w:eastAsia="zh-CN"/>
        </w:rPr>
        <w:t>应</w:t>
      </w:r>
      <w:r>
        <w:rPr>
          <w:rFonts w:hint="eastAsia"/>
          <w:highlight w:val="none"/>
        </w:rPr>
        <w:t>遵循</w:t>
      </w:r>
      <w:r>
        <w:rPr>
          <w:rFonts w:hint="eastAsia"/>
          <w:highlight w:val="none"/>
          <w:lang w:eastAsia="zh-CN"/>
        </w:rPr>
        <w:t>的</w:t>
      </w:r>
      <w:r>
        <w:rPr>
          <w:rFonts w:hint="eastAsia"/>
          <w:highlight w:val="none"/>
        </w:rPr>
        <w:t>标准</w:t>
      </w:r>
      <w:r>
        <w:rPr>
          <w:highlight w:val="none"/>
        </w:rPr>
        <w:tab/>
      </w:r>
      <w:r>
        <w:rPr>
          <w:highlight w:val="none"/>
        </w:rPr>
        <w:fldChar w:fldCharType="begin"/>
      </w:r>
      <w:r>
        <w:rPr>
          <w:highlight w:val="none"/>
        </w:rPr>
        <w:instrText xml:space="preserve"> PAGEREF _Toc14109 \h </w:instrText>
      </w:r>
      <w:r>
        <w:rPr>
          <w:highlight w:val="none"/>
        </w:rPr>
        <w:fldChar w:fldCharType="separate"/>
      </w:r>
      <w:r>
        <w:rPr>
          <w:highlight w:val="none"/>
        </w:rPr>
        <w:t>3</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_Toc23039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rPr>
        <w:t xml:space="preserve">2.4. </w:t>
      </w:r>
      <w:r>
        <w:rPr>
          <w:rFonts w:hint="eastAsia"/>
          <w:highlight w:val="none"/>
        </w:rPr>
        <w:t>项目内容</w:t>
      </w:r>
      <w:r>
        <w:rPr>
          <w:highlight w:val="none"/>
        </w:rPr>
        <w:tab/>
      </w:r>
      <w:r>
        <w:rPr>
          <w:highlight w:val="none"/>
        </w:rPr>
        <w:fldChar w:fldCharType="begin"/>
      </w:r>
      <w:r>
        <w:rPr>
          <w:highlight w:val="none"/>
        </w:rPr>
        <w:instrText xml:space="preserve"> PAGEREF _Toc23039 \h </w:instrText>
      </w:r>
      <w:r>
        <w:rPr>
          <w:highlight w:val="none"/>
        </w:rPr>
        <w:fldChar w:fldCharType="separate"/>
      </w:r>
      <w:r>
        <w:rPr>
          <w:highlight w:val="none"/>
        </w:rPr>
        <w:t>3</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_Toc5925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rPr>
        <w:t xml:space="preserve">2.5. </w:t>
      </w:r>
      <w:r>
        <w:rPr>
          <w:rFonts w:hint="eastAsia"/>
          <w:highlight w:val="none"/>
        </w:rPr>
        <w:t>项目</w:t>
      </w:r>
      <w:r>
        <w:rPr>
          <w:rFonts w:hint="eastAsia"/>
          <w:highlight w:val="none"/>
          <w:lang w:eastAsia="zh-CN"/>
        </w:rPr>
        <w:t>人员</w:t>
      </w:r>
      <w:r>
        <w:rPr>
          <w:rFonts w:hint="eastAsia"/>
          <w:highlight w:val="none"/>
        </w:rPr>
        <w:t>要求</w:t>
      </w:r>
      <w:r>
        <w:rPr>
          <w:highlight w:val="none"/>
        </w:rPr>
        <w:tab/>
      </w:r>
      <w:r>
        <w:rPr>
          <w:highlight w:val="none"/>
        </w:rPr>
        <w:fldChar w:fldCharType="begin"/>
      </w:r>
      <w:r>
        <w:rPr>
          <w:highlight w:val="none"/>
        </w:rPr>
        <w:instrText xml:space="preserve"> PAGEREF _Toc5925 \h </w:instrText>
      </w:r>
      <w:r>
        <w:rPr>
          <w:highlight w:val="none"/>
        </w:rPr>
        <w:fldChar w:fldCharType="separate"/>
      </w:r>
      <w:r>
        <w:rPr>
          <w:highlight w:val="none"/>
        </w:rPr>
        <w:t>3</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_Toc18436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lang w:val="en-US"/>
        </w:rPr>
        <w:t xml:space="preserve">2.6. </w:t>
      </w:r>
      <w:r>
        <w:rPr>
          <w:rFonts w:hint="eastAsia"/>
          <w:highlight w:val="none"/>
        </w:rPr>
        <w:t>项目进度要求</w:t>
      </w:r>
      <w:r>
        <w:rPr>
          <w:highlight w:val="none"/>
        </w:rPr>
        <w:tab/>
      </w:r>
      <w:r>
        <w:rPr>
          <w:highlight w:val="none"/>
        </w:rPr>
        <w:fldChar w:fldCharType="begin"/>
      </w:r>
      <w:r>
        <w:rPr>
          <w:highlight w:val="none"/>
        </w:rPr>
        <w:instrText xml:space="preserve"> PAGEREF _Toc18436 \h </w:instrText>
      </w:r>
      <w:r>
        <w:rPr>
          <w:highlight w:val="none"/>
        </w:rPr>
        <w:fldChar w:fldCharType="separate"/>
      </w:r>
      <w:r>
        <w:rPr>
          <w:highlight w:val="none"/>
        </w:rPr>
        <w:t>3</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_Toc12134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rPr>
        <w:t xml:space="preserve">2.7. </w:t>
      </w:r>
      <w:r>
        <w:rPr>
          <w:rFonts w:hint="eastAsia"/>
          <w:highlight w:val="none"/>
          <w:lang w:eastAsia="zh-CN"/>
        </w:rPr>
        <w:t>项目</w:t>
      </w:r>
      <w:r>
        <w:rPr>
          <w:rFonts w:hint="eastAsia"/>
          <w:highlight w:val="none"/>
        </w:rPr>
        <w:t>培训要求</w:t>
      </w:r>
      <w:r>
        <w:rPr>
          <w:highlight w:val="none"/>
        </w:rPr>
        <w:tab/>
      </w:r>
      <w:r>
        <w:rPr>
          <w:highlight w:val="none"/>
        </w:rPr>
        <w:fldChar w:fldCharType="begin"/>
      </w:r>
      <w:r>
        <w:rPr>
          <w:highlight w:val="none"/>
        </w:rPr>
        <w:instrText xml:space="preserve"> PAGEREF _Toc12134 \h </w:instrText>
      </w:r>
      <w:r>
        <w:rPr>
          <w:highlight w:val="none"/>
        </w:rPr>
        <w:fldChar w:fldCharType="separate"/>
      </w:r>
      <w:r>
        <w:rPr>
          <w:highlight w:val="none"/>
        </w:rPr>
        <w:t>4</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_Toc12913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lang w:eastAsia="zh-CN"/>
        </w:rPr>
        <w:t xml:space="preserve">2.8. </w:t>
      </w:r>
      <w:r>
        <w:rPr>
          <w:rFonts w:hint="eastAsia" w:hAnsi="Arial"/>
          <w:bCs/>
          <w:highlight w:val="none"/>
          <w:lang w:eastAsia="zh-CN"/>
        </w:rPr>
        <w:t>项目售后要求</w:t>
      </w:r>
      <w:r>
        <w:rPr>
          <w:highlight w:val="none"/>
        </w:rPr>
        <w:tab/>
      </w:r>
      <w:r>
        <w:rPr>
          <w:highlight w:val="none"/>
        </w:rPr>
        <w:fldChar w:fldCharType="begin"/>
      </w:r>
      <w:r>
        <w:rPr>
          <w:highlight w:val="none"/>
        </w:rPr>
        <w:instrText xml:space="preserve"> PAGEREF _Toc12913 \h </w:instrText>
      </w:r>
      <w:r>
        <w:rPr>
          <w:highlight w:val="none"/>
        </w:rPr>
        <w:fldChar w:fldCharType="separate"/>
      </w:r>
      <w:r>
        <w:rPr>
          <w:highlight w:val="none"/>
        </w:rPr>
        <w:t>4</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_Toc18479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lang w:eastAsia="zh-CN"/>
        </w:rPr>
        <w:t xml:space="preserve">2.8.1. </w:t>
      </w:r>
      <w:r>
        <w:rPr>
          <w:rFonts w:hint="eastAsia"/>
          <w:highlight w:val="none"/>
          <w:lang w:eastAsia="zh-CN"/>
        </w:rPr>
        <w:t>项目质保期</w:t>
      </w:r>
      <w:r>
        <w:rPr>
          <w:highlight w:val="none"/>
        </w:rPr>
        <w:tab/>
      </w:r>
      <w:r>
        <w:rPr>
          <w:highlight w:val="none"/>
        </w:rPr>
        <w:fldChar w:fldCharType="begin"/>
      </w:r>
      <w:r>
        <w:rPr>
          <w:highlight w:val="none"/>
        </w:rPr>
        <w:instrText xml:space="preserve"> PAGEREF _Toc18479 \h </w:instrText>
      </w:r>
      <w:r>
        <w:rPr>
          <w:highlight w:val="none"/>
        </w:rPr>
        <w:fldChar w:fldCharType="separate"/>
      </w:r>
      <w:r>
        <w:rPr>
          <w:highlight w:val="none"/>
        </w:rPr>
        <w:t>4</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_Toc2820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lang w:eastAsia="zh-CN"/>
        </w:rPr>
        <w:t xml:space="preserve">2.8.2. </w:t>
      </w:r>
      <w:r>
        <w:rPr>
          <w:rFonts w:hint="eastAsia"/>
          <w:highlight w:val="none"/>
          <w:lang w:eastAsia="zh-CN"/>
        </w:rPr>
        <w:t>项目售后要求</w:t>
      </w:r>
      <w:r>
        <w:rPr>
          <w:highlight w:val="none"/>
        </w:rPr>
        <w:tab/>
      </w:r>
      <w:r>
        <w:rPr>
          <w:highlight w:val="none"/>
        </w:rPr>
        <w:fldChar w:fldCharType="begin"/>
      </w:r>
      <w:r>
        <w:rPr>
          <w:highlight w:val="none"/>
        </w:rPr>
        <w:instrText xml:space="preserve"> PAGEREF _Toc2820 \h </w:instrText>
      </w:r>
      <w:r>
        <w:rPr>
          <w:highlight w:val="none"/>
        </w:rPr>
        <w:fldChar w:fldCharType="separate"/>
      </w:r>
      <w:r>
        <w:rPr>
          <w:highlight w:val="none"/>
        </w:rPr>
        <w:t>4</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_Toc21576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rPr>
        <w:t xml:space="preserve">2.9. </w:t>
      </w:r>
      <w:r>
        <w:rPr>
          <w:rFonts w:hint="eastAsia"/>
          <w:highlight w:val="none"/>
        </w:rPr>
        <w:t>质量要求</w:t>
      </w:r>
      <w:r>
        <w:rPr>
          <w:highlight w:val="none"/>
        </w:rPr>
        <w:tab/>
      </w:r>
      <w:r>
        <w:rPr>
          <w:highlight w:val="none"/>
        </w:rPr>
        <w:fldChar w:fldCharType="begin"/>
      </w:r>
      <w:r>
        <w:rPr>
          <w:highlight w:val="none"/>
        </w:rPr>
        <w:instrText xml:space="preserve"> PAGEREF _Toc21576 \h </w:instrText>
      </w:r>
      <w:r>
        <w:rPr>
          <w:highlight w:val="none"/>
        </w:rPr>
        <w:fldChar w:fldCharType="separate"/>
      </w:r>
      <w:r>
        <w:rPr>
          <w:highlight w:val="none"/>
        </w:rPr>
        <w:t>4</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_Toc10592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rPr>
        <w:t xml:space="preserve">2.10. </w:t>
      </w:r>
      <w:r>
        <w:rPr>
          <w:rFonts w:hint="eastAsia"/>
          <w:highlight w:val="none"/>
        </w:rPr>
        <w:t>项目交付成果</w:t>
      </w:r>
      <w:r>
        <w:rPr>
          <w:highlight w:val="none"/>
        </w:rPr>
        <w:tab/>
      </w:r>
      <w:r>
        <w:rPr>
          <w:highlight w:val="none"/>
        </w:rPr>
        <w:fldChar w:fldCharType="begin"/>
      </w:r>
      <w:r>
        <w:rPr>
          <w:highlight w:val="none"/>
        </w:rPr>
        <w:instrText xml:space="preserve"> PAGEREF _Toc10592 \h </w:instrText>
      </w:r>
      <w:r>
        <w:rPr>
          <w:highlight w:val="none"/>
        </w:rPr>
        <w:fldChar w:fldCharType="separate"/>
      </w:r>
      <w:r>
        <w:rPr>
          <w:highlight w:val="none"/>
        </w:rPr>
        <w:t>4</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_Toc9435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bCs/>
          <w:szCs w:val="24"/>
          <w:highlight w:val="none"/>
          <w:lang w:val="en-US" w:eastAsia="zh-CN"/>
        </w:rPr>
        <w:t xml:space="preserve">2.11. </w:t>
      </w:r>
      <w:r>
        <w:rPr>
          <w:rFonts w:hint="eastAsia" w:hAnsi="Arial"/>
          <w:bCs/>
          <w:highlight w:val="none"/>
          <w:lang w:val="en-US" w:eastAsia="zh-CN"/>
        </w:rPr>
        <w:t>安全保密要求</w:t>
      </w:r>
      <w:r>
        <w:rPr>
          <w:highlight w:val="none"/>
        </w:rPr>
        <w:tab/>
      </w:r>
      <w:r>
        <w:rPr>
          <w:highlight w:val="none"/>
        </w:rPr>
        <w:fldChar w:fldCharType="begin"/>
      </w:r>
      <w:r>
        <w:rPr>
          <w:highlight w:val="none"/>
        </w:rPr>
        <w:instrText xml:space="preserve"> PAGEREF _Toc9435 \h </w:instrText>
      </w:r>
      <w:r>
        <w:rPr>
          <w:highlight w:val="none"/>
        </w:rPr>
        <w:fldChar w:fldCharType="separate"/>
      </w:r>
      <w:r>
        <w:rPr>
          <w:highlight w:val="none"/>
        </w:rPr>
        <w:t>4</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_Toc22995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bCs/>
          <w:szCs w:val="24"/>
          <w:highlight w:val="none"/>
          <w:lang w:val="en-US" w:eastAsia="zh-CN"/>
        </w:rPr>
        <w:t xml:space="preserve">2.12. </w:t>
      </w:r>
      <w:r>
        <w:rPr>
          <w:rFonts w:hint="eastAsia" w:hAnsi="Arial"/>
          <w:bCs/>
          <w:highlight w:val="none"/>
          <w:lang w:val="en-US" w:eastAsia="zh-CN"/>
        </w:rPr>
        <w:t>项目验收要求</w:t>
      </w:r>
      <w:r>
        <w:rPr>
          <w:highlight w:val="none"/>
        </w:rPr>
        <w:tab/>
      </w:r>
      <w:r>
        <w:rPr>
          <w:highlight w:val="none"/>
        </w:rPr>
        <w:fldChar w:fldCharType="begin"/>
      </w:r>
      <w:r>
        <w:rPr>
          <w:highlight w:val="none"/>
        </w:rPr>
        <w:instrText xml:space="preserve"> PAGEREF _Toc22995 \h </w:instrText>
      </w:r>
      <w:r>
        <w:rPr>
          <w:highlight w:val="none"/>
        </w:rPr>
        <w:fldChar w:fldCharType="separate"/>
      </w:r>
      <w:r>
        <w:rPr>
          <w:highlight w:val="none"/>
        </w:rPr>
        <w:t>5</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5"/>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_Toc15777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i w:val="0"/>
          <w:spacing w:val="-12"/>
          <w:szCs w:val="44"/>
          <w:highlight w:val="none"/>
        </w:rPr>
        <w:t xml:space="preserve">3. </w:t>
      </w:r>
      <w:r>
        <w:rPr>
          <w:rFonts w:hint="eastAsia"/>
          <w:highlight w:val="none"/>
          <w:lang w:eastAsia="zh-CN"/>
        </w:rPr>
        <w:t>其他</w:t>
      </w:r>
      <w:r>
        <w:rPr>
          <w:highlight w:val="none"/>
        </w:rPr>
        <w:tab/>
      </w:r>
      <w:r>
        <w:rPr>
          <w:highlight w:val="none"/>
        </w:rPr>
        <w:fldChar w:fldCharType="begin"/>
      </w:r>
      <w:r>
        <w:rPr>
          <w:highlight w:val="none"/>
        </w:rPr>
        <w:instrText xml:space="preserve"> PAGEREF _Toc15777 \h </w:instrText>
      </w:r>
      <w:r>
        <w:rPr>
          <w:highlight w:val="none"/>
        </w:rPr>
        <w:fldChar w:fldCharType="separate"/>
      </w:r>
      <w:r>
        <w:rPr>
          <w:highlight w:val="none"/>
        </w:rPr>
        <w:t>5</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_Toc24396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lang w:val="en-US" w:eastAsia="zh-CN"/>
        </w:rPr>
        <w:t xml:space="preserve">3.1. </w:t>
      </w:r>
      <w:r>
        <w:rPr>
          <w:rFonts w:hint="eastAsia"/>
          <w:highlight w:val="none"/>
          <w:lang w:val="en-US" w:eastAsia="zh-CN"/>
        </w:rPr>
        <w:t>系统功能要求</w:t>
      </w:r>
      <w:r>
        <w:rPr>
          <w:highlight w:val="none"/>
        </w:rPr>
        <w:tab/>
      </w:r>
      <w:r>
        <w:rPr>
          <w:highlight w:val="none"/>
        </w:rPr>
        <w:fldChar w:fldCharType="begin"/>
      </w:r>
      <w:r>
        <w:rPr>
          <w:highlight w:val="none"/>
        </w:rPr>
        <w:instrText xml:space="preserve"> PAGEREF _Toc24396 \h </w:instrText>
      </w:r>
      <w:r>
        <w:rPr>
          <w:highlight w:val="none"/>
        </w:rPr>
        <w:fldChar w:fldCharType="separate"/>
      </w:r>
      <w:r>
        <w:rPr>
          <w:highlight w:val="none"/>
        </w:rPr>
        <w:t>5</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_Toc21371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lang w:val="en-US" w:eastAsia="zh-CN"/>
        </w:rPr>
        <w:t xml:space="preserve">3.1.1. </w:t>
      </w:r>
      <w:r>
        <w:rPr>
          <w:rFonts w:hint="eastAsia"/>
          <w:highlight w:val="none"/>
          <w:lang w:val="en-US" w:eastAsia="zh-CN"/>
        </w:rPr>
        <w:t>功能点清单</w:t>
      </w:r>
      <w:r>
        <w:rPr>
          <w:highlight w:val="none"/>
        </w:rPr>
        <w:tab/>
      </w:r>
      <w:r>
        <w:rPr>
          <w:highlight w:val="none"/>
        </w:rPr>
        <w:fldChar w:fldCharType="begin"/>
      </w:r>
      <w:r>
        <w:rPr>
          <w:highlight w:val="none"/>
        </w:rPr>
        <w:instrText xml:space="preserve"> PAGEREF _Toc21371 \h </w:instrText>
      </w:r>
      <w:r>
        <w:rPr>
          <w:highlight w:val="none"/>
        </w:rPr>
        <w:fldChar w:fldCharType="separate"/>
      </w:r>
      <w:r>
        <w:rPr>
          <w:highlight w:val="none"/>
        </w:rPr>
        <w:t>5</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_Toc27149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lang w:val="en-US" w:eastAsia="zh-CN"/>
        </w:rPr>
        <w:t xml:space="preserve">3.1.2. </w:t>
      </w:r>
      <w:r>
        <w:rPr>
          <w:rFonts w:hint="eastAsia"/>
          <w:highlight w:val="none"/>
          <w:lang w:val="en-US" w:eastAsia="zh-CN"/>
        </w:rPr>
        <w:t>数据导入</w:t>
      </w:r>
      <w:r>
        <w:rPr>
          <w:highlight w:val="none"/>
        </w:rPr>
        <w:tab/>
      </w:r>
      <w:r>
        <w:rPr>
          <w:highlight w:val="none"/>
        </w:rPr>
        <w:fldChar w:fldCharType="begin"/>
      </w:r>
      <w:r>
        <w:rPr>
          <w:highlight w:val="none"/>
        </w:rPr>
        <w:instrText xml:space="preserve"> PAGEREF _Toc27149 \h </w:instrText>
      </w:r>
      <w:r>
        <w:rPr>
          <w:highlight w:val="none"/>
        </w:rPr>
        <w:fldChar w:fldCharType="separate"/>
      </w:r>
      <w:r>
        <w:rPr>
          <w:highlight w:val="none"/>
        </w:rPr>
        <w:t>6</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_Toc4327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lang w:val="en-US" w:eastAsia="zh-CN"/>
        </w:rPr>
        <w:t xml:space="preserve">3.1.3. </w:t>
      </w:r>
      <w:r>
        <w:rPr>
          <w:rFonts w:hint="eastAsia"/>
          <w:highlight w:val="none"/>
          <w:lang w:val="en-US" w:eastAsia="zh-CN"/>
        </w:rPr>
        <w:t>仪表用量分摊</w:t>
      </w:r>
      <w:r>
        <w:rPr>
          <w:highlight w:val="none"/>
        </w:rPr>
        <w:tab/>
      </w:r>
      <w:r>
        <w:rPr>
          <w:highlight w:val="none"/>
        </w:rPr>
        <w:fldChar w:fldCharType="begin"/>
      </w:r>
      <w:r>
        <w:rPr>
          <w:highlight w:val="none"/>
        </w:rPr>
        <w:instrText xml:space="preserve"> PAGEREF _Toc4327 \h </w:instrText>
      </w:r>
      <w:r>
        <w:rPr>
          <w:highlight w:val="none"/>
        </w:rPr>
        <w:fldChar w:fldCharType="separate"/>
      </w:r>
      <w:r>
        <w:rPr>
          <w:highlight w:val="none"/>
        </w:rPr>
        <w:t>6</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_Toc20700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lang w:val="en-US" w:eastAsia="zh-CN"/>
        </w:rPr>
        <w:t xml:space="preserve">3.2. </w:t>
      </w:r>
      <w:r>
        <w:rPr>
          <w:rFonts w:hint="eastAsia"/>
          <w:highlight w:val="none"/>
          <w:lang w:val="en-US" w:eastAsia="zh-CN"/>
        </w:rPr>
        <w:t>数据格式要求</w:t>
      </w:r>
      <w:r>
        <w:rPr>
          <w:highlight w:val="none"/>
        </w:rPr>
        <w:tab/>
      </w:r>
      <w:r>
        <w:rPr>
          <w:highlight w:val="none"/>
        </w:rPr>
        <w:fldChar w:fldCharType="begin"/>
      </w:r>
      <w:r>
        <w:rPr>
          <w:highlight w:val="none"/>
        </w:rPr>
        <w:instrText xml:space="preserve"> PAGEREF _Toc20700 \h </w:instrText>
      </w:r>
      <w:r>
        <w:rPr>
          <w:highlight w:val="none"/>
        </w:rPr>
        <w:fldChar w:fldCharType="separate"/>
      </w:r>
      <w:r>
        <w:rPr>
          <w:highlight w:val="none"/>
        </w:rPr>
        <w:t>6</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_Toc22246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lang w:val="en-US" w:eastAsia="zh-CN"/>
        </w:rPr>
        <w:t xml:space="preserve">3.2.1. </w:t>
      </w:r>
      <w:r>
        <w:rPr>
          <w:rFonts w:hint="eastAsia"/>
          <w:highlight w:val="none"/>
          <w:lang w:val="en-US" w:eastAsia="zh-CN"/>
        </w:rPr>
        <w:t>房产信息</w:t>
      </w:r>
      <w:r>
        <w:rPr>
          <w:highlight w:val="none"/>
        </w:rPr>
        <w:tab/>
      </w:r>
      <w:r>
        <w:rPr>
          <w:highlight w:val="none"/>
        </w:rPr>
        <w:fldChar w:fldCharType="begin"/>
      </w:r>
      <w:r>
        <w:rPr>
          <w:highlight w:val="none"/>
        </w:rPr>
        <w:instrText xml:space="preserve"> PAGEREF _Toc22246 \h </w:instrText>
      </w:r>
      <w:r>
        <w:rPr>
          <w:highlight w:val="none"/>
        </w:rPr>
        <w:fldChar w:fldCharType="separate"/>
      </w:r>
      <w:r>
        <w:rPr>
          <w:highlight w:val="none"/>
        </w:rPr>
        <w:t>6</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_Toc2235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lang w:val="en-US" w:eastAsia="zh-CN"/>
        </w:rPr>
        <w:t xml:space="preserve">3.2.2. </w:t>
      </w:r>
      <w:r>
        <w:rPr>
          <w:rFonts w:hint="eastAsia"/>
          <w:highlight w:val="none"/>
          <w:lang w:val="en-US" w:eastAsia="zh-CN"/>
        </w:rPr>
        <w:t>客户信息</w:t>
      </w:r>
      <w:r>
        <w:rPr>
          <w:highlight w:val="none"/>
        </w:rPr>
        <w:tab/>
      </w:r>
      <w:r>
        <w:rPr>
          <w:highlight w:val="none"/>
        </w:rPr>
        <w:fldChar w:fldCharType="begin"/>
      </w:r>
      <w:r>
        <w:rPr>
          <w:highlight w:val="none"/>
        </w:rPr>
        <w:instrText xml:space="preserve"> PAGEREF _Toc2235 \h </w:instrText>
      </w:r>
      <w:r>
        <w:rPr>
          <w:highlight w:val="none"/>
        </w:rPr>
        <w:fldChar w:fldCharType="separate"/>
      </w:r>
      <w:r>
        <w:rPr>
          <w:highlight w:val="none"/>
        </w:rPr>
        <w:t>7</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_Toc9811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lang w:val="en-US" w:eastAsia="zh-CN"/>
        </w:rPr>
        <w:t xml:space="preserve">3.2.3. </w:t>
      </w:r>
      <w:r>
        <w:rPr>
          <w:rFonts w:hint="eastAsia"/>
          <w:highlight w:val="none"/>
          <w:lang w:val="en-US" w:eastAsia="zh-CN"/>
        </w:rPr>
        <w:t>普通仪表信息</w:t>
      </w:r>
      <w:r>
        <w:rPr>
          <w:highlight w:val="none"/>
        </w:rPr>
        <w:tab/>
      </w:r>
      <w:r>
        <w:rPr>
          <w:highlight w:val="none"/>
        </w:rPr>
        <w:fldChar w:fldCharType="begin"/>
      </w:r>
      <w:r>
        <w:rPr>
          <w:highlight w:val="none"/>
        </w:rPr>
        <w:instrText xml:space="preserve"> PAGEREF _Toc9811 \h </w:instrText>
      </w:r>
      <w:r>
        <w:rPr>
          <w:highlight w:val="none"/>
        </w:rPr>
        <w:fldChar w:fldCharType="separate"/>
      </w:r>
      <w:r>
        <w:rPr>
          <w:highlight w:val="none"/>
        </w:rPr>
        <w:t>7</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_Toc30581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lang w:val="en-US" w:eastAsia="zh-CN"/>
        </w:rPr>
        <w:t xml:space="preserve">3.2.4. </w:t>
      </w:r>
      <w:r>
        <w:rPr>
          <w:rFonts w:hint="eastAsia"/>
          <w:highlight w:val="none"/>
          <w:lang w:val="en-US" w:eastAsia="zh-CN"/>
        </w:rPr>
        <w:t>普通仪表抄表明细</w:t>
      </w:r>
      <w:r>
        <w:rPr>
          <w:highlight w:val="none"/>
        </w:rPr>
        <w:tab/>
      </w:r>
      <w:r>
        <w:rPr>
          <w:highlight w:val="none"/>
        </w:rPr>
        <w:fldChar w:fldCharType="begin"/>
      </w:r>
      <w:r>
        <w:rPr>
          <w:highlight w:val="none"/>
        </w:rPr>
        <w:instrText xml:space="preserve"> PAGEREF _Toc30581 \h </w:instrText>
      </w:r>
      <w:r>
        <w:rPr>
          <w:highlight w:val="none"/>
        </w:rPr>
        <w:fldChar w:fldCharType="separate"/>
      </w:r>
      <w:r>
        <w:rPr>
          <w:highlight w:val="none"/>
        </w:rPr>
        <w:t>7</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_Toc31935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lang w:val="en-US" w:eastAsia="zh-CN"/>
        </w:rPr>
        <w:t xml:space="preserve">3.2.5. </w:t>
      </w:r>
      <w:r>
        <w:rPr>
          <w:rFonts w:hint="eastAsia"/>
          <w:highlight w:val="none"/>
          <w:lang w:val="en-US" w:eastAsia="zh-CN"/>
        </w:rPr>
        <w:t>公摊仪表信息</w:t>
      </w:r>
      <w:r>
        <w:rPr>
          <w:highlight w:val="none"/>
        </w:rPr>
        <w:tab/>
      </w:r>
      <w:r>
        <w:rPr>
          <w:highlight w:val="none"/>
        </w:rPr>
        <w:fldChar w:fldCharType="begin"/>
      </w:r>
      <w:r>
        <w:rPr>
          <w:highlight w:val="none"/>
        </w:rPr>
        <w:instrText xml:space="preserve"> PAGEREF _Toc31935 \h </w:instrText>
      </w:r>
      <w:r>
        <w:rPr>
          <w:highlight w:val="none"/>
        </w:rPr>
        <w:fldChar w:fldCharType="separate"/>
      </w:r>
      <w:r>
        <w:rPr>
          <w:highlight w:val="none"/>
        </w:rPr>
        <w:t>7</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_Toc24450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lang w:val="en-US" w:eastAsia="zh-CN"/>
        </w:rPr>
        <w:t xml:space="preserve">3.2.6. </w:t>
      </w:r>
      <w:r>
        <w:rPr>
          <w:rFonts w:hint="eastAsia"/>
          <w:highlight w:val="none"/>
          <w:lang w:val="en-US" w:eastAsia="zh-CN"/>
        </w:rPr>
        <w:t>公摊仪表抄表明细</w:t>
      </w:r>
      <w:r>
        <w:rPr>
          <w:highlight w:val="none"/>
        </w:rPr>
        <w:tab/>
      </w:r>
      <w:r>
        <w:rPr>
          <w:highlight w:val="none"/>
        </w:rPr>
        <w:fldChar w:fldCharType="begin"/>
      </w:r>
      <w:r>
        <w:rPr>
          <w:highlight w:val="none"/>
        </w:rPr>
        <w:instrText xml:space="preserve"> PAGEREF _Toc24450 \h </w:instrText>
      </w:r>
      <w:r>
        <w:rPr>
          <w:highlight w:val="none"/>
        </w:rPr>
        <w:fldChar w:fldCharType="separate"/>
      </w:r>
      <w:r>
        <w:rPr>
          <w:highlight w:val="none"/>
        </w:rPr>
        <w:t>8</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_Toc2373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lang w:val="en-US" w:eastAsia="zh-CN"/>
        </w:rPr>
        <w:t xml:space="preserve">3.2.7. </w:t>
      </w:r>
      <w:r>
        <w:rPr>
          <w:rFonts w:hint="eastAsia"/>
          <w:highlight w:val="none"/>
          <w:lang w:val="en-US" w:eastAsia="zh-CN"/>
        </w:rPr>
        <w:t>应收款信息</w:t>
      </w:r>
      <w:r>
        <w:rPr>
          <w:highlight w:val="none"/>
        </w:rPr>
        <w:tab/>
      </w:r>
      <w:r>
        <w:rPr>
          <w:highlight w:val="none"/>
        </w:rPr>
        <w:fldChar w:fldCharType="begin"/>
      </w:r>
      <w:r>
        <w:rPr>
          <w:highlight w:val="none"/>
        </w:rPr>
        <w:instrText xml:space="preserve"> PAGEREF _Toc2373 \h </w:instrText>
      </w:r>
      <w:r>
        <w:rPr>
          <w:highlight w:val="none"/>
        </w:rPr>
        <w:fldChar w:fldCharType="separate"/>
      </w:r>
      <w:r>
        <w:rPr>
          <w:highlight w:val="none"/>
        </w:rPr>
        <w:t>8</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_Toc22539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lang w:val="en-US" w:eastAsia="zh-CN"/>
        </w:rPr>
        <w:t xml:space="preserve">3.2.8. </w:t>
      </w:r>
      <w:r>
        <w:rPr>
          <w:rFonts w:hint="eastAsia"/>
          <w:highlight w:val="none"/>
          <w:lang w:val="en-US" w:eastAsia="zh-CN"/>
        </w:rPr>
        <w:t>设备信息</w:t>
      </w:r>
      <w:r>
        <w:rPr>
          <w:highlight w:val="none"/>
        </w:rPr>
        <w:tab/>
      </w:r>
      <w:r>
        <w:rPr>
          <w:highlight w:val="none"/>
        </w:rPr>
        <w:fldChar w:fldCharType="begin"/>
      </w:r>
      <w:r>
        <w:rPr>
          <w:highlight w:val="none"/>
        </w:rPr>
        <w:instrText xml:space="preserve"> PAGEREF _Toc22539 \h </w:instrText>
      </w:r>
      <w:r>
        <w:rPr>
          <w:highlight w:val="none"/>
        </w:rPr>
        <w:fldChar w:fldCharType="separate"/>
      </w:r>
      <w:r>
        <w:rPr>
          <w:highlight w:val="none"/>
        </w:rPr>
        <w:t>8</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18"/>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_Toc250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cs="Times New Roman"/>
          <w:highlight w:val="none"/>
          <w:lang w:val="en-US" w:eastAsia="zh-CN"/>
        </w:rPr>
        <w:t xml:space="preserve">3.2.9. </w:t>
      </w:r>
      <w:r>
        <w:rPr>
          <w:rFonts w:hint="eastAsia"/>
          <w:highlight w:val="none"/>
          <w:lang w:val="en-US" w:eastAsia="zh-CN"/>
        </w:rPr>
        <w:t>工单信息</w:t>
      </w:r>
      <w:r>
        <w:rPr>
          <w:highlight w:val="none"/>
        </w:rPr>
        <w:tab/>
      </w:r>
      <w:r>
        <w:rPr>
          <w:highlight w:val="none"/>
        </w:rPr>
        <w:fldChar w:fldCharType="begin"/>
      </w:r>
      <w:r>
        <w:rPr>
          <w:highlight w:val="none"/>
        </w:rPr>
        <w:instrText xml:space="preserve"> PAGEREF _Toc250 \h </w:instrText>
      </w:r>
      <w:r>
        <w:rPr>
          <w:highlight w:val="none"/>
        </w:rPr>
        <w:fldChar w:fldCharType="separate"/>
      </w:r>
      <w:r>
        <w:rPr>
          <w:highlight w:val="none"/>
        </w:rPr>
        <w:t>9</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7"/>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_Toc6682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szCs w:val="24"/>
          <w:highlight w:val="none"/>
          <w:lang w:val="en-US" w:eastAsia="zh-CN"/>
        </w:rPr>
        <w:t xml:space="preserve">3.3. </w:t>
      </w:r>
      <w:r>
        <w:rPr>
          <w:rFonts w:hint="eastAsia"/>
          <w:highlight w:val="none"/>
          <w:lang w:val="en-US" w:eastAsia="zh-CN"/>
        </w:rPr>
        <w:t>数据迁移要求</w:t>
      </w:r>
      <w:r>
        <w:rPr>
          <w:highlight w:val="none"/>
        </w:rPr>
        <w:tab/>
      </w:r>
      <w:r>
        <w:rPr>
          <w:highlight w:val="none"/>
        </w:rPr>
        <w:fldChar w:fldCharType="begin"/>
      </w:r>
      <w:r>
        <w:rPr>
          <w:highlight w:val="none"/>
        </w:rPr>
        <w:instrText xml:space="preserve"> PAGEREF _Toc6682 \h </w:instrText>
      </w:r>
      <w:r>
        <w:rPr>
          <w:highlight w:val="none"/>
        </w:rPr>
        <w:fldChar w:fldCharType="separate"/>
      </w:r>
      <w:r>
        <w:rPr>
          <w:highlight w:val="none"/>
        </w:rPr>
        <w:t>9</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25"/>
        <w:tabs>
          <w:tab w:val="right" w:leader="dot" w:pos="8312"/>
        </w:tabs>
        <w:rPr>
          <w:highlight w:val="none"/>
        </w:rPr>
      </w:pPr>
      <w:r>
        <w:rPr>
          <w:rFonts w:hint="eastAsia" w:ascii="仿宋_GB2312" w:hAnsi="仿宋_GB2312" w:eastAsia="仿宋_GB2312" w:cs="仿宋_GB2312"/>
          <w:bCs w:val="0"/>
          <w:caps w:val="0"/>
          <w:szCs w:val="24"/>
          <w:highlight w:val="none"/>
        </w:rPr>
        <w:fldChar w:fldCharType="begin"/>
      </w:r>
      <w:r>
        <w:rPr>
          <w:rFonts w:hint="eastAsia" w:ascii="仿宋_GB2312" w:hAnsi="仿宋_GB2312" w:eastAsia="仿宋_GB2312" w:cs="仿宋_GB2312"/>
          <w:bCs w:val="0"/>
          <w:caps w:val="0"/>
          <w:szCs w:val="24"/>
          <w:highlight w:val="none"/>
        </w:rPr>
        <w:instrText xml:space="preserve"> HYPERLINK \l _Toc22500 </w:instrText>
      </w:r>
      <w:r>
        <w:rPr>
          <w:rFonts w:hint="eastAsia" w:ascii="仿宋_GB2312" w:hAnsi="仿宋_GB2312" w:eastAsia="仿宋_GB2312" w:cs="仿宋_GB2312"/>
          <w:bCs w:val="0"/>
          <w:caps w:val="0"/>
          <w:szCs w:val="24"/>
          <w:highlight w:val="none"/>
        </w:rPr>
        <w:fldChar w:fldCharType="separate"/>
      </w:r>
      <w:r>
        <w:rPr>
          <w:rFonts w:hint="default" w:ascii="Times New Roman" w:hAnsi="Times New Roman" w:eastAsia="宋体"/>
          <w:i w:val="0"/>
          <w:spacing w:val="-12"/>
          <w:szCs w:val="44"/>
          <w:highlight w:val="none"/>
        </w:rPr>
        <w:t xml:space="preserve">4. </w:t>
      </w:r>
      <w:r>
        <w:rPr>
          <w:rFonts w:hint="eastAsia"/>
          <w:highlight w:val="none"/>
          <w:lang w:eastAsia="zh-CN"/>
        </w:rPr>
        <w:t>附件</w:t>
      </w:r>
      <w:r>
        <w:rPr>
          <w:highlight w:val="none"/>
        </w:rPr>
        <w:tab/>
      </w:r>
      <w:r>
        <w:rPr>
          <w:highlight w:val="none"/>
        </w:rPr>
        <w:fldChar w:fldCharType="begin"/>
      </w:r>
      <w:r>
        <w:rPr>
          <w:highlight w:val="none"/>
        </w:rPr>
        <w:instrText xml:space="preserve"> PAGEREF _Toc22500 \h </w:instrText>
      </w:r>
      <w:r>
        <w:rPr>
          <w:highlight w:val="none"/>
        </w:rPr>
        <w:fldChar w:fldCharType="separate"/>
      </w:r>
      <w:r>
        <w:rPr>
          <w:highlight w:val="none"/>
        </w:rPr>
        <w:t>9</w:t>
      </w:r>
      <w:r>
        <w:rPr>
          <w:highlight w:val="none"/>
        </w:rPr>
        <w:fldChar w:fldCharType="end"/>
      </w:r>
      <w:r>
        <w:rPr>
          <w:rFonts w:hint="eastAsia" w:ascii="仿宋_GB2312" w:hAnsi="仿宋_GB2312" w:eastAsia="仿宋_GB2312" w:cs="仿宋_GB2312"/>
          <w:bCs w:val="0"/>
          <w:caps w:val="0"/>
          <w:szCs w:val="24"/>
          <w:highlight w:val="none"/>
        </w:rPr>
        <w:fldChar w:fldCharType="end"/>
      </w:r>
    </w:p>
    <w:p>
      <w:pPr>
        <w:pStyle w:val="50"/>
        <w:tabs>
          <w:tab w:val="left" w:pos="420"/>
          <w:tab w:val="right" w:leader="dot" w:pos="8302"/>
        </w:tabs>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bCs w:val="0"/>
          <w:caps w:val="0"/>
          <w:szCs w:val="24"/>
          <w:highlight w:val="none"/>
        </w:rPr>
        <w:fldChar w:fldCharType="end"/>
      </w:r>
    </w:p>
    <w:p>
      <w:pPr>
        <w:spacing w:line="360" w:lineRule="auto"/>
        <w:rPr>
          <w:rFonts w:ascii="仿宋" w:hAnsi="仿宋" w:eastAsia="仿宋_GB2312"/>
          <w:sz w:val="24"/>
          <w:highlight w:val="none"/>
        </w:rPr>
      </w:pPr>
    </w:p>
    <w:p>
      <w:pPr>
        <w:spacing w:line="360" w:lineRule="auto"/>
        <w:rPr>
          <w:rFonts w:ascii="仿宋" w:hAnsi="仿宋" w:eastAsia="仿宋_GB2312"/>
          <w:sz w:val="24"/>
          <w:highlight w:val="none"/>
        </w:rPr>
      </w:pPr>
    </w:p>
    <w:p>
      <w:pPr>
        <w:spacing w:line="360" w:lineRule="auto"/>
        <w:rPr>
          <w:rFonts w:ascii="仿宋" w:hAnsi="仿宋" w:eastAsia="仿宋_GB2312"/>
          <w:sz w:val="24"/>
          <w:highlight w:val="none"/>
        </w:rPr>
      </w:pPr>
    </w:p>
    <w:p>
      <w:pPr>
        <w:spacing w:line="360" w:lineRule="auto"/>
        <w:rPr>
          <w:rFonts w:ascii="仿宋" w:hAnsi="仿宋" w:eastAsia="仿宋_GB2312"/>
          <w:sz w:val="24"/>
          <w:highlight w:val="none"/>
        </w:rPr>
        <w:sectPr>
          <w:headerReference r:id="rId9" w:type="default"/>
          <w:footerReference r:id="rId10" w:type="default"/>
          <w:pgSz w:w="11906" w:h="16838"/>
          <w:pgMar w:top="1440" w:right="1797" w:bottom="1440" w:left="1797" w:header="851" w:footer="992" w:gutter="0"/>
          <w:pgNumType w:fmt="lowerRoman" w:start="1"/>
          <w:cols w:space="720" w:num="1"/>
          <w:docGrid w:type="lines" w:linePitch="312" w:charSpace="0"/>
        </w:sectPr>
      </w:pPr>
    </w:p>
    <w:p>
      <w:pPr>
        <w:pStyle w:val="2"/>
        <w:rPr>
          <w:rFonts w:hint="eastAsia" w:ascii="黑体" w:hAnsi="黑体" w:eastAsia="黑体" w:cs="黑体"/>
          <w:highlight w:val="none"/>
        </w:rPr>
      </w:pPr>
      <w:bookmarkStart w:id="6" w:name="_Toc192340307"/>
      <w:bookmarkEnd w:id="6"/>
      <w:bookmarkStart w:id="7" w:name="_Toc192340308"/>
      <w:bookmarkEnd w:id="7"/>
      <w:bookmarkStart w:id="8" w:name="_Toc198288426"/>
      <w:bookmarkStart w:id="9" w:name="_Toc12196"/>
      <w:bookmarkStart w:id="10" w:name="_Toc147371417"/>
      <w:r>
        <w:rPr>
          <w:rFonts w:hint="eastAsia" w:ascii="黑体" w:hAnsi="黑体" w:eastAsia="黑体" w:cs="黑体"/>
          <w:highlight w:val="none"/>
        </w:rPr>
        <w:t>总则</w:t>
      </w:r>
      <w:bookmarkEnd w:id="8"/>
      <w:bookmarkEnd w:id="9"/>
    </w:p>
    <w:p>
      <w:pPr>
        <w:pStyle w:val="3"/>
        <w:rPr>
          <w:highlight w:val="none"/>
        </w:rPr>
      </w:pPr>
      <w:bookmarkStart w:id="11" w:name="_Toc296516184"/>
      <w:bookmarkStart w:id="12" w:name="_Toc270544309"/>
      <w:bookmarkStart w:id="13" w:name="_Toc27775"/>
      <w:r>
        <w:rPr>
          <w:rFonts w:hint="eastAsia"/>
          <w:highlight w:val="none"/>
        </w:rPr>
        <w:t>概述</w:t>
      </w:r>
      <w:bookmarkEnd w:id="11"/>
      <w:bookmarkEnd w:id="12"/>
      <w:bookmarkEnd w:id="13"/>
    </w:p>
    <w:p>
      <w:pPr>
        <w:pStyle w:val="11"/>
        <w:numPr>
          <w:ilvl w:val="0"/>
          <w:numId w:val="6"/>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本文件适用于南方电网数字电网研究院有限公司（以下简称招标人）</w:t>
      </w:r>
      <w:r>
        <w:rPr>
          <w:rFonts w:hint="eastAsia" w:ascii="仿宋_GB2312" w:hAnsi="仿宋_GB2312" w:eastAsia="仿宋_GB2312" w:cs="仿宋_GB2312"/>
          <w:sz w:val="28"/>
          <w:szCs w:val="28"/>
          <w:highlight w:val="none"/>
          <w:u w:val="single"/>
          <w:lang w:val="en-US" w:eastAsia="zh-CN"/>
        </w:rPr>
        <w:t>2024年华圃周转房智慧物管平台零星采购项目</w:t>
      </w:r>
      <w:r>
        <w:rPr>
          <w:rFonts w:hint="eastAsia" w:ascii="仿宋_GB2312" w:hAnsi="仿宋_GB2312" w:eastAsia="仿宋_GB2312" w:cs="仿宋_GB2312"/>
          <w:bCs/>
          <w:sz w:val="28"/>
          <w:szCs w:val="28"/>
          <w:highlight w:val="none"/>
        </w:rPr>
        <w:t>采购</w:t>
      </w:r>
      <w:r>
        <w:rPr>
          <w:rFonts w:hint="eastAsia" w:ascii="仿宋_GB2312" w:hAnsi="仿宋_GB2312" w:eastAsia="仿宋_GB2312" w:cs="仿宋_GB2312"/>
          <w:sz w:val="28"/>
          <w:szCs w:val="28"/>
          <w:highlight w:val="none"/>
        </w:rPr>
        <w:t>，本文件的最终解释权归招标方。</w:t>
      </w:r>
    </w:p>
    <w:p>
      <w:pPr>
        <w:pStyle w:val="11"/>
        <w:numPr>
          <w:ilvl w:val="0"/>
          <w:numId w:val="6"/>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投标人可以就招标人认为的遗漏项目提请招标人注意，并详细说明理由。招标人将就此进行澄清。</w:t>
      </w:r>
    </w:p>
    <w:p>
      <w:pPr>
        <w:pStyle w:val="11"/>
        <w:numPr>
          <w:ilvl w:val="0"/>
          <w:numId w:val="6"/>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应按照本技术规范书的要求提供详细、完整的技术方案。所提供的技术方案应完全满足或高于本技术规范书的要求，对于本技术规范书中的条款，投标人如不能满足要求，或有其它替代方案，或有其它修改建议，应在技术方案以及技术差异表中指出其必须进行修改的理由以及与原要求的差别。对于本技术规范书未规定的有关系统性能和功能，投标人应提出补充要求或建议，并陈述其理由。</w:t>
      </w:r>
    </w:p>
    <w:p>
      <w:pPr>
        <w:pStyle w:val="11"/>
        <w:numPr>
          <w:ilvl w:val="0"/>
          <w:numId w:val="6"/>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招标人在任何时候保留和拥有对本技术规范书的解释权。</w:t>
      </w:r>
    </w:p>
    <w:p>
      <w:pPr>
        <w:pStyle w:val="11"/>
        <w:numPr>
          <w:ilvl w:val="0"/>
          <w:numId w:val="6"/>
        </w:numPr>
        <w:tabs>
          <w:tab w:val="left" w:pos="900"/>
        </w:tabs>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本项目不得转让或分包。</w:t>
      </w:r>
    </w:p>
    <w:p>
      <w:pPr>
        <w:pStyle w:val="3"/>
        <w:rPr>
          <w:highlight w:val="none"/>
        </w:rPr>
      </w:pPr>
      <w:bookmarkStart w:id="14" w:name="_Toc285723380"/>
      <w:bookmarkStart w:id="15" w:name="_Toc286929894"/>
      <w:bookmarkStart w:id="16" w:name="_Toc296516186"/>
      <w:bookmarkStart w:id="17" w:name="_Toc9878"/>
      <w:bookmarkStart w:id="18" w:name="_Toc113682936"/>
      <w:bookmarkStart w:id="19" w:name="_Toc105396785"/>
      <w:bookmarkStart w:id="20" w:name="_Toc288466921"/>
      <w:bookmarkStart w:id="21" w:name="_Toc270544311"/>
      <w:r>
        <w:rPr>
          <w:rFonts w:hint="eastAsia"/>
          <w:highlight w:val="none"/>
        </w:rPr>
        <w:t>对投标技术文件的要</w:t>
      </w:r>
      <w:bookmarkEnd w:id="14"/>
      <w:r>
        <w:rPr>
          <w:rFonts w:hint="eastAsia"/>
          <w:highlight w:val="none"/>
        </w:rPr>
        <w:t>求</w:t>
      </w:r>
      <w:bookmarkEnd w:id="15"/>
      <w:bookmarkEnd w:id="16"/>
      <w:bookmarkEnd w:id="17"/>
      <w:bookmarkEnd w:id="18"/>
      <w:bookmarkEnd w:id="19"/>
      <w:bookmarkEnd w:id="20"/>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投标技术文件必须包括但不限于以下内容：</w:t>
      </w:r>
    </w:p>
    <w:p>
      <w:pPr>
        <w:numPr>
          <w:ilvl w:val="0"/>
          <w:numId w:val="7"/>
        </w:numPr>
        <w:spacing w:line="360" w:lineRule="auto"/>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系统功能点证明；</w:t>
      </w:r>
    </w:p>
    <w:p>
      <w:pPr>
        <w:numPr>
          <w:ilvl w:val="0"/>
          <w:numId w:val="7"/>
        </w:numPr>
        <w:spacing w:line="360" w:lineRule="auto"/>
        <w:ind w:firstLine="560" w:firstLineChars="200"/>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数据导入模板；</w:t>
      </w:r>
    </w:p>
    <w:p>
      <w:pPr>
        <w:numPr>
          <w:ilvl w:val="0"/>
          <w:numId w:val="7"/>
        </w:numPr>
        <w:spacing w:line="360" w:lineRule="auto"/>
        <w:ind w:firstLine="560" w:firstLineChars="200"/>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数据迁移、使用培训计划；</w:t>
      </w:r>
    </w:p>
    <w:p>
      <w:pPr>
        <w:numPr>
          <w:ilvl w:val="0"/>
          <w:numId w:val="7"/>
        </w:numPr>
        <w:spacing w:line="360" w:lineRule="auto"/>
        <w:ind w:firstLine="560" w:firstLineChars="200"/>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上线后的服务支持。</w:t>
      </w:r>
    </w:p>
    <w:p>
      <w:pPr>
        <w:pStyle w:val="4"/>
        <w:bidi w:val="0"/>
        <w:rPr>
          <w:highlight w:val="none"/>
        </w:rPr>
      </w:pPr>
      <w:bookmarkStart w:id="22" w:name="_Toc21326"/>
      <w:r>
        <w:rPr>
          <w:rFonts w:hint="eastAsia"/>
          <w:highlight w:val="none"/>
        </w:rPr>
        <w:t>投标文件的响应</w:t>
      </w:r>
      <w:bookmarkEnd w:id="22"/>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w:t>
      </w:r>
      <w:r>
        <w:rPr>
          <w:rFonts w:hint="eastAsia" w:ascii="仿宋_GB2312" w:hAnsi="仿宋_GB2312" w:eastAsia="仿宋_GB2312" w:cs="仿宋_GB2312"/>
          <w:sz w:val="28"/>
          <w:szCs w:val="28"/>
          <w:highlight w:val="none"/>
          <w:lang w:val="en-US" w:eastAsia="zh-CN"/>
        </w:rPr>
        <w:t>方</w:t>
      </w:r>
      <w:r>
        <w:rPr>
          <w:rFonts w:hint="eastAsia" w:ascii="仿宋_GB2312" w:hAnsi="仿宋_GB2312" w:eastAsia="仿宋_GB2312" w:cs="仿宋_GB2312"/>
          <w:sz w:val="28"/>
          <w:szCs w:val="28"/>
          <w:highlight w:val="none"/>
        </w:rPr>
        <w:t>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bookmarkEnd w:id="21"/>
    <w:p>
      <w:pPr>
        <w:pStyle w:val="2"/>
        <w:rPr>
          <w:highlight w:val="none"/>
        </w:rPr>
      </w:pPr>
      <w:bookmarkStart w:id="23" w:name="_Toc30047"/>
      <w:r>
        <w:rPr>
          <w:rFonts w:hint="eastAsia"/>
          <w:highlight w:val="none"/>
        </w:rPr>
        <w:t>项目内容</w:t>
      </w:r>
      <w:bookmarkEnd w:id="23"/>
    </w:p>
    <w:p>
      <w:pPr>
        <w:pStyle w:val="3"/>
        <w:rPr>
          <w:highlight w:val="none"/>
        </w:rPr>
      </w:pPr>
      <w:bookmarkStart w:id="24" w:name="_Toc10991"/>
      <w:r>
        <w:rPr>
          <w:rFonts w:hint="eastAsia"/>
          <w:highlight w:val="none"/>
        </w:rPr>
        <w:t>项目背景</w:t>
      </w:r>
      <w:bookmarkEnd w:id="24"/>
    </w:p>
    <w:p>
      <w:pPr>
        <w:adjustRightInd w:val="0"/>
        <w:snapToGrid w:val="0"/>
        <w:spacing w:line="360" w:lineRule="auto"/>
        <w:rPr>
          <w:rFonts w:hint="eastAsia" w:ascii="仿宋_GB2312" w:hAnsi="仿宋_GB2312" w:eastAsia="仿宋_GB2312" w:cs="仿宋_GB2312"/>
          <w:b w:val="0"/>
          <w:bCs w:val="0"/>
          <w:i w:val="0"/>
          <w:iCs w:val="0"/>
          <w:kern w:val="0"/>
          <w:sz w:val="28"/>
          <w:szCs w:val="28"/>
          <w:highlight w:val="none"/>
          <w:lang w:val="en-US" w:eastAsia="zh-CN"/>
        </w:rPr>
      </w:pPr>
      <w:r>
        <w:rPr>
          <w:rFonts w:hint="eastAsia" w:ascii="仿宋_GB2312" w:hAnsi="仿宋_GB2312" w:eastAsia="仿宋_GB2312" w:cs="仿宋_GB2312"/>
          <w:b w:val="0"/>
          <w:bCs w:val="0"/>
          <w:i/>
          <w:iCs/>
          <w:kern w:val="0"/>
          <w:sz w:val="28"/>
          <w:szCs w:val="28"/>
          <w:highlight w:val="none"/>
          <w:lang w:val="en-US" w:eastAsia="zh-CN"/>
        </w:rPr>
        <w:t xml:space="preserve">    </w:t>
      </w:r>
      <w:r>
        <w:rPr>
          <w:rFonts w:hint="eastAsia" w:ascii="仿宋_GB2312" w:hAnsi="仿宋_GB2312" w:eastAsia="仿宋_GB2312" w:cs="仿宋_GB2312"/>
          <w:b w:val="0"/>
          <w:bCs w:val="0"/>
          <w:i w:val="0"/>
          <w:iCs w:val="0"/>
          <w:kern w:val="0"/>
          <w:sz w:val="28"/>
          <w:szCs w:val="28"/>
          <w:highlight w:val="none"/>
          <w:lang w:val="en-US" w:eastAsia="zh-CN"/>
        </w:rPr>
        <w:t>华圃周转房位于广州市东部黄埔区开创大道与瑞祥路交界处220kV华圃变电站内南侧。（地块距离地铁6号线香雪站约5公里，距离黄埔供电局约7公里，距离局本部约27公里）。周转宿舍楼建筑面积为6303.72平方米，为一栋地上7层建筑。华圃周转房首层为架空层，第二层为公共活动区域；第三层至七层为员工宿舍，分为套内面积30平米、60平米、120平米的员工、干部及专家公寓户型，共计82套宿舍。华圃周转房的存在以下特点：1，租户多，房间内资产类型多、数量多；2，计费仪表数量多、类别多，同时存在入户仪表、分摊仪表；3，华圃周转房为封闭式管理，需核实访客身份；4，二层公共活动室需要向租户提供预约使用服务。</w:t>
      </w:r>
    </w:p>
    <w:p>
      <w:pPr>
        <w:adjustRightInd w:val="0"/>
        <w:snapToGrid w:val="0"/>
        <w:spacing w:line="360" w:lineRule="auto"/>
        <w:ind w:firstLine="560" w:firstLineChars="200"/>
        <w:rPr>
          <w:rFonts w:hint="eastAsia" w:ascii="仿宋_GB2312" w:hAnsi="仿宋_GB2312" w:eastAsia="仿宋_GB2312" w:cs="仿宋_GB2312"/>
          <w:b w:val="0"/>
          <w:bCs w:val="0"/>
          <w:i w:val="0"/>
          <w:iCs w:val="0"/>
          <w:kern w:val="0"/>
          <w:sz w:val="28"/>
          <w:szCs w:val="28"/>
          <w:highlight w:val="none"/>
          <w:lang w:val="en-US" w:eastAsia="zh-CN"/>
        </w:rPr>
      </w:pPr>
      <w:r>
        <w:rPr>
          <w:rFonts w:hint="eastAsia" w:ascii="仿宋_GB2312" w:hAnsi="仿宋_GB2312" w:eastAsia="仿宋_GB2312" w:cs="仿宋_GB2312"/>
          <w:b w:val="0"/>
          <w:bCs w:val="0"/>
          <w:i w:val="0"/>
          <w:iCs w:val="0"/>
          <w:kern w:val="0"/>
          <w:sz w:val="28"/>
          <w:szCs w:val="28"/>
          <w:highlight w:val="none"/>
          <w:lang w:val="en-US" w:eastAsia="zh-CN"/>
        </w:rPr>
        <w:t>为满足华圃周转房的智慧物业管理需求，并承载现有物业数据，现拟采购智慧物业管理平台，以提供必需的软件基础设施。</w:t>
      </w:r>
    </w:p>
    <w:p>
      <w:pPr>
        <w:pStyle w:val="3"/>
        <w:rPr>
          <w:rFonts w:hint="eastAsia"/>
          <w:highlight w:val="none"/>
        </w:rPr>
      </w:pPr>
      <w:bookmarkStart w:id="25" w:name="_Toc14764"/>
      <w:r>
        <w:rPr>
          <w:rFonts w:hint="eastAsia"/>
          <w:highlight w:val="none"/>
        </w:rPr>
        <w:t>项目目标</w:t>
      </w:r>
      <w:bookmarkEnd w:id="25"/>
    </w:p>
    <w:p>
      <w:pPr>
        <w:spacing w:line="360" w:lineRule="auto"/>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满足华圃周转房的智慧物业管理需求，并承载现有的物业数据，包含仪表数据、欠费缴费数据、房产租赁数据、设备资产数据等。</w:t>
      </w:r>
    </w:p>
    <w:p>
      <w:pPr>
        <w:pStyle w:val="3"/>
        <w:rPr>
          <w:highlight w:val="none"/>
        </w:rPr>
      </w:pPr>
      <w:bookmarkStart w:id="26" w:name="_Toc14109"/>
      <w:r>
        <w:rPr>
          <w:rFonts w:hint="eastAsia"/>
          <w:highlight w:val="none"/>
          <w:lang w:eastAsia="zh-CN"/>
        </w:rPr>
        <w:t>应</w:t>
      </w:r>
      <w:r>
        <w:rPr>
          <w:rFonts w:hint="eastAsia"/>
          <w:highlight w:val="none"/>
        </w:rPr>
        <w:t>遵循</w:t>
      </w:r>
      <w:r>
        <w:rPr>
          <w:rFonts w:hint="eastAsia"/>
          <w:highlight w:val="none"/>
          <w:lang w:eastAsia="zh-CN"/>
        </w:rPr>
        <w:t>的</w:t>
      </w:r>
      <w:r>
        <w:rPr>
          <w:rFonts w:hint="eastAsia"/>
          <w:highlight w:val="none"/>
        </w:rPr>
        <w:t>标准</w:t>
      </w:r>
      <w:bookmarkEnd w:id="26"/>
    </w:p>
    <w:p>
      <w:pPr>
        <w:spacing w:line="360" w:lineRule="auto"/>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投标方提供的设计成果应参照国际标准、国家标准、电力行业标准、工信部部颁标准、南方电网公司标准而制定。所用的标准必须是最新版本，如果这些标准的内容有矛盾时，应按照最高标准的条款执行或按双方协商同意的标准或条款执行。如果投标方选用本技术招标书规定以外的标准时，需提交所替换标准相当或优于本技术招标书规定的标准的证明。投标方应遵循包括但是不限于以下相关标准、规划：</w:t>
      </w:r>
      <w:r>
        <w:rPr>
          <w:rFonts w:hint="eastAsia" w:ascii="仿宋_GB2312" w:hAnsi="仿宋_GB2312" w:eastAsia="仿宋_GB2312" w:cs="仿宋_GB2312"/>
          <w:sz w:val="28"/>
          <w:szCs w:val="28"/>
          <w:highlight w:val="none"/>
          <w:lang w:val="en-US" w:eastAsia="zh-CN"/>
        </w:rPr>
        <w:t xml:space="preserve">   </w:t>
      </w:r>
    </w:p>
    <w:p>
      <w:pPr>
        <w:spacing w:line="360" w:lineRule="auto"/>
        <w:ind w:firstLine="560" w:firstLineChars="200"/>
        <w:rPr>
          <w:rFonts w:hint="default" w:ascii="仿宋" w:hAnsi="仿宋" w:eastAsia="仿宋_GB2312"/>
          <w:kern w:val="0"/>
          <w:sz w:val="28"/>
          <w:szCs w:val="28"/>
          <w:highlight w:val="none"/>
          <w:lang w:val="en-US" w:eastAsia="zh-CN"/>
        </w:rPr>
      </w:pPr>
      <w:r>
        <w:rPr>
          <w:rFonts w:hint="eastAsia" w:ascii="仿宋_GB2312" w:hAnsi="仿宋_GB2312" w:eastAsia="仿宋_GB2312" w:cs="仿宋_GB2312"/>
          <w:i w:val="0"/>
          <w:iCs w:val="0"/>
          <w:sz w:val="28"/>
          <w:szCs w:val="28"/>
          <w:highlight w:val="none"/>
          <w:lang w:val="en-US" w:eastAsia="zh-CN"/>
        </w:rPr>
        <w:t>1、</w:t>
      </w:r>
      <w:r>
        <w:rPr>
          <w:rFonts w:hint="eastAsia" w:ascii="仿宋_GB2312" w:hAnsi="仿宋_GB2312" w:eastAsia="仿宋_GB2312" w:cs="仿宋_GB2312"/>
          <w:i w:val="0"/>
          <w:iCs w:val="0"/>
          <w:sz w:val="28"/>
          <w:szCs w:val="28"/>
          <w:highlight w:val="none"/>
          <w:lang w:eastAsia="zh-CN"/>
        </w:rPr>
        <w:t>《信息安全等级保护管理办法》</w:t>
      </w:r>
      <w:r>
        <w:rPr>
          <w:rFonts w:hint="eastAsia" w:ascii="仿宋_GB2312" w:hAnsi="仿宋_GB2312" w:eastAsia="仿宋_GB2312" w:cs="仿宋_GB2312"/>
          <w:i w:val="0"/>
          <w:iCs w:val="0"/>
          <w:sz w:val="28"/>
          <w:szCs w:val="28"/>
          <w:highlight w:val="none"/>
          <w:lang w:val="en-US" w:eastAsia="zh-CN"/>
        </w:rPr>
        <w:t>信息系统安全等级第二级。</w:t>
      </w:r>
    </w:p>
    <w:p>
      <w:pPr>
        <w:pStyle w:val="3"/>
        <w:rPr>
          <w:rFonts w:hint="eastAsia"/>
          <w:highlight w:val="none"/>
        </w:rPr>
      </w:pPr>
      <w:bookmarkStart w:id="27" w:name="_Toc23039"/>
      <w:r>
        <w:rPr>
          <w:rFonts w:hint="eastAsia"/>
          <w:highlight w:val="none"/>
        </w:rPr>
        <w:t>项目内容</w:t>
      </w:r>
      <w:bookmarkEnd w:id="10"/>
      <w:bookmarkEnd w:id="27"/>
      <w:bookmarkStart w:id="28" w:name="_Toc198288469"/>
      <w:bookmarkStart w:id="29" w:name="_Toc197719624"/>
    </w:p>
    <w:p>
      <w:pPr>
        <w:spacing w:line="360" w:lineRule="auto"/>
        <w:ind w:firstLine="560" w:firstLineChars="200"/>
        <w:rPr>
          <w:rFonts w:hint="default" w:ascii="仿宋_GB2312" w:hAnsi="仿宋_GB2312" w:eastAsia="仿宋_GB2312" w:cs="仿宋_GB2312"/>
          <w:sz w:val="28"/>
          <w:szCs w:val="28"/>
          <w:highlight w:val="none"/>
          <w:lang w:val="en-US" w:eastAsia="zh-CN"/>
        </w:rPr>
      </w:pPr>
      <w:bookmarkStart w:id="30" w:name="_Toc293308323"/>
      <w:bookmarkStart w:id="31" w:name="_Toc198702473"/>
      <w:r>
        <w:rPr>
          <w:rFonts w:hint="eastAsia" w:ascii="仿宋_GB2312" w:hAnsi="仿宋_GB2312" w:eastAsia="仿宋_GB2312" w:cs="仿宋_GB2312"/>
          <w:sz w:val="28"/>
          <w:szCs w:val="28"/>
          <w:highlight w:val="none"/>
          <w:lang w:val="en-US" w:eastAsia="zh-CN"/>
        </w:rPr>
        <w:t>采购1套智慧物业管理平台的授权，使用期限截止2024年12月31日。</w:t>
      </w:r>
    </w:p>
    <w:bookmarkEnd w:id="30"/>
    <w:bookmarkEnd w:id="31"/>
    <w:p>
      <w:pPr>
        <w:pStyle w:val="3"/>
        <w:rPr>
          <w:highlight w:val="none"/>
        </w:rPr>
      </w:pPr>
      <w:bookmarkStart w:id="32" w:name="_Toc168479656"/>
      <w:bookmarkEnd w:id="32"/>
      <w:bookmarkStart w:id="33" w:name="_Toc5925"/>
      <w:r>
        <w:rPr>
          <w:rFonts w:hint="eastAsia"/>
          <w:highlight w:val="none"/>
        </w:rPr>
        <w:t>项目</w:t>
      </w:r>
      <w:r>
        <w:rPr>
          <w:rFonts w:hint="eastAsia"/>
          <w:highlight w:val="none"/>
          <w:lang w:eastAsia="zh-CN"/>
        </w:rPr>
        <w:t>人员</w:t>
      </w:r>
      <w:r>
        <w:rPr>
          <w:rFonts w:hint="eastAsia"/>
          <w:highlight w:val="none"/>
        </w:rPr>
        <w:t>要求</w:t>
      </w:r>
      <w:bookmarkEnd w:id="33"/>
    </w:p>
    <w:p>
      <w:pPr>
        <w:spacing w:line="360" w:lineRule="auto"/>
        <w:ind w:firstLine="560" w:firstLineChars="200"/>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中标方应列出详细的项目人员清单。</w:t>
      </w:r>
    </w:p>
    <w:p>
      <w:pPr>
        <w:pStyle w:val="3"/>
        <w:rPr>
          <w:highlight w:val="none"/>
          <w:lang w:val="en-US"/>
        </w:rPr>
      </w:pPr>
      <w:bookmarkStart w:id="34" w:name="_Toc18436"/>
      <w:r>
        <w:rPr>
          <w:rFonts w:hint="eastAsia"/>
          <w:highlight w:val="none"/>
        </w:rPr>
        <w:t>项目进度要求</w:t>
      </w:r>
      <w:bookmarkEnd w:id="34"/>
    </w:p>
    <w:p>
      <w:pPr>
        <w:numPr>
          <w:ilvl w:val="0"/>
          <w:numId w:val="8"/>
        </w:numPr>
        <w:spacing w:line="360" w:lineRule="auto"/>
        <w:rPr>
          <w:rFonts w:ascii="仿宋" w:hAnsi="仿宋" w:eastAsia="仿宋_GB2312"/>
          <w:i w:val="0"/>
          <w:iCs w:val="0"/>
          <w:sz w:val="28"/>
          <w:szCs w:val="28"/>
          <w:highlight w:val="none"/>
        </w:rPr>
      </w:pPr>
      <w:r>
        <w:rPr>
          <w:rFonts w:hint="eastAsia" w:ascii="仿宋" w:hAnsi="仿宋" w:eastAsia="仿宋_GB2312"/>
          <w:i w:val="0"/>
          <w:iCs w:val="0"/>
          <w:sz w:val="28"/>
          <w:szCs w:val="28"/>
          <w:highlight w:val="none"/>
        </w:rPr>
        <w:t>中标</w:t>
      </w:r>
      <w:r>
        <w:rPr>
          <w:rFonts w:hint="eastAsia" w:ascii="仿宋" w:hAnsi="仿宋" w:eastAsia="仿宋_GB2312"/>
          <w:i w:val="0"/>
          <w:iCs w:val="0"/>
          <w:sz w:val="28"/>
          <w:szCs w:val="28"/>
          <w:highlight w:val="none"/>
          <w:lang w:val="en-US" w:eastAsia="zh-CN"/>
        </w:rPr>
        <w:t>方</w:t>
      </w:r>
      <w:r>
        <w:rPr>
          <w:rFonts w:hint="eastAsia" w:ascii="仿宋" w:hAnsi="仿宋" w:eastAsia="仿宋_GB2312"/>
          <w:i w:val="0"/>
          <w:iCs w:val="0"/>
          <w:sz w:val="28"/>
          <w:szCs w:val="28"/>
          <w:highlight w:val="none"/>
        </w:rPr>
        <w:t>必须</w:t>
      </w:r>
      <w:r>
        <w:rPr>
          <w:rFonts w:hint="eastAsia" w:ascii="仿宋" w:hAnsi="仿宋" w:eastAsia="仿宋_GB2312"/>
          <w:i w:val="0"/>
          <w:iCs w:val="0"/>
          <w:sz w:val="28"/>
          <w:szCs w:val="28"/>
          <w:highlight w:val="none"/>
          <w:lang w:val="en-US" w:eastAsia="zh-CN"/>
        </w:rPr>
        <w:t>在2024年4月20日前</w:t>
      </w:r>
      <w:r>
        <w:rPr>
          <w:rFonts w:hint="eastAsia" w:ascii="仿宋" w:hAnsi="仿宋" w:eastAsia="仿宋_GB2312"/>
          <w:i w:val="0"/>
          <w:iCs w:val="0"/>
          <w:sz w:val="28"/>
          <w:szCs w:val="28"/>
          <w:highlight w:val="none"/>
        </w:rPr>
        <w:t>或经招标</w:t>
      </w:r>
      <w:r>
        <w:rPr>
          <w:rFonts w:hint="eastAsia" w:ascii="仿宋" w:hAnsi="仿宋" w:eastAsia="仿宋_GB2312"/>
          <w:i w:val="0"/>
          <w:iCs w:val="0"/>
          <w:sz w:val="28"/>
          <w:szCs w:val="28"/>
          <w:highlight w:val="none"/>
          <w:lang w:val="en-US" w:eastAsia="zh-CN"/>
        </w:rPr>
        <w:t>方</w:t>
      </w:r>
      <w:r>
        <w:rPr>
          <w:rFonts w:hint="eastAsia" w:ascii="仿宋" w:hAnsi="仿宋" w:eastAsia="仿宋_GB2312"/>
          <w:i w:val="0"/>
          <w:iCs w:val="0"/>
          <w:sz w:val="28"/>
          <w:szCs w:val="28"/>
          <w:highlight w:val="none"/>
        </w:rPr>
        <w:t>同意顺延的计划完成</w:t>
      </w:r>
      <w:r>
        <w:rPr>
          <w:rFonts w:hint="eastAsia" w:ascii="仿宋" w:hAnsi="仿宋" w:eastAsia="仿宋_GB2312"/>
          <w:i w:val="0"/>
          <w:iCs w:val="0"/>
          <w:sz w:val="28"/>
          <w:szCs w:val="28"/>
          <w:highlight w:val="none"/>
          <w:lang w:val="en-US" w:eastAsia="zh-CN"/>
        </w:rPr>
        <w:t>平台上线、用户培训</w:t>
      </w:r>
      <w:r>
        <w:rPr>
          <w:rFonts w:hint="eastAsia" w:ascii="仿宋" w:hAnsi="仿宋" w:eastAsia="仿宋_GB2312"/>
          <w:i w:val="0"/>
          <w:iCs w:val="0"/>
          <w:sz w:val="28"/>
          <w:szCs w:val="28"/>
          <w:highlight w:val="none"/>
        </w:rPr>
        <w:t>。</w:t>
      </w:r>
    </w:p>
    <w:p>
      <w:pPr>
        <w:numPr>
          <w:ilvl w:val="0"/>
          <w:numId w:val="8"/>
        </w:numPr>
        <w:spacing w:line="360" w:lineRule="auto"/>
        <w:rPr>
          <w:rFonts w:hint="eastAsia" w:ascii="仿宋" w:hAnsi="仿宋" w:eastAsia="仿宋_GB2312"/>
          <w:i w:val="0"/>
          <w:iCs w:val="0"/>
          <w:sz w:val="28"/>
          <w:szCs w:val="28"/>
          <w:highlight w:val="none"/>
        </w:rPr>
      </w:pPr>
      <w:r>
        <w:rPr>
          <w:rFonts w:hint="eastAsia" w:ascii="仿宋" w:hAnsi="仿宋" w:eastAsia="仿宋_GB2312"/>
          <w:i w:val="0"/>
          <w:iCs w:val="0"/>
          <w:sz w:val="28"/>
          <w:szCs w:val="28"/>
          <w:highlight w:val="none"/>
        </w:rPr>
        <w:t>因中标</w:t>
      </w:r>
      <w:r>
        <w:rPr>
          <w:rFonts w:hint="eastAsia" w:ascii="仿宋" w:hAnsi="仿宋" w:eastAsia="仿宋_GB2312"/>
          <w:i w:val="0"/>
          <w:iCs w:val="0"/>
          <w:sz w:val="28"/>
          <w:szCs w:val="28"/>
          <w:highlight w:val="none"/>
          <w:lang w:val="en-US" w:eastAsia="zh-CN"/>
        </w:rPr>
        <w:t>方</w:t>
      </w:r>
      <w:r>
        <w:rPr>
          <w:rFonts w:hint="eastAsia" w:ascii="仿宋" w:hAnsi="仿宋" w:eastAsia="仿宋_GB2312"/>
          <w:i w:val="0"/>
          <w:iCs w:val="0"/>
          <w:sz w:val="28"/>
          <w:szCs w:val="28"/>
          <w:highlight w:val="none"/>
        </w:rPr>
        <w:t>原因不能</w:t>
      </w:r>
      <w:r>
        <w:rPr>
          <w:rFonts w:hint="eastAsia" w:ascii="仿宋" w:hAnsi="仿宋" w:eastAsia="仿宋_GB2312"/>
          <w:i w:val="0"/>
          <w:iCs w:val="0"/>
          <w:sz w:val="28"/>
          <w:szCs w:val="28"/>
          <w:highlight w:val="none"/>
          <w:lang w:val="en-US" w:eastAsia="zh-CN"/>
        </w:rPr>
        <w:t>在2024年4月20日</w:t>
      </w:r>
      <w:r>
        <w:rPr>
          <w:rFonts w:hint="eastAsia" w:ascii="仿宋" w:hAnsi="仿宋" w:eastAsia="仿宋_GB2312"/>
          <w:i w:val="0"/>
          <w:iCs w:val="0"/>
          <w:sz w:val="28"/>
          <w:szCs w:val="28"/>
          <w:highlight w:val="none"/>
        </w:rPr>
        <w:t>或招标</w:t>
      </w:r>
      <w:r>
        <w:rPr>
          <w:rFonts w:hint="eastAsia" w:ascii="仿宋" w:hAnsi="仿宋" w:eastAsia="仿宋_GB2312"/>
          <w:i w:val="0"/>
          <w:iCs w:val="0"/>
          <w:sz w:val="28"/>
          <w:szCs w:val="28"/>
          <w:highlight w:val="none"/>
          <w:lang w:val="en-US" w:eastAsia="zh-CN"/>
        </w:rPr>
        <w:t>方</w:t>
      </w:r>
      <w:r>
        <w:rPr>
          <w:rFonts w:hint="eastAsia" w:ascii="仿宋" w:hAnsi="仿宋" w:eastAsia="仿宋_GB2312"/>
          <w:i w:val="0"/>
          <w:iCs w:val="0"/>
          <w:sz w:val="28"/>
          <w:szCs w:val="28"/>
          <w:highlight w:val="none"/>
        </w:rPr>
        <w:t>同意顺延的工期完成</w:t>
      </w:r>
      <w:r>
        <w:rPr>
          <w:rFonts w:hint="eastAsia" w:ascii="仿宋" w:hAnsi="仿宋" w:eastAsia="仿宋_GB2312"/>
          <w:i w:val="0"/>
          <w:iCs w:val="0"/>
          <w:sz w:val="28"/>
          <w:szCs w:val="28"/>
          <w:highlight w:val="none"/>
          <w:lang w:val="en-US" w:eastAsia="zh-CN"/>
        </w:rPr>
        <w:t>平台上线、用户培训</w:t>
      </w:r>
      <w:r>
        <w:rPr>
          <w:rFonts w:hint="eastAsia" w:ascii="仿宋" w:hAnsi="仿宋" w:eastAsia="仿宋_GB2312"/>
          <w:i w:val="0"/>
          <w:iCs w:val="0"/>
          <w:sz w:val="28"/>
          <w:szCs w:val="28"/>
          <w:highlight w:val="none"/>
        </w:rPr>
        <w:t>的，中标</w:t>
      </w:r>
      <w:r>
        <w:rPr>
          <w:rFonts w:hint="eastAsia" w:ascii="仿宋" w:hAnsi="仿宋" w:eastAsia="仿宋_GB2312"/>
          <w:i w:val="0"/>
          <w:iCs w:val="0"/>
          <w:sz w:val="28"/>
          <w:szCs w:val="28"/>
          <w:highlight w:val="none"/>
          <w:lang w:val="en-US" w:eastAsia="zh-CN"/>
        </w:rPr>
        <w:t>方</w:t>
      </w:r>
      <w:r>
        <w:rPr>
          <w:rFonts w:hint="eastAsia" w:ascii="仿宋" w:hAnsi="仿宋" w:eastAsia="仿宋_GB2312"/>
          <w:i w:val="0"/>
          <w:iCs w:val="0"/>
          <w:sz w:val="28"/>
          <w:szCs w:val="28"/>
          <w:highlight w:val="none"/>
        </w:rPr>
        <w:t>承担违约责任。</w:t>
      </w:r>
    </w:p>
    <w:p>
      <w:pPr>
        <w:pStyle w:val="3"/>
        <w:rPr>
          <w:highlight w:val="none"/>
        </w:rPr>
      </w:pPr>
      <w:bookmarkStart w:id="35" w:name="_Toc12134"/>
      <w:r>
        <w:rPr>
          <w:rFonts w:hint="eastAsia"/>
          <w:highlight w:val="none"/>
          <w:lang w:eastAsia="zh-CN"/>
        </w:rPr>
        <w:t>项目</w:t>
      </w:r>
      <w:r>
        <w:rPr>
          <w:rFonts w:hint="eastAsia"/>
          <w:highlight w:val="none"/>
        </w:rPr>
        <w:t>培训要求</w:t>
      </w:r>
      <w:bookmarkEnd w:id="3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2" w:leftChars="0" w:right="0" w:rightChars="0" w:firstLine="560" w:firstLineChars="200"/>
        <w:jc w:val="both"/>
        <w:textAlignment w:val="auto"/>
        <w:outlineLvl w:val="9"/>
        <w:rPr>
          <w:rFonts w:hint="eastAsia" w:ascii="仿宋" w:hAnsi="仿宋" w:eastAsia="仿宋_GB2312"/>
          <w:i w:val="0"/>
          <w:iCs w:val="0"/>
          <w:sz w:val="28"/>
          <w:szCs w:val="28"/>
          <w:highlight w:val="none"/>
        </w:rPr>
      </w:pPr>
      <w:r>
        <w:rPr>
          <w:rFonts w:hint="eastAsia" w:ascii="仿宋" w:hAnsi="仿宋" w:eastAsia="仿宋_GB2312"/>
          <w:i w:val="0"/>
          <w:iCs w:val="0"/>
          <w:sz w:val="28"/>
          <w:szCs w:val="28"/>
          <w:highlight w:val="none"/>
          <w:lang w:val="en-US" w:eastAsia="zh-CN"/>
        </w:rPr>
        <w:t>投标人应提供详细的用户培训计划，要求在2024年4月20日前完成用户培训，以保障华圃周转房的物业管理稳定进行</w:t>
      </w:r>
      <w:r>
        <w:rPr>
          <w:rFonts w:hint="eastAsia" w:ascii="仿宋" w:hAnsi="仿宋" w:eastAsia="仿宋_GB2312"/>
          <w:i w:val="0"/>
          <w:iCs w:val="0"/>
          <w:sz w:val="28"/>
          <w:szCs w:val="28"/>
          <w:highlight w:val="none"/>
        </w:rPr>
        <w:t>。</w:t>
      </w:r>
    </w:p>
    <w:p>
      <w:pPr>
        <w:pStyle w:val="3"/>
        <w:rPr>
          <w:rFonts w:hint="eastAsia"/>
          <w:highlight w:val="none"/>
          <w:lang w:eastAsia="zh-CN"/>
        </w:rPr>
      </w:pPr>
      <w:bookmarkStart w:id="36" w:name="_Toc12913"/>
      <w:r>
        <w:rPr>
          <w:rFonts w:hint="eastAsia" w:hAnsi="Arial"/>
          <w:b/>
          <w:bCs/>
          <w:highlight w:val="none"/>
          <w:lang w:eastAsia="zh-CN"/>
        </w:rPr>
        <w:t>项目售后要求</w:t>
      </w:r>
      <w:bookmarkEnd w:id="36"/>
    </w:p>
    <w:p>
      <w:pPr>
        <w:pStyle w:val="4"/>
        <w:bidi w:val="0"/>
        <w:rPr>
          <w:rFonts w:hint="eastAsia"/>
          <w:highlight w:val="none"/>
          <w:lang w:eastAsia="zh-CN"/>
        </w:rPr>
      </w:pPr>
      <w:bookmarkStart w:id="37" w:name="_Toc18479"/>
      <w:r>
        <w:rPr>
          <w:rFonts w:hint="eastAsia"/>
          <w:highlight w:val="none"/>
          <w:lang w:eastAsia="zh-CN"/>
        </w:rPr>
        <w:t>项目质保期</w:t>
      </w:r>
      <w:bookmarkEnd w:id="37"/>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仿宋" w:hAnsi="仿宋" w:eastAsia="仿宋_GB2312"/>
          <w:i w:val="0"/>
          <w:iCs w:val="0"/>
          <w:kern w:val="0"/>
          <w:sz w:val="28"/>
          <w:szCs w:val="28"/>
          <w:highlight w:val="none"/>
          <w:lang w:val="en-US" w:eastAsia="zh-CN"/>
        </w:rPr>
      </w:pPr>
      <w:r>
        <w:rPr>
          <w:rFonts w:hint="eastAsia" w:ascii="仿宋" w:hAnsi="仿宋" w:eastAsia="仿宋_GB2312"/>
          <w:i w:val="0"/>
          <w:iCs w:val="0"/>
          <w:kern w:val="0"/>
          <w:sz w:val="28"/>
          <w:szCs w:val="28"/>
          <w:highlight w:val="none"/>
          <w:lang w:val="en-US" w:eastAsia="zh-CN"/>
        </w:rPr>
        <w:t>本项目质保期截止2024年12月31日。</w:t>
      </w:r>
    </w:p>
    <w:p>
      <w:pPr>
        <w:pStyle w:val="4"/>
        <w:rPr>
          <w:rFonts w:hint="eastAsia"/>
          <w:highlight w:val="none"/>
          <w:lang w:eastAsia="zh-CN"/>
        </w:rPr>
      </w:pPr>
      <w:bookmarkStart w:id="38" w:name="_Toc2820"/>
      <w:r>
        <w:rPr>
          <w:rFonts w:hint="eastAsia"/>
          <w:highlight w:val="none"/>
          <w:lang w:eastAsia="zh-CN"/>
        </w:rPr>
        <w:t>项目售后要求</w:t>
      </w:r>
      <w:bookmarkEnd w:id="38"/>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仿宋" w:hAnsi="仿宋" w:eastAsia="仿宋_GB2312"/>
          <w:i w:val="0"/>
          <w:iCs w:val="0"/>
          <w:kern w:val="0"/>
          <w:sz w:val="28"/>
          <w:szCs w:val="28"/>
          <w:highlight w:val="none"/>
          <w:lang w:val="en-US" w:eastAsia="zh-CN"/>
        </w:rPr>
      </w:pPr>
      <w:r>
        <w:rPr>
          <w:rFonts w:hint="eastAsia" w:ascii="仿宋" w:hAnsi="仿宋" w:eastAsia="仿宋_GB2312"/>
          <w:i w:val="0"/>
          <w:iCs w:val="0"/>
          <w:kern w:val="0"/>
          <w:sz w:val="28"/>
          <w:szCs w:val="28"/>
          <w:highlight w:val="none"/>
          <w:lang w:val="en-US" w:eastAsia="zh-CN"/>
        </w:rPr>
        <w:t>投标人应提供的服务支持包含但不限于：版本升级、日常答疑、系统故障处理。</w:t>
      </w:r>
    </w:p>
    <w:p>
      <w:pPr>
        <w:pStyle w:val="3"/>
        <w:rPr>
          <w:highlight w:val="none"/>
        </w:rPr>
      </w:pPr>
      <w:bookmarkStart w:id="39" w:name="_Toc21576"/>
      <w:r>
        <w:rPr>
          <w:rFonts w:hint="eastAsia"/>
          <w:highlight w:val="none"/>
        </w:rPr>
        <w:t>质量要求</w:t>
      </w:r>
      <w:bookmarkEnd w:id="39"/>
    </w:p>
    <w:p>
      <w:pPr>
        <w:numPr>
          <w:ilvl w:val="0"/>
          <w:numId w:val="0"/>
        </w:numPr>
        <w:spacing w:line="360" w:lineRule="auto"/>
        <w:ind w:left="480" w:leftChars="0"/>
        <w:rPr>
          <w:rFonts w:hint="eastAsia"/>
          <w:highlight w:val="none"/>
          <w:lang w:eastAsia="zh-CN"/>
        </w:rPr>
      </w:pPr>
      <w:r>
        <w:rPr>
          <w:rFonts w:hint="eastAsia" w:ascii="仿宋" w:hAnsi="仿宋" w:eastAsia="仿宋_GB2312"/>
          <w:kern w:val="0"/>
          <w:sz w:val="28"/>
          <w:szCs w:val="28"/>
          <w:highlight w:val="none"/>
          <w:lang w:val="en-US" w:eastAsia="zh-CN"/>
        </w:rPr>
        <w:t>智慧物业管理平台平均年总故障时长不超过8小时</w:t>
      </w:r>
      <w:r>
        <w:rPr>
          <w:rFonts w:hint="eastAsia" w:ascii="仿宋" w:hAnsi="仿宋" w:eastAsia="仿宋_GB2312"/>
          <w:i/>
          <w:iCs/>
          <w:sz w:val="28"/>
          <w:szCs w:val="28"/>
          <w:highlight w:val="none"/>
        </w:rPr>
        <w:t>。</w:t>
      </w:r>
    </w:p>
    <w:p>
      <w:pPr>
        <w:pStyle w:val="3"/>
        <w:rPr>
          <w:highlight w:val="none"/>
        </w:rPr>
      </w:pPr>
      <w:bookmarkStart w:id="40" w:name="_Toc10592"/>
      <w:r>
        <w:rPr>
          <w:rFonts w:hint="eastAsia"/>
          <w:highlight w:val="none"/>
        </w:rPr>
        <w:t>项目交付成果</w:t>
      </w:r>
      <w:bookmarkEnd w:id="4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2" w:leftChars="0" w:right="0" w:rightChars="0" w:firstLine="0" w:firstLineChars="0"/>
        <w:jc w:val="both"/>
        <w:textAlignment w:val="auto"/>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本项目交付物包含以下成果：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2" w:leftChars="0" w:right="0" w:rightChars="0" w:firstLine="0" w:firstLineChars="0"/>
        <w:jc w:val="both"/>
        <w:textAlignment w:val="auto"/>
        <w:outlineLvl w:val="9"/>
        <w:rPr>
          <w:rFonts w:hint="eastAsia" w:ascii="仿宋_GB2312" w:hAnsi="仿宋_GB2312" w:eastAsia="仿宋_GB2312" w:cs="仿宋_GB2312"/>
          <w:i/>
          <w:iCs/>
          <w:sz w:val="28"/>
          <w:szCs w:val="28"/>
          <w:highlight w:val="none"/>
          <w:lang w:val="en-US" w:eastAsia="zh-CN"/>
        </w:rPr>
      </w:pPr>
      <w:r>
        <w:rPr>
          <w:rFonts w:hint="eastAsia" w:ascii="仿宋_GB2312" w:hAnsi="仿宋_GB2312" w:eastAsia="仿宋_GB2312" w:cs="仿宋_GB2312"/>
          <w:sz w:val="28"/>
          <w:szCs w:val="28"/>
          <w:highlight w:val="none"/>
          <w:lang w:val="en-US" w:eastAsia="zh-CN"/>
        </w:rPr>
        <w:t>1套智慧物业管理平台的授权，使用期限截止2024年12月31日。</w:t>
      </w:r>
    </w:p>
    <w:p>
      <w:pPr>
        <w:pStyle w:val="3"/>
        <w:rPr>
          <w:rFonts w:hint="eastAsia" w:hAnsi="Arial"/>
          <w:b/>
          <w:bCs/>
          <w:highlight w:val="none"/>
          <w:lang w:val="en-US" w:eastAsia="zh-CN"/>
        </w:rPr>
      </w:pPr>
      <w:bookmarkStart w:id="41" w:name="_Toc9435"/>
      <w:r>
        <w:rPr>
          <w:rFonts w:hint="eastAsia" w:hAnsi="Arial"/>
          <w:b/>
          <w:bCs/>
          <w:highlight w:val="none"/>
          <w:lang w:val="en-US" w:eastAsia="zh-CN"/>
        </w:rPr>
        <w:t>安全保密要求</w:t>
      </w:r>
      <w:bookmarkEnd w:id="41"/>
    </w:p>
    <w:p>
      <w:pPr>
        <w:pStyle w:val="99"/>
        <w:numPr>
          <w:ilvl w:val="0"/>
          <w:numId w:val="9"/>
        </w:numPr>
        <w:ind w:firstLineChars="0"/>
        <w:rPr>
          <w:rFonts w:hint="eastAsia" w:ascii="仿宋" w:hAnsi="仿宋" w:eastAsia="仿宋_GB2312"/>
          <w:i w:val="0"/>
          <w:iCs w:val="0"/>
          <w:sz w:val="28"/>
          <w:szCs w:val="28"/>
          <w:highlight w:val="none"/>
        </w:rPr>
      </w:pPr>
      <w:r>
        <w:rPr>
          <w:rFonts w:hint="eastAsia" w:ascii="仿宋" w:hAnsi="仿宋" w:eastAsia="仿宋_GB2312"/>
          <w:i w:val="0"/>
          <w:iCs w:val="0"/>
          <w:sz w:val="28"/>
          <w:szCs w:val="28"/>
          <w:highlight w:val="none"/>
        </w:rPr>
        <w:t>中标方在服务期间，负有保护</w:t>
      </w:r>
      <w:r>
        <w:rPr>
          <w:rFonts w:hint="eastAsia" w:ascii="仿宋" w:hAnsi="仿宋" w:eastAsia="仿宋_GB2312"/>
          <w:i w:val="0"/>
          <w:iCs w:val="0"/>
          <w:sz w:val="28"/>
          <w:szCs w:val="28"/>
          <w:highlight w:val="none"/>
          <w:lang w:val="en-US" w:eastAsia="zh-CN"/>
        </w:rPr>
        <w:t>智慧物业管理平台</w:t>
      </w:r>
      <w:r>
        <w:rPr>
          <w:rFonts w:hint="eastAsia" w:ascii="仿宋" w:hAnsi="仿宋" w:eastAsia="仿宋_GB2312"/>
          <w:i w:val="0"/>
          <w:iCs w:val="0"/>
          <w:sz w:val="28"/>
          <w:szCs w:val="28"/>
          <w:highlight w:val="none"/>
        </w:rPr>
        <w:t>的网络安全、信息安全和系统数据安全的义务和责任；负有保护所持有、接触的属于或涉及南方电网公司商业秘密的信息安全的义务和责任。</w:t>
      </w:r>
    </w:p>
    <w:p>
      <w:pPr>
        <w:pStyle w:val="99"/>
        <w:numPr>
          <w:ilvl w:val="0"/>
          <w:numId w:val="9"/>
        </w:numPr>
        <w:ind w:firstLineChars="0"/>
        <w:rPr>
          <w:rFonts w:hint="eastAsia" w:ascii="仿宋" w:hAnsi="仿宋" w:eastAsia="仿宋_GB2312"/>
          <w:i w:val="0"/>
          <w:iCs w:val="0"/>
          <w:sz w:val="28"/>
          <w:szCs w:val="28"/>
          <w:highlight w:val="none"/>
        </w:rPr>
      </w:pPr>
      <w:r>
        <w:rPr>
          <w:rFonts w:hint="eastAsia" w:ascii="仿宋" w:hAnsi="仿宋" w:eastAsia="仿宋_GB2312"/>
          <w:i w:val="0"/>
          <w:iCs w:val="0"/>
          <w:sz w:val="28"/>
          <w:szCs w:val="28"/>
          <w:highlight w:val="none"/>
        </w:rPr>
        <w:t>在现场服务过程中，中标方必须在甲方指定地点办公，并遵守甲方关于第三方人员管理规定要求；未经许可不得以任何方式对保密信息及工作成果进行复制、传播、泄漏、告知，不得将保密信息带离办公场所。</w:t>
      </w:r>
    </w:p>
    <w:p>
      <w:pPr>
        <w:pStyle w:val="99"/>
        <w:numPr>
          <w:ilvl w:val="0"/>
          <w:numId w:val="9"/>
        </w:numPr>
        <w:ind w:firstLineChars="0"/>
        <w:rPr>
          <w:rFonts w:hint="eastAsia" w:ascii="仿宋" w:hAnsi="仿宋" w:eastAsia="仿宋_GB2312"/>
          <w:i w:val="0"/>
          <w:iCs w:val="0"/>
          <w:sz w:val="28"/>
          <w:szCs w:val="28"/>
          <w:highlight w:val="none"/>
          <w:lang w:val="en-US" w:eastAsia="zh-CN"/>
        </w:rPr>
      </w:pPr>
      <w:r>
        <w:rPr>
          <w:rFonts w:hint="eastAsia" w:ascii="仿宋" w:hAnsi="仿宋" w:eastAsia="仿宋_GB2312"/>
          <w:i w:val="0"/>
          <w:iCs w:val="0"/>
          <w:sz w:val="28"/>
          <w:szCs w:val="28"/>
          <w:highlight w:val="none"/>
        </w:rPr>
        <w:t>无论何种原因导致合同解除或终止，本项目约定下的保密条款、保密内容及相关的违约责任的约定仍然生效。保密期限为签订合同之后至永久，保密范围为项目所涉及的任何资料。</w:t>
      </w:r>
    </w:p>
    <w:p>
      <w:pPr>
        <w:pStyle w:val="3"/>
        <w:rPr>
          <w:rFonts w:hint="eastAsia" w:hAnsi="Arial"/>
          <w:b/>
          <w:bCs/>
          <w:highlight w:val="none"/>
          <w:lang w:val="en-US" w:eastAsia="zh-CN"/>
        </w:rPr>
      </w:pPr>
      <w:bookmarkStart w:id="42" w:name="_Toc22995"/>
      <w:r>
        <w:rPr>
          <w:rFonts w:hint="eastAsia" w:hAnsi="Arial"/>
          <w:b/>
          <w:bCs/>
          <w:highlight w:val="none"/>
          <w:lang w:val="en-US" w:eastAsia="zh-CN"/>
        </w:rPr>
        <w:t>项目验收要求</w:t>
      </w:r>
      <w:bookmarkEnd w:id="42"/>
    </w:p>
    <w:bookmarkEnd w:id="28"/>
    <w:bookmarkEnd w:id="29"/>
    <w:p>
      <w:pPr>
        <w:adjustRightInd w:val="0"/>
        <w:snapToGrid w:val="0"/>
        <w:spacing w:line="360" w:lineRule="auto"/>
        <w:ind w:firstLine="560" w:firstLineChars="200"/>
        <w:rPr>
          <w:rFonts w:hint="default" w:ascii="仿宋" w:hAnsi="仿宋" w:eastAsia="仿宋_GB2312"/>
          <w:i/>
          <w:iCs/>
          <w:sz w:val="28"/>
          <w:highlight w:val="none"/>
          <w:lang w:val="en-US" w:eastAsia="zh-CN"/>
        </w:rPr>
      </w:pPr>
      <w:bookmarkStart w:id="43" w:name="_Toc413948021"/>
      <w:bookmarkEnd w:id="43"/>
      <w:r>
        <w:rPr>
          <w:rFonts w:hint="eastAsia" w:ascii="仿宋" w:hAnsi="仿宋" w:eastAsia="仿宋_GB2312"/>
          <w:i w:val="0"/>
          <w:iCs w:val="0"/>
          <w:sz w:val="28"/>
          <w:highlight w:val="none"/>
          <w:lang w:val="en-US" w:eastAsia="zh-CN"/>
        </w:rPr>
        <w:t>智慧物业管理平台稳定运行，平均年总故障时长小于8小时。平均年总故障时长计算方式为：平台使用期限内总故障时长/使用期限时长。</w:t>
      </w:r>
    </w:p>
    <w:p>
      <w:pPr>
        <w:pStyle w:val="2"/>
        <w:bidi w:val="0"/>
      </w:pPr>
      <w:bookmarkStart w:id="44" w:name="_Toc15777"/>
      <w:bookmarkStart w:id="61" w:name="_GoBack"/>
      <w:bookmarkEnd w:id="61"/>
      <w:r>
        <w:rPr>
          <w:rFonts w:hint="eastAsia"/>
          <w:lang w:eastAsia="zh-CN"/>
        </w:rPr>
        <w:t>其他</w:t>
      </w:r>
      <w:bookmarkEnd w:id="44"/>
    </w:p>
    <w:p>
      <w:pPr>
        <w:pStyle w:val="3"/>
        <w:bidi w:val="0"/>
        <w:rPr>
          <w:rFonts w:hint="eastAsia"/>
          <w:highlight w:val="none"/>
          <w:lang w:val="en-US" w:eastAsia="zh-CN"/>
        </w:rPr>
      </w:pPr>
      <w:bookmarkStart w:id="45" w:name="_Toc24396"/>
      <w:r>
        <w:rPr>
          <w:rFonts w:hint="eastAsia"/>
          <w:highlight w:val="none"/>
          <w:lang w:val="en-US" w:eastAsia="zh-CN"/>
        </w:rPr>
        <w:t>系统功能要求</w:t>
      </w:r>
      <w:bookmarkEnd w:id="45"/>
    </w:p>
    <w:p>
      <w:pPr>
        <w:pStyle w:val="4"/>
        <w:bidi w:val="0"/>
        <w:rPr>
          <w:rFonts w:hint="eastAsia"/>
          <w:highlight w:val="none"/>
          <w:lang w:val="en-US" w:eastAsia="zh-CN"/>
        </w:rPr>
      </w:pPr>
      <w:bookmarkStart w:id="46" w:name="_Toc21371"/>
      <w:r>
        <w:rPr>
          <w:rFonts w:hint="eastAsia"/>
          <w:highlight w:val="none"/>
          <w:lang w:val="en-US" w:eastAsia="zh-CN"/>
        </w:rPr>
        <w:t>功能点清单</w:t>
      </w:r>
      <w:bookmarkEnd w:id="46"/>
    </w:p>
    <w:p>
      <w:pPr>
        <w:adjustRightInd w:val="0"/>
        <w:snapToGrid w:val="0"/>
        <w:spacing w:line="360" w:lineRule="auto"/>
        <w:ind w:firstLine="560" w:firstLineChars="200"/>
        <w:rPr>
          <w:rFonts w:hint="eastAsia"/>
          <w:highlight w:val="none"/>
          <w:lang w:val="en-US" w:eastAsia="zh-CN"/>
        </w:rPr>
      </w:pPr>
      <w:r>
        <w:rPr>
          <w:rFonts w:hint="eastAsia" w:ascii="仿宋" w:hAnsi="仿宋" w:eastAsia="仿宋_GB2312"/>
          <w:i w:val="0"/>
          <w:iCs w:val="0"/>
          <w:sz w:val="28"/>
          <w:highlight w:val="none"/>
          <w:lang w:val="en-US" w:eastAsia="zh-CN"/>
        </w:rPr>
        <w:t>投标人所提供的智慧物业管理平台应具备下表中所列的全部功能，并提供相应的证明材料。</w:t>
      </w:r>
    </w:p>
    <w:p>
      <w:pPr>
        <w:numPr>
          <w:ilvl w:val="0"/>
          <w:numId w:val="0"/>
        </w:numPr>
        <w:jc w:val="center"/>
        <w:rPr>
          <w:rFonts w:hint="eastAsia"/>
          <w:sz w:val="24"/>
          <w:szCs w:val="24"/>
          <w:highlight w:val="none"/>
          <w:lang w:val="en-US" w:eastAsia="zh-CN"/>
        </w:rPr>
      </w:pPr>
      <w:r>
        <w:rPr>
          <w:rFonts w:hint="eastAsia"/>
          <w:sz w:val="24"/>
          <w:szCs w:val="24"/>
          <w:highlight w:val="none"/>
          <w:lang w:val="en-US" w:eastAsia="zh-CN"/>
        </w:rPr>
        <w:t>表2-1 功能清单列表</w:t>
      </w:r>
    </w:p>
    <w:tbl>
      <w:tblPr>
        <w:tblStyle w:val="30"/>
        <w:tblW w:w="852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00"/>
        <w:gridCol w:w="1339"/>
        <w:gridCol w:w="56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pPr>
              <w:keepNext w:val="0"/>
              <w:keepLines w:val="0"/>
              <w:widowControl/>
              <w:suppressLineNumbers w:val="0"/>
              <w:jc w:val="center"/>
              <w:textAlignment w:val="center"/>
              <w:rPr>
                <w:rFonts w:ascii="微软雅黑" w:hAnsi="微软雅黑" w:eastAsia="微软雅黑" w:cs="微软雅黑"/>
                <w:b/>
                <w:bCs/>
                <w:i w:val="0"/>
                <w:iCs w:val="0"/>
                <w:color w:val="000000"/>
                <w:sz w:val="20"/>
                <w:szCs w:val="20"/>
                <w:highlight w:val="none"/>
                <w:u w:val="none"/>
              </w:rPr>
            </w:pPr>
            <w:r>
              <w:rPr>
                <w:rFonts w:hint="eastAsia" w:ascii="微软雅黑" w:hAnsi="微软雅黑" w:eastAsia="微软雅黑" w:cs="微软雅黑"/>
                <w:b/>
                <w:bCs/>
                <w:i w:val="0"/>
                <w:iCs w:val="0"/>
                <w:color w:val="000000"/>
                <w:kern w:val="0"/>
                <w:sz w:val="20"/>
                <w:szCs w:val="20"/>
                <w:highlight w:val="none"/>
                <w:u w:val="none"/>
                <w:lang w:val="en-US" w:eastAsia="zh-CN" w:bidi="ar"/>
              </w:rPr>
              <w:t>一级功能项</w:t>
            </w:r>
          </w:p>
        </w:tc>
        <w:tc>
          <w:tcPr>
            <w:tcW w:w="1339"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highlight w:val="none"/>
                <w:u w:val="none"/>
              </w:rPr>
            </w:pPr>
            <w:r>
              <w:rPr>
                <w:rFonts w:hint="eastAsia" w:ascii="微软雅黑" w:hAnsi="微软雅黑" w:eastAsia="微软雅黑" w:cs="微软雅黑"/>
                <w:b/>
                <w:bCs/>
                <w:i w:val="0"/>
                <w:iCs w:val="0"/>
                <w:color w:val="000000"/>
                <w:kern w:val="0"/>
                <w:sz w:val="20"/>
                <w:szCs w:val="20"/>
                <w:highlight w:val="none"/>
                <w:u w:val="none"/>
                <w:lang w:val="en-US" w:eastAsia="zh-CN" w:bidi="ar"/>
              </w:rPr>
              <w:t>二级功能项</w:t>
            </w:r>
          </w:p>
        </w:tc>
        <w:tc>
          <w:tcPr>
            <w:tcW w:w="5681" w:type="dxa"/>
            <w:tcBorders>
              <w:top w:val="single" w:color="000000" w:sz="4" w:space="0"/>
              <w:left w:val="single" w:color="000000" w:sz="4" w:space="0"/>
              <w:bottom w:val="single" w:color="000000" w:sz="4" w:space="0"/>
              <w:right w:val="single" w:color="000000" w:sz="4" w:space="0"/>
            </w:tcBorders>
            <w:shd w:val="clear" w:color="auto" w:fill="BFBFBF"/>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highlight w:val="none"/>
                <w:u w:val="none"/>
              </w:rPr>
            </w:pPr>
            <w:r>
              <w:rPr>
                <w:rFonts w:hint="eastAsia" w:ascii="微软雅黑" w:hAnsi="微软雅黑" w:eastAsia="微软雅黑" w:cs="微软雅黑"/>
                <w:b/>
                <w:bCs/>
                <w:i w:val="0"/>
                <w:iCs w:val="0"/>
                <w:color w:val="000000"/>
                <w:kern w:val="0"/>
                <w:sz w:val="20"/>
                <w:szCs w:val="20"/>
                <w:highlight w:val="none"/>
                <w:u w:val="none"/>
                <w:lang w:val="en-US" w:eastAsia="zh-CN" w:bidi="ar"/>
              </w:rPr>
              <w:t>功能项说明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业户管理</w:t>
            </w: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房产管理</w:t>
            </w:r>
          </w:p>
        </w:tc>
        <w:tc>
          <w:tcPr>
            <w:tcW w:w="5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1、管理房产的基本信息，以及相关联的业主、住户；</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2、管理房产下的应收金额、已收金额、欠费金额等财务信息；</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3、房产提供售楼、收房、入住、收房、转让、装修、申请空置、账单变更等功能，以及相应的变更记录；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客户管理</w:t>
            </w:r>
          </w:p>
        </w:tc>
        <w:tc>
          <w:tcPr>
            <w:tcW w:w="5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1、管理客户的基本信息，以及相关联的房产；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2、管理客户下的应收金额、已收金额、欠费金额等财务信息；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业户报表</w:t>
            </w:r>
          </w:p>
        </w:tc>
        <w:tc>
          <w:tcPr>
            <w:tcW w:w="5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1、客户相关的报表；</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2、房产相关的报表；</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3、房产变更明细表；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财务收费</w:t>
            </w: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w:t>
            </w:r>
          </w:p>
        </w:tc>
        <w:tc>
          <w:tcPr>
            <w:tcW w:w="5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1、展示仪表信息及收费对象，可导入仪表、换表、移表、抄表、删除、编辑仪表信息；</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2、展示该仪表下所关联房产、抄表日期、上期本期读数及抄表人信息，支持修改和删除；</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3、支持公摊仪表，支持按照另一组仪表的用量对公摊仪表用量进行等比例分摊；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计费</w:t>
            </w:r>
          </w:p>
        </w:tc>
        <w:tc>
          <w:tcPr>
            <w:tcW w:w="5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1、支持设置应收款计算方式；</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2、应收款管理，并支持对应收款进行调整减免操作；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收款</w:t>
            </w:r>
          </w:p>
        </w:tc>
        <w:tc>
          <w:tcPr>
            <w:tcW w:w="5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1、统一收银台进行收款，支持住户通过微信、支付宝缴费；</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2、支持临时缴款、预存、押金、挂账、项目代收特殊缴款业务操作；</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3、可查看缴费记录；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退款</w:t>
            </w:r>
          </w:p>
        </w:tc>
        <w:tc>
          <w:tcPr>
            <w:tcW w:w="5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1、支持冲红、退款等操作；</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2、可查看退款记录；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工单管理</w:t>
            </w: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工单管理</w:t>
            </w:r>
          </w:p>
        </w:tc>
        <w:tc>
          <w:tcPr>
            <w:tcW w:w="5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1、管理工单的基本信息，支持新增、删除等操作；</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2、支持处理人填写处理意见；</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3、支持设置工单分类，不同分类设置不同用户组进行处理；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工程设备</w:t>
            </w: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设备台账</w:t>
            </w:r>
          </w:p>
        </w:tc>
        <w:tc>
          <w:tcPr>
            <w:tcW w:w="5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1、管理设备的基本信息；</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2、支持设置设备所属机房，基于机房筛选设备；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none"/>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巡检任务</w:t>
            </w:r>
          </w:p>
        </w:tc>
        <w:tc>
          <w:tcPr>
            <w:tcW w:w="5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1、设置巡检模板，并根据模板自动创建巡检工单；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2、支持在移动端上反馈检查项信息；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公众号</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（用户）</w:t>
            </w: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身份认证</w:t>
            </w:r>
          </w:p>
        </w:tc>
        <w:tc>
          <w:tcPr>
            <w:tcW w:w="5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1、客户通过公众号进行身份认证，登记相关房产等信息；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报事报修</w:t>
            </w:r>
          </w:p>
        </w:tc>
        <w:tc>
          <w:tcPr>
            <w:tcW w:w="5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1、支持新建报事报修工单；</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2、支持查看工单的处理流程节点、相应的处理意见；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物业缴费</w:t>
            </w:r>
          </w:p>
        </w:tc>
        <w:tc>
          <w:tcPr>
            <w:tcW w:w="5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1、支持展示待缴费用明细；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2、支持通过微信、支付宝缴费；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移动端应用</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（物管人员）</w:t>
            </w: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收费</w:t>
            </w:r>
          </w:p>
        </w:tc>
        <w:tc>
          <w:tcPr>
            <w:tcW w:w="5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1、查看已支付、已退款、支付中三个状态的缴款数据；</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2、支持通过出示二维码的方式收费；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抄表</w:t>
            </w:r>
          </w:p>
        </w:tc>
        <w:tc>
          <w:tcPr>
            <w:tcW w:w="5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1、支持移动端抄表；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w:t>
            </w:r>
          </w:p>
        </w:tc>
        <w:tc>
          <w:tcPr>
            <w:tcW w:w="5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1、查看今日任务数、今日已执行、今日未执行、今日不合格任务数；</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2、查看处理待办工单，分派、接单、处理、审核、确认；</w:t>
            </w:r>
          </w:p>
        </w:tc>
      </w:tr>
    </w:tbl>
    <w:p>
      <w:pPr>
        <w:numPr>
          <w:ilvl w:val="0"/>
          <w:numId w:val="0"/>
        </w:numPr>
        <w:jc w:val="center"/>
        <w:rPr>
          <w:rFonts w:hint="default"/>
          <w:sz w:val="24"/>
          <w:szCs w:val="24"/>
          <w:highlight w:val="none"/>
          <w:lang w:val="en-US" w:eastAsia="zh-CN"/>
        </w:rPr>
      </w:pPr>
    </w:p>
    <w:p>
      <w:pPr>
        <w:pStyle w:val="4"/>
        <w:bidi w:val="0"/>
        <w:rPr>
          <w:rFonts w:hint="eastAsia"/>
          <w:highlight w:val="none"/>
          <w:lang w:val="en-US" w:eastAsia="zh-CN"/>
        </w:rPr>
      </w:pPr>
      <w:bookmarkStart w:id="47" w:name="_Toc27149"/>
      <w:r>
        <w:rPr>
          <w:rFonts w:hint="eastAsia"/>
          <w:highlight w:val="none"/>
          <w:lang w:val="en-US" w:eastAsia="zh-CN"/>
        </w:rPr>
        <w:t>数据导入</w:t>
      </w:r>
      <w:bookmarkEnd w:id="47"/>
    </w:p>
    <w:p>
      <w:pPr>
        <w:adjustRightInd w:val="0"/>
        <w:snapToGrid w:val="0"/>
        <w:spacing w:line="360" w:lineRule="auto"/>
        <w:ind w:firstLine="560" w:firstLineChars="200"/>
        <w:rPr>
          <w:rFonts w:hint="eastAsia" w:ascii="仿宋" w:hAnsi="仿宋" w:eastAsia="仿宋_GB2312"/>
          <w:i w:val="0"/>
          <w:iCs w:val="0"/>
          <w:sz w:val="28"/>
          <w:highlight w:val="none"/>
          <w:lang w:val="en-US" w:eastAsia="zh-CN"/>
        </w:rPr>
      </w:pPr>
      <w:r>
        <w:rPr>
          <w:rFonts w:hint="eastAsia" w:ascii="仿宋" w:hAnsi="仿宋" w:eastAsia="仿宋_GB2312"/>
          <w:i w:val="0"/>
          <w:iCs w:val="0"/>
          <w:sz w:val="28"/>
          <w:highlight w:val="none"/>
          <w:lang w:val="en-US" w:eastAsia="zh-CN"/>
        </w:rPr>
        <w:t>华圃周转房现有的物业管理数据包含但不限于：仪表数据、欠费缴费数据、房产租赁数据、设备资产数据等。为保障华圃周转房物业管理工作稳定开展，投标人提供的智慧物业平台应提供数据导入功能，需导入的数据以及对应的关键数据字段见</w:t>
      </w:r>
      <w:r>
        <w:rPr>
          <w:rFonts w:hint="eastAsia" w:ascii="仿宋" w:hAnsi="仿宋" w:eastAsia="仿宋_GB2312"/>
          <w:i w:val="0"/>
          <w:iCs w:val="0"/>
          <w:sz w:val="28"/>
          <w:highlight w:val="none"/>
          <w:lang w:val="en-US" w:eastAsia="zh-CN"/>
        </w:rPr>
        <w:t>3.2</w:t>
      </w:r>
      <w:r>
        <w:rPr>
          <w:rFonts w:hint="eastAsia" w:ascii="仿宋" w:hAnsi="仿宋" w:eastAsia="仿宋_GB2312"/>
          <w:i w:val="0"/>
          <w:iCs w:val="0"/>
          <w:sz w:val="28"/>
          <w:highlight w:val="none"/>
          <w:lang w:val="en-US" w:eastAsia="zh-CN"/>
        </w:rPr>
        <w:t>数据格式要求。</w:t>
      </w:r>
    </w:p>
    <w:p>
      <w:pPr>
        <w:pStyle w:val="4"/>
        <w:bidi w:val="0"/>
        <w:rPr>
          <w:rFonts w:hint="eastAsia"/>
          <w:highlight w:val="none"/>
          <w:lang w:val="en-US" w:eastAsia="zh-CN"/>
        </w:rPr>
      </w:pPr>
      <w:bookmarkStart w:id="48" w:name="_Toc4327"/>
      <w:r>
        <w:rPr>
          <w:rFonts w:hint="eastAsia"/>
          <w:highlight w:val="none"/>
          <w:lang w:val="en-US" w:eastAsia="zh-CN"/>
        </w:rPr>
        <w:t>仪表用量分摊</w:t>
      </w:r>
      <w:bookmarkEnd w:id="48"/>
    </w:p>
    <w:p>
      <w:pPr>
        <w:adjustRightInd w:val="0"/>
        <w:snapToGrid w:val="0"/>
        <w:spacing w:line="360" w:lineRule="auto"/>
        <w:ind w:firstLine="560" w:firstLineChars="200"/>
        <w:rPr>
          <w:rFonts w:hint="eastAsia" w:ascii="仿宋" w:hAnsi="仿宋" w:eastAsia="仿宋_GB2312"/>
          <w:i w:val="0"/>
          <w:iCs w:val="0"/>
          <w:sz w:val="28"/>
          <w:highlight w:val="none"/>
          <w:lang w:val="en-US" w:eastAsia="zh-CN"/>
        </w:rPr>
      </w:pPr>
      <w:r>
        <w:rPr>
          <w:rFonts w:hint="eastAsia" w:ascii="仿宋" w:hAnsi="仿宋" w:eastAsia="仿宋_GB2312"/>
          <w:i w:val="0"/>
          <w:iCs w:val="0"/>
          <w:sz w:val="28"/>
          <w:highlight w:val="none"/>
          <w:lang w:val="en-US" w:eastAsia="zh-CN"/>
        </w:rPr>
        <w:t>华圃周转房的热水为集中式发热，各房产中设置了热水表以确定热水用量，因此需要根据各热水表用量对热水发热用电量进行分摊、缴费。投标人提供的智慧物业平台应支持选择特定若干个仪表参与分摊，并提供相应的证明材料。</w:t>
      </w:r>
    </w:p>
    <w:p>
      <w:pPr>
        <w:pStyle w:val="3"/>
        <w:bidi w:val="0"/>
        <w:rPr>
          <w:rFonts w:hint="default"/>
          <w:highlight w:val="none"/>
          <w:lang w:val="en-US" w:eastAsia="zh-CN"/>
        </w:rPr>
      </w:pPr>
      <w:bookmarkStart w:id="49" w:name="_Toc20700"/>
      <w:r>
        <w:rPr>
          <w:rFonts w:hint="eastAsia"/>
          <w:highlight w:val="none"/>
          <w:lang w:val="en-US" w:eastAsia="zh-CN"/>
        </w:rPr>
        <w:t>数据格式要求</w:t>
      </w:r>
      <w:bookmarkEnd w:id="49"/>
    </w:p>
    <w:p>
      <w:pPr>
        <w:adjustRightInd w:val="0"/>
        <w:snapToGrid w:val="0"/>
        <w:spacing w:line="360" w:lineRule="auto"/>
        <w:ind w:firstLine="560" w:firstLineChars="200"/>
        <w:rPr>
          <w:rFonts w:hint="eastAsia" w:ascii="仿宋" w:hAnsi="仿宋" w:eastAsia="仿宋_GB2312"/>
          <w:i w:val="0"/>
          <w:iCs w:val="0"/>
          <w:sz w:val="28"/>
          <w:highlight w:val="none"/>
          <w:lang w:val="en-US" w:eastAsia="zh-CN"/>
        </w:rPr>
      </w:pPr>
      <w:r>
        <w:rPr>
          <w:rFonts w:hint="eastAsia" w:ascii="仿宋" w:hAnsi="仿宋" w:eastAsia="仿宋_GB2312"/>
          <w:i w:val="0"/>
          <w:iCs w:val="0"/>
          <w:sz w:val="28"/>
          <w:highlight w:val="none"/>
          <w:lang w:val="en-US" w:eastAsia="zh-CN"/>
        </w:rPr>
        <w:t>以下列出华圃周转房现有物业数据的关键数据模板，以及相应的数据字段描述。投标人应提供其平台数据导入功能所使用的数据模板，列出与现有数据模板之间的映射关系，并阐明从现有数据到其提供平台的导入数据模板的数据格式转换的技术方案。</w:t>
      </w:r>
    </w:p>
    <w:p>
      <w:pPr>
        <w:pStyle w:val="4"/>
        <w:bidi w:val="0"/>
        <w:rPr>
          <w:rFonts w:hint="eastAsia"/>
          <w:highlight w:val="none"/>
          <w:lang w:val="en-US" w:eastAsia="zh-CN"/>
        </w:rPr>
      </w:pPr>
      <w:bookmarkStart w:id="50" w:name="_Toc22246"/>
      <w:r>
        <w:rPr>
          <w:rFonts w:hint="eastAsia"/>
          <w:highlight w:val="none"/>
          <w:lang w:val="en-US" w:eastAsia="zh-CN"/>
        </w:rPr>
        <w:t>房产信息</w:t>
      </w:r>
      <w:bookmarkEnd w:id="50"/>
    </w:p>
    <w:tbl>
      <w:tblPr>
        <w:tblStyle w:val="30"/>
        <w:tblW w:w="52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496"/>
        <w:gridCol w:w="27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2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w:t>
            </w:r>
          </w:p>
        </w:tc>
        <w:tc>
          <w:tcPr>
            <w:tcW w:w="2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房产简称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房产的唯一编号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业主名称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产权所有人的名字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联系电话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产权所有人的联系电话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租户名称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租户的名字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租户移动电话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租户的联系电话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出租日期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租户的租赁开始时间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房号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便于记忆的房产名称</w:t>
            </w:r>
          </w:p>
        </w:tc>
      </w:tr>
    </w:tbl>
    <w:p>
      <w:pPr>
        <w:pStyle w:val="4"/>
        <w:bidi w:val="0"/>
        <w:rPr>
          <w:rFonts w:hint="eastAsia"/>
          <w:highlight w:val="none"/>
          <w:lang w:val="en-US" w:eastAsia="zh-CN"/>
        </w:rPr>
      </w:pPr>
      <w:bookmarkStart w:id="51" w:name="_Toc2235"/>
      <w:r>
        <w:rPr>
          <w:rFonts w:hint="eastAsia"/>
          <w:highlight w:val="none"/>
          <w:lang w:val="en-US" w:eastAsia="zh-CN"/>
        </w:rPr>
        <w:t>客户信息</w:t>
      </w:r>
      <w:bookmarkEnd w:id="51"/>
    </w:p>
    <w:tbl>
      <w:tblPr>
        <w:tblStyle w:val="30"/>
        <w:tblW w:w="59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16"/>
        <w:gridCol w:w="39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w:t>
            </w: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客户名称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客户（产权所有人、租户等）的名字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联系电话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客户的联系电话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证件号码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客户的证件号码，可唯一区分不同客户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关联房产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与该客户相关（所有、租赁等）的房产</w:t>
            </w:r>
          </w:p>
        </w:tc>
      </w:tr>
    </w:tbl>
    <w:p>
      <w:pPr>
        <w:numPr>
          <w:ilvl w:val="0"/>
          <w:numId w:val="0"/>
        </w:numPr>
        <w:ind w:leftChars="0"/>
        <w:rPr>
          <w:rFonts w:hint="default"/>
          <w:highlight w:val="none"/>
          <w:lang w:val="en-US" w:eastAsia="zh-CN"/>
        </w:rPr>
      </w:pPr>
    </w:p>
    <w:p>
      <w:pPr>
        <w:pStyle w:val="4"/>
        <w:bidi w:val="0"/>
        <w:rPr>
          <w:rFonts w:hint="eastAsia"/>
          <w:highlight w:val="none"/>
          <w:lang w:val="en-US" w:eastAsia="zh-CN"/>
        </w:rPr>
      </w:pPr>
      <w:bookmarkStart w:id="52" w:name="_Toc9811"/>
      <w:r>
        <w:rPr>
          <w:rFonts w:hint="eastAsia"/>
          <w:highlight w:val="none"/>
          <w:lang w:val="en-US" w:eastAsia="zh-CN"/>
        </w:rPr>
        <w:t>普通仪表信息</w:t>
      </w:r>
      <w:bookmarkEnd w:id="52"/>
    </w:p>
    <w:tbl>
      <w:tblPr>
        <w:tblStyle w:val="30"/>
        <w:tblW w:w="60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36"/>
        <w:gridCol w:w="45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1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w:t>
            </w:r>
          </w:p>
        </w:tc>
        <w:tc>
          <w:tcPr>
            <w:tcW w:w="4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仪表编号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仪表的唯一编号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房产简称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仪表的所属房产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收费对象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当前的缴费责任人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仪表类型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区分是热水表/冷水表/入户电表/空调电表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上期抄表读数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最近一次抄表的仪表读数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上期抄表日期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最近一次抄表的时间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初始读数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仪表启用时的初始读数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安装日期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仪表启用的时间</w:t>
            </w:r>
          </w:p>
        </w:tc>
      </w:tr>
    </w:tbl>
    <w:p>
      <w:pPr>
        <w:pStyle w:val="4"/>
        <w:bidi w:val="0"/>
        <w:rPr>
          <w:rFonts w:hint="eastAsia"/>
          <w:highlight w:val="none"/>
          <w:lang w:val="en-US" w:eastAsia="zh-CN"/>
        </w:rPr>
      </w:pPr>
      <w:bookmarkStart w:id="53" w:name="_Toc30581"/>
      <w:r>
        <w:rPr>
          <w:rFonts w:hint="eastAsia"/>
          <w:highlight w:val="none"/>
          <w:lang w:val="en-US" w:eastAsia="zh-CN"/>
        </w:rPr>
        <w:t>普通仪表抄表明细</w:t>
      </w:r>
      <w:bookmarkEnd w:id="53"/>
    </w:p>
    <w:tbl>
      <w:tblPr>
        <w:tblStyle w:val="30"/>
        <w:tblW w:w="60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36"/>
        <w:gridCol w:w="45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1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w:t>
            </w:r>
          </w:p>
        </w:tc>
        <w:tc>
          <w:tcPr>
            <w:tcW w:w="4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仪表编号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仪表的唯一编号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仪表类型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区分是热水表/冷水表/入户电表/空调电表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房产简称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房产的唯一编号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用量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本次抄表周期的用量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上期抄表读数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上一次抄表的仪表读数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上期抄表日期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上一次抄表的时间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本期抄表读数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最近一次抄表的仪表读数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本期抄表日期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最近一次抄表的时间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收费对象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缴费责任人</w:t>
            </w:r>
          </w:p>
        </w:tc>
      </w:tr>
    </w:tbl>
    <w:p>
      <w:pPr>
        <w:numPr>
          <w:ilvl w:val="0"/>
          <w:numId w:val="0"/>
        </w:numPr>
        <w:ind w:leftChars="0"/>
        <w:rPr>
          <w:rFonts w:hint="default"/>
          <w:highlight w:val="none"/>
          <w:lang w:val="en-US" w:eastAsia="zh-CN"/>
        </w:rPr>
      </w:pPr>
    </w:p>
    <w:p>
      <w:pPr>
        <w:pStyle w:val="4"/>
        <w:bidi w:val="0"/>
        <w:rPr>
          <w:rFonts w:hint="eastAsia"/>
          <w:highlight w:val="none"/>
          <w:lang w:val="en-US" w:eastAsia="zh-CN"/>
        </w:rPr>
      </w:pPr>
      <w:bookmarkStart w:id="54" w:name="_Toc31935"/>
      <w:r>
        <w:rPr>
          <w:rFonts w:hint="eastAsia"/>
          <w:highlight w:val="none"/>
          <w:lang w:val="en-US" w:eastAsia="zh-CN"/>
        </w:rPr>
        <w:t>公摊仪表信息</w:t>
      </w:r>
      <w:bookmarkEnd w:id="54"/>
    </w:p>
    <w:tbl>
      <w:tblPr>
        <w:tblStyle w:val="30"/>
        <w:tblW w:w="60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36"/>
        <w:gridCol w:w="45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1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w:t>
            </w:r>
          </w:p>
        </w:tc>
        <w:tc>
          <w:tcPr>
            <w:tcW w:w="4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仪表编号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仪表的唯一编号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仪表类型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区分是热水表/冷水表/入户电表/空调电表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上期抄表读数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最近一次抄表的仪表读数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上期抄表日期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最近一次抄表的时间</w:t>
            </w:r>
          </w:p>
        </w:tc>
      </w:tr>
    </w:tbl>
    <w:p>
      <w:pPr>
        <w:numPr>
          <w:ilvl w:val="0"/>
          <w:numId w:val="0"/>
        </w:numPr>
        <w:ind w:leftChars="0"/>
        <w:rPr>
          <w:rFonts w:hint="default"/>
          <w:highlight w:val="none"/>
          <w:lang w:val="en-US" w:eastAsia="zh-CN"/>
        </w:rPr>
      </w:pPr>
    </w:p>
    <w:p>
      <w:pPr>
        <w:pStyle w:val="4"/>
        <w:bidi w:val="0"/>
        <w:rPr>
          <w:rFonts w:hint="eastAsia"/>
          <w:highlight w:val="none"/>
          <w:lang w:val="en-US" w:eastAsia="zh-CN"/>
        </w:rPr>
      </w:pPr>
      <w:bookmarkStart w:id="55" w:name="_Toc24450"/>
      <w:r>
        <w:rPr>
          <w:rFonts w:hint="eastAsia"/>
          <w:highlight w:val="none"/>
          <w:lang w:val="en-US" w:eastAsia="zh-CN"/>
        </w:rPr>
        <w:t>公摊仪表抄表明细</w:t>
      </w:r>
      <w:bookmarkEnd w:id="55"/>
    </w:p>
    <w:tbl>
      <w:tblPr>
        <w:tblStyle w:val="30"/>
        <w:tblW w:w="60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36"/>
        <w:gridCol w:w="45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1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w:t>
            </w:r>
          </w:p>
        </w:tc>
        <w:tc>
          <w:tcPr>
            <w:tcW w:w="4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仪表编号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仪表的唯一编号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仪表类型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区分是热水表/冷水表/入户电表/空调电表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用量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本次抄表周期的用量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上期抄表读数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上一次抄表的仪表读数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上期抄表日期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上一次抄表的时间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本期抄表读数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最近一次抄表的仪表读数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本期抄表日期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最近一次抄表的时间</w:t>
            </w:r>
          </w:p>
        </w:tc>
      </w:tr>
    </w:tbl>
    <w:p>
      <w:pPr>
        <w:pStyle w:val="4"/>
        <w:bidi w:val="0"/>
        <w:rPr>
          <w:rFonts w:hint="eastAsia"/>
          <w:highlight w:val="none"/>
          <w:lang w:val="en-US" w:eastAsia="zh-CN"/>
        </w:rPr>
      </w:pPr>
      <w:bookmarkStart w:id="56" w:name="_Toc2373"/>
      <w:r>
        <w:rPr>
          <w:rFonts w:hint="eastAsia"/>
          <w:highlight w:val="none"/>
          <w:lang w:val="en-US" w:eastAsia="zh-CN"/>
        </w:rPr>
        <w:t>应收款信息</w:t>
      </w:r>
      <w:bookmarkEnd w:id="56"/>
    </w:p>
    <w:tbl>
      <w:tblPr>
        <w:tblStyle w:val="30"/>
        <w:tblW w:w="60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96"/>
        <w:gridCol w:w="4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w:t>
            </w:r>
          </w:p>
        </w:tc>
        <w:tc>
          <w:tcPr>
            <w:tcW w:w="4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房产简称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房产的唯一编号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收费对象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缴费责任人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计费开始日期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该费用的计费开始日期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计费结束日期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该费用的计费结束日期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面积/用量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对应的仪表用量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应收金额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应收金额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已收金额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已收金额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欠费金额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欠费金额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反映了该费用来自哪一仪表或来自分摊</w:t>
            </w:r>
          </w:p>
        </w:tc>
      </w:tr>
    </w:tbl>
    <w:p>
      <w:pPr>
        <w:pStyle w:val="4"/>
        <w:bidi w:val="0"/>
        <w:rPr>
          <w:rFonts w:hint="eastAsia"/>
          <w:highlight w:val="none"/>
          <w:lang w:val="en-US" w:eastAsia="zh-CN"/>
        </w:rPr>
      </w:pPr>
      <w:bookmarkStart w:id="57" w:name="_Toc22539"/>
      <w:r>
        <w:rPr>
          <w:rFonts w:hint="eastAsia"/>
          <w:highlight w:val="none"/>
          <w:lang w:val="en-US" w:eastAsia="zh-CN"/>
        </w:rPr>
        <w:t>设备信息</w:t>
      </w:r>
      <w:bookmarkEnd w:id="57"/>
    </w:p>
    <w:tbl>
      <w:tblPr>
        <w:tblStyle w:val="30"/>
        <w:tblW w:w="45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340"/>
        <w:gridCol w:w="22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2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w:t>
            </w:r>
          </w:p>
        </w:tc>
        <w:tc>
          <w:tcPr>
            <w:tcW w:w="22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设备分类一级名称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设备的一级分类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设备分类二级名称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设备的二级分类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设备路址一级名称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设备的一级位置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设备路址二级名称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设备的二级位置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设备路址三级名称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设备的三级位置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设备机房名称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设备所在的房产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设备编号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设备的唯一编号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责任人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设备的负责人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设备状态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是否在用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是否需要巡检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设备是否需要巡检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规格型号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技术参数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制造厂商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制造厂商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出厂日期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出厂日期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安装日期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安装日期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安装位置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安装位置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维保联系人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设备维保的联系人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联系电话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设备维保的联系电话</w:t>
            </w:r>
          </w:p>
        </w:tc>
      </w:tr>
    </w:tbl>
    <w:p>
      <w:pPr>
        <w:numPr>
          <w:ilvl w:val="0"/>
          <w:numId w:val="0"/>
        </w:numPr>
        <w:ind w:leftChars="0"/>
        <w:rPr>
          <w:rFonts w:hint="default"/>
          <w:highlight w:val="none"/>
          <w:lang w:val="en-US" w:eastAsia="zh-CN"/>
        </w:rPr>
      </w:pPr>
    </w:p>
    <w:p>
      <w:pPr>
        <w:pStyle w:val="4"/>
        <w:bidi w:val="0"/>
        <w:rPr>
          <w:rFonts w:hint="eastAsia"/>
          <w:highlight w:val="none"/>
          <w:lang w:val="en-US" w:eastAsia="zh-CN"/>
        </w:rPr>
      </w:pPr>
      <w:bookmarkStart w:id="58" w:name="_Toc250"/>
      <w:r>
        <w:rPr>
          <w:rFonts w:hint="eastAsia"/>
          <w:highlight w:val="none"/>
          <w:lang w:val="en-US" w:eastAsia="zh-CN"/>
        </w:rPr>
        <w:t>工单信息</w:t>
      </w:r>
      <w:bookmarkEnd w:id="58"/>
    </w:p>
    <w:tbl>
      <w:tblPr>
        <w:tblStyle w:val="30"/>
        <w:tblW w:w="47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16"/>
        <w:gridCol w:w="27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2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w:t>
            </w:r>
          </w:p>
        </w:tc>
        <w:tc>
          <w:tcPr>
            <w:tcW w:w="2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字段描述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工单编号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工单的唯一编号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客户房号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工单发起人的对应房产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联系人姓名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工单发起人的名字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联系人电话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工单发起人的联系电话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工单分类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报修/预约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工单状态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工单是否完成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当前负责人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当前节点负责人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登记人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登记人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登记时间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登记时间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处理完成详情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工单处理完成的反馈信息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转单详情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转单详情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转单时间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转单时间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转单人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提起转单的人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被分配人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转单的被分配人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分配人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分配接受转单人员的人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跟进详情内容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工单的跟进情况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跟进时间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反馈跟进情况的时间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处理完成人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完成本工单的人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处理完成时间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完成本工单的时间</w:t>
            </w:r>
          </w:p>
        </w:tc>
      </w:tr>
    </w:tbl>
    <w:p>
      <w:pPr>
        <w:numPr>
          <w:ilvl w:val="0"/>
          <w:numId w:val="0"/>
        </w:numPr>
        <w:ind w:leftChars="0"/>
        <w:rPr>
          <w:rFonts w:hint="default"/>
          <w:highlight w:val="none"/>
          <w:lang w:val="en-US" w:eastAsia="zh-CN"/>
        </w:rPr>
      </w:pPr>
    </w:p>
    <w:p>
      <w:pPr>
        <w:pStyle w:val="3"/>
        <w:bidi w:val="0"/>
        <w:rPr>
          <w:rFonts w:hint="default"/>
          <w:highlight w:val="none"/>
          <w:lang w:val="en-US" w:eastAsia="zh-CN"/>
        </w:rPr>
      </w:pPr>
      <w:bookmarkStart w:id="59" w:name="_Toc6682"/>
      <w:r>
        <w:rPr>
          <w:rFonts w:hint="eastAsia"/>
          <w:highlight w:val="none"/>
          <w:lang w:val="en-US" w:eastAsia="zh-CN"/>
        </w:rPr>
        <w:t>数据迁移要求</w:t>
      </w:r>
      <w:bookmarkEnd w:id="59"/>
    </w:p>
    <w:p>
      <w:pPr>
        <w:adjustRightInd w:val="0"/>
        <w:snapToGrid w:val="0"/>
        <w:spacing w:line="360" w:lineRule="auto"/>
        <w:ind w:firstLine="560" w:firstLineChars="200"/>
        <w:rPr>
          <w:rFonts w:hint="default" w:ascii="仿宋" w:hAnsi="仿宋" w:eastAsia="仿宋_GB2312"/>
          <w:i w:val="0"/>
          <w:iCs w:val="0"/>
          <w:sz w:val="28"/>
          <w:highlight w:val="none"/>
          <w:lang w:val="en-US" w:eastAsia="zh-CN"/>
        </w:rPr>
      </w:pPr>
      <w:r>
        <w:rPr>
          <w:rFonts w:hint="eastAsia" w:ascii="仿宋" w:hAnsi="仿宋" w:eastAsia="仿宋_GB2312"/>
          <w:i w:val="0"/>
          <w:iCs w:val="0"/>
          <w:sz w:val="28"/>
          <w:highlight w:val="none"/>
          <w:lang w:val="en-US" w:eastAsia="zh-CN"/>
        </w:rPr>
        <w:t>投标人应提供详细的华圃周转房原有物业数据的迁移方案，要求在2024年4月20日前完成数据迁移，以保障华圃周转房的物业管理稳定进行。</w:t>
      </w:r>
    </w:p>
    <w:p>
      <w:pPr>
        <w:pStyle w:val="2"/>
        <w:rPr>
          <w:highlight w:val="none"/>
        </w:rPr>
      </w:pPr>
      <w:bookmarkStart w:id="60" w:name="_Toc22500"/>
      <w:r>
        <w:rPr>
          <w:rFonts w:hint="eastAsia"/>
          <w:highlight w:val="none"/>
          <w:lang w:eastAsia="zh-CN"/>
        </w:rPr>
        <w:t>附件</w:t>
      </w:r>
      <w:bookmarkEnd w:id="60"/>
    </w:p>
    <w:p>
      <w:pPr>
        <w:adjustRightInd w:val="0"/>
        <w:snapToGrid w:val="0"/>
        <w:spacing w:line="360" w:lineRule="auto"/>
        <w:ind w:firstLine="560" w:firstLineChars="200"/>
        <w:rPr>
          <w:rFonts w:hint="default" w:ascii="仿宋" w:hAnsi="仿宋" w:eastAsia="仿宋_GB2312"/>
          <w:i w:val="0"/>
          <w:iCs w:val="0"/>
          <w:sz w:val="28"/>
          <w:highlight w:val="none"/>
          <w:lang w:val="en-US" w:eastAsia="zh-CN"/>
        </w:rPr>
      </w:pPr>
      <w:r>
        <w:rPr>
          <w:rFonts w:hint="eastAsia" w:ascii="仿宋" w:hAnsi="仿宋" w:eastAsia="仿宋_GB2312"/>
          <w:i w:val="0"/>
          <w:iCs w:val="0"/>
          <w:sz w:val="28"/>
          <w:highlight w:val="none"/>
          <w:lang w:val="en-US" w:eastAsia="zh-CN"/>
        </w:rPr>
        <w:t>无。</w:t>
      </w:r>
    </w:p>
    <w:p>
      <w:pPr>
        <w:adjustRightInd w:val="0"/>
        <w:snapToGrid w:val="0"/>
        <w:spacing w:line="360" w:lineRule="auto"/>
        <w:ind w:firstLine="560" w:firstLineChars="200"/>
        <w:rPr>
          <w:rFonts w:hint="eastAsia" w:ascii="仿宋" w:hAnsi="仿宋" w:eastAsia="仿宋_GB2312"/>
          <w:i/>
          <w:iCs/>
          <w:sz w:val="28"/>
          <w:highlight w:val="none"/>
          <w:lang w:val="en-US" w:eastAsia="zh-CN"/>
        </w:rPr>
      </w:pPr>
    </w:p>
    <w:sectPr>
      <w:headerReference r:id="rId11" w:type="first"/>
      <w:footerReference r:id="rId13" w:type="first"/>
      <w:footerReference r:id="rId12" w:type="default"/>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rPr>
        <w:rStyle w:val="34"/>
        <w:rFonts w:hint="eastAsia"/>
      </w:rPr>
      <w:t xml:space="preserve">－ </w:t>
    </w:r>
    <w:r>
      <w:fldChar w:fldCharType="begin"/>
    </w:r>
    <w:r>
      <w:rPr>
        <w:rStyle w:val="34"/>
      </w:rPr>
      <w:instrText xml:space="preserve"> PAGE </w:instrText>
    </w:r>
    <w:r>
      <w:fldChar w:fldCharType="separate"/>
    </w:r>
    <w:r>
      <w:rPr>
        <w:rStyle w:val="34"/>
      </w:rPr>
      <w:t>i</w:t>
    </w:r>
    <w:r>
      <w:fldChar w:fldCharType="end"/>
    </w:r>
    <w:r>
      <w:rPr>
        <w:rStyle w:val="34"/>
        <w:rFonts w:hint="eastAsia"/>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instrText xml:space="preserve">PAGE   \* MERGEFORMAT</w:instrText>
    </w:r>
    <w:r>
      <w:fldChar w:fldCharType="separate"/>
    </w:r>
    <w:r>
      <w:rPr>
        <w:lang w:val="zh-CN"/>
      </w:rPr>
      <w:t>8</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instrText xml:space="preserve"> PAGE   \* MERGEFORMAT </w:instrText>
    </w:r>
    <w:r>
      <w:fldChar w:fldCharType="separate"/>
    </w:r>
    <w:r>
      <w:rPr>
        <w:lang w:val="zh-CN"/>
      </w:rPr>
      <w:t>1</w:t>
    </w:r>
    <w:r>
      <w:fldChar w:fldCharType="end"/>
    </w:r>
  </w:p>
  <w:p>
    <w:pPr>
      <w:pStyle w:val="2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right"/>
    </w:pPr>
    <w:r>
      <w:rPr>
        <w:rFonts w:hint="eastAsia"/>
      </w:rPr>
      <w:t>科研综合管理系统技术规范书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97"/>
      <w:suff w:val="nothing"/>
      <w:lvlText w:val="%1%2.%3　"/>
      <w:lvlJc w:val="left"/>
      <w:pPr>
        <w:ind w:left="0" w:firstLine="0"/>
      </w:pPr>
      <w:rPr>
        <w:rFonts w:hint="eastAsia" w:ascii="黑体" w:hAnsi="Times New Roman" w:eastAsia="黑体"/>
        <w:b/>
        <w:i w:val="0"/>
        <w:sz w:val="21"/>
      </w:rPr>
    </w:lvl>
    <w:lvl w:ilvl="3" w:tentative="0">
      <w:start w:val="1"/>
      <w:numFmt w:val="decimal"/>
      <w:pStyle w:val="94"/>
      <w:suff w:val="nothing"/>
      <w:lvlText w:val="%1%2.%3.%4　"/>
      <w:lvlJc w:val="left"/>
      <w:pPr>
        <w:ind w:left="0" w:firstLine="0"/>
      </w:pPr>
      <w:rPr>
        <w:rFonts w:hint="eastAsia" w:ascii="黑体" w:hAnsi="Times New Roman" w:eastAsia="黑体"/>
        <w:b/>
        <w:i w:val="0"/>
        <w:sz w:val="21"/>
      </w:rPr>
    </w:lvl>
    <w:lvl w:ilvl="4" w:tentative="0">
      <w:start w:val="1"/>
      <w:numFmt w:val="decimal"/>
      <w:pStyle w:val="106"/>
      <w:suff w:val="nothing"/>
      <w:lvlText w:val="%1%2.%3.%4.%5　"/>
      <w:lvlJc w:val="left"/>
      <w:pPr>
        <w:ind w:left="0" w:firstLine="0"/>
      </w:pPr>
      <w:rPr>
        <w:rFonts w:hint="eastAsia" w:ascii="黑体" w:hAnsi="Times New Roman" w:eastAsia="黑体"/>
        <w:b/>
        <w:i w:val="0"/>
        <w:sz w:val="21"/>
      </w:rPr>
    </w:lvl>
    <w:lvl w:ilvl="5" w:tentative="0">
      <w:start w:val="1"/>
      <w:numFmt w:val="decimal"/>
      <w:pStyle w:val="110"/>
      <w:suff w:val="nothing"/>
      <w:lvlText w:val="%1%2.%3.%4.%5.%6　"/>
      <w:lvlJc w:val="left"/>
      <w:pPr>
        <w:ind w:left="0" w:firstLine="0"/>
      </w:pPr>
      <w:rPr>
        <w:rFonts w:hint="eastAsia" w:ascii="黑体" w:hAnsi="Times New Roman" w:eastAsia="黑体"/>
        <w:b/>
        <w:i w:val="0"/>
        <w:sz w:val="21"/>
      </w:rPr>
    </w:lvl>
    <w:lvl w:ilvl="6" w:tentative="0">
      <w:start w:val="1"/>
      <w:numFmt w:val="decimal"/>
      <w:pStyle w:val="92"/>
      <w:suff w:val="nothing"/>
      <w:lvlText w:val="%1%2.%3.%4.%5.%6.%7　"/>
      <w:lvlJc w:val="left"/>
      <w:pPr>
        <w:ind w:left="0" w:firstLine="0"/>
      </w:pPr>
      <w:rPr>
        <w:rFonts w:hint="eastAsia" w:ascii="黑体" w:hAnsi="Times New Roman" w:eastAsia="黑体"/>
        <w:b/>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4B6473D5"/>
    <w:multiLevelType w:val="multilevel"/>
    <w:tmpl w:val="4B6473D5"/>
    <w:lvl w:ilvl="0" w:tentative="0">
      <w:start w:val="1"/>
      <w:numFmt w:val="decimal"/>
      <w:lvlText w:val="%1)"/>
      <w:lvlJc w:val="left"/>
      <w:pPr>
        <w:ind w:left="90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B621A86"/>
    <w:multiLevelType w:val="multilevel"/>
    <w:tmpl w:val="5B621A86"/>
    <w:lvl w:ilvl="0" w:tentative="0">
      <w:start w:val="1"/>
      <w:numFmt w:val="bullet"/>
      <w:pStyle w:val="78"/>
      <w:lvlText w:val=""/>
      <w:lvlJc w:val="left"/>
      <w:pPr>
        <w:tabs>
          <w:tab w:val="left" w:pos="840"/>
        </w:tabs>
        <w:ind w:left="0" w:firstLine="420"/>
      </w:pPr>
      <w:rPr>
        <w:rFonts w:hint="default" w:ascii="Wingdings" w:hAnsi="Wingdings"/>
      </w:rPr>
    </w:lvl>
    <w:lvl w:ilvl="1" w:tentative="0">
      <w:start w:val="1"/>
      <w:numFmt w:val="none"/>
      <w:lvlRestart w:val="0"/>
      <w:lvlText w:val="%2"/>
      <w:lvlJc w:val="left"/>
      <w:pPr>
        <w:tabs>
          <w:tab w:val="left" w:pos="0"/>
        </w:tabs>
        <w:ind w:left="0" w:firstLine="0"/>
      </w:pPr>
      <w:rPr>
        <w:rFonts w:hint="eastAsia"/>
      </w:rPr>
    </w:lvl>
    <w:lvl w:ilvl="2" w:tentative="0">
      <w:start w:val="1"/>
      <w:numFmt w:val="none"/>
      <w:lvlRestart w:val="0"/>
      <w:lvlText w:val=""/>
      <w:lvlJc w:val="left"/>
      <w:pPr>
        <w:tabs>
          <w:tab w:val="left" w:pos="0"/>
        </w:tabs>
        <w:ind w:left="0" w:firstLine="0"/>
      </w:pPr>
      <w:rPr>
        <w:rFonts w:hint="eastAsia"/>
      </w:rPr>
    </w:lvl>
    <w:lvl w:ilvl="3" w:tentative="0">
      <w:start w:val="1"/>
      <w:numFmt w:val="none"/>
      <w:lvlRestart w:val="0"/>
      <w:lvlText w:val=""/>
      <w:lvlJc w:val="right"/>
      <w:pPr>
        <w:tabs>
          <w:tab w:val="left" w:pos="0"/>
        </w:tabs>
        <w:ind w:left="0" w:firstLine="0"/>
      </w:pPr>
      <w:rPr>
        <w:rFonts w:hint="eastAsia"/>
      </w:rPr>
    </w:lvl>
    <w:lvl w:ilvl="4" w:tentative="0">
      <w:start w:val="1"/>
      <w:numFmt w:val="none"/>
      <w:lvlRestart w:val="0"/>
      <w:lvlText w:val="%5"/>
      <w:lvlJc w:val="left"/>
      <w:pPr>
        <w:tabs>
          <w:tab w:val="left" w:pos="0"/>
        </w:tabs>
        <w:ind w:left="0" w:firstLine="0"/>
      </w:pPr>
      <w:rPr>
        <w:rFonts w:hint="eastAsia"/>
      </w:rPr>
    </w:lvl>
    <w:lvl w:ilvl="5" w:tentative="0">
      <w:start w:val="1"/>
      <w:numFmt w:val="none"/>
      <w:lvlRestart w:val="0"/>
      <w:lvlText w:val="%6"/>
      <w:lvlJc w:val="left"/>
      <w:pPr>
        <w:tabs>
          <w:tab w:val="left" w:pos="0"/>
        </w:tabs>
        <w:ind w:left="0" w:firstLine="0"/>
      </w:pPr>
      <w:rPr>
        <w:rFonts w:hint="eastAsia"/>
      </w:rPr>
    </w:lvl>
    <w:lvl w:ilvl="6" w:tentative="0">
      <w:start w:val="1"/>
      <w:numFmt w:val="none"/>
      <w:lvlRestart w:val="0"/>
      <w:lvlText w:val="%7"/>
      <w:lvlJc w:val="right"/>
      <w:pPr>
        <w:tabs>
          <w:tab w:val="left" w:pos="0"/>
        </w:tabs>
        <w:ind w:left="0" w:firstLine="0"/>
      </w:pPr>
      <w:rPr>
        <w:rFonts w:hint="eastAsia"/>
      </w:rPr>
    </w:lvl>
    <w:lvl w:ilvl="7" w:tentative="0">
      <w:start w:val="1"/>
      <w:numFmt w:val="none"/>
      <w:lvlRestart w:val="0"/>
      <w:lvlText w:val="%8"/>
      <w:lvlJc w:val="left"/>
      <w:pPr>
        <w:tabs>
          <w:tab w:val="left" w:pos="0"/>
        </w:tabs>
        <w:ind w:left="0" w:firstLine="0"/>
      </w:pPr>
      <w:rPr>
        <w:rFonts w:hint="eastAsia"/>
      </w:rPr>
    </w:lvl>
    <w:lvl w:ilvl="8" w:tentative="0">
      <w:start w:val="1"/>
      <w:numFmt w:val="none"/>
      <w:lvlRestart w:val="0"/>
      <w:lvlText w:val="%9"/>
      <w:lvlJc w:val="right"/>
      <w:pPr>
        <w:tabs>
          <w:tab w:val="left" w:pos="0"/>
        </w:tabs>
        <w:ind w:left="0" w:firstLine="0"/>
      </w:pPr>
      <w:rPr>
        <w:rFonts w:hint="eastAsia"/>
      </w:rPr>
    </w:lvl>
  </w:abstractNum>
  <w:abstractNum w:abstractNumId="3">
    <w:nsid w:val="5F3E3B82"/>
    <w:multiLevelType w:val="multilevel"/>
    <w:tmpl w:val="5F3E3B82"/>
    <w:lvl w:ilvl="0" w:tentative="0">
      <w:start w:val="1"/>
      <w:numFmt w:val="decimal"/>
      <w:lvlText w:val="（%1）"/>
      <w:lvlJc w:val="left"/>
      <w:pPr>
        <w:ind w:left="420" w:hanging="420"/>
      </w:pPr>
      <w:rPr>
        <w:rFonts w:hint="default"/>
        <w:lang w:val="en-US"/>
      </w:rPr>
    </w:lvl>
    <w:lvl w:ilvl="1" w:tentative="0">
      <w:start w:val="1"/>
      <w:numFmt w:val="lowerLetter"/>
      <w:lvlText w:val="%2)"/>
      <w:lvlJc w:val="left"/>
      <w:pPr>
        <w:ind w:left="840" w:hanging="420"/>
      </w:pPr>
    </w:lvl>
    <w:lvl w:ilvl="2" w:tentative="0">
      <w:start w:val="1"/>
      <w:numFmt w:val="decimal"/>
      <w:lvlText w:val="%3、"/>
      <w:lvlJc w:val="left"/>
      <w:pPr>
        <w:ind w:left="1290" w:hanging="45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56E7BB8"/>
    <w:multiLevelType w:val="multilevel"/>
    <w:tmpl w:val="656E7BB8"/>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76"/>
      <w:lvlText w:val="%1%2"/>
      <w:lvlJc w:val="left"/>
      <w:pPr>
        <w:tabs>
          <w:tab w:val="left" w:pos="360"/>
        </w:tabs>
        <w:ind w:left="0" w:firstLine="0"/>
      </w:pPr>
      <w:rPr>
        <w:rFonts w:hint="eastAsia" w:ascii="黑体" w:hAnsi="Times New Roman" w:eastAsia="黑体"/>
        <w:b/>
        <w:i w:val="0"/>
        <w:sz w:val="20"/>
      </w:rPr>
    </w:lvl>
    <w:lvl w:ilvl="2" w:tentative="0">
      <w:start w:val="1"/>
      <w:numFmt w:val="decimal"/>
      <w:pStyle w:val="82"/>
      <w:lvlText w:val="%1%2.%3"/>
      <w:lvlJc w:val="left"/>
      <w:pPr>
        <w:tabs>
          <w:tab w:val="left" w:pos="720"/>
        </w:tabs>
        <w:ind w:left="0" w:firstLine="0"/>
      </w:pPr>
      <w:rPr>
        <w:rFonts w:hint="eastAsia" w:ascii="黑体" w:hAnsi="Times New Roman" w:eastAsia="黑体"/>
        <w:b/>
        <w:i w:val="0"/>
        <w:sz w:val="21"/>
      </w:rPr>
    </w:lvl>
    <w:lvl w:ilvl="3" w:tentative="0">
      <w:start w:val="1"/>
      <w:numFmt w:val="decimal"/>
      <w:pStyle w:val="81"/>
      <w:lvlText w:val="%1%2.%3.%4"/>
      <w:lvlJc w:val="left"/>
      <w:pPr>
        <w:tabs>
          <w:tab w:val="left" w:pos="720"/>
        </w:tabs>
        <w:ind w:left="0" w:firstLine="0"/>
      </w:pPr>
      <w:rPr>
        <w:rFonts w:hint="eastAsia" w:ascii="黑体" w:hAnsi="Times New Roman" w:eastAsia="黑体"/>
        <w:b/>
        <w:i w:val="0"/>
        <w:sz w:val="21"/>
      </w:rPr>
    </w:lvl>
    <w:lvl w:ilvl="4" w:tentative="0">
      <w:start w:val="1"/>
      <w:numFmt w:val="decimal"/>
      <w:pStyle w:val="80"/>
      <w:lvlText w:val="%2.%3.%4.%5"/>
      <w:lvlJc w:val="left"/>
      <w:pPr>
        <w:tabs>
          <w:tab w:val="left" w:pos="1080"/>
        </w:tabs>
        <w:ind w:left="0" w:firstLine="0"/>
      </w:pPr>
      <w:rPr>
        <w:rFonts w:hint="eastAsia" w:ascii="黑体" w:hAnsi="Times New Roman" w:eastAsia="黑体"/>
        <w:b/>
        <w:i w:val="0"/>
        <w:sz w:val="21"/>
      </w:rPr>
    </w:lvl>
    <w:lvl w:ilvl="5" w:tentative="0">
      <w:start w:val="1"/>
      <w:numFmt w:val="decimal"/>
      <w:pStyle w:val="83"/>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pStyle w:val="90"/>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5">
    <w:nsid w:val="660923B1"/>
    <w:multiLevelType w:val="multilevel"/>
    <w:tmpl w:val="660923B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67DCB2FB"/>
    <w:multiLevelType w:val="singleLevel"/>
    <w:tmpl w:val="67DCB2FB"/>
    <w:lvl w:ilvl="0" w:tentative="0">
      <w:start w:val="1"/>
      <w:numFmt w:val="decimal"/>
      <w:suff w:val="nothing"/>
      <w:lvlText w:val="%1）"/>
      <w:lvlJc w:val="left"/>
    </w:lvl>
  </w:abstractNum>
  <w:abstractNum w:abstractNumId="7">
    <w:nsid w:val="6883480C"/>
    <w:multiLevelType w:val="multilevel"/>
    <w:tmpl w:val="6883480C"/>
    <w:lvl w:ilvl="0" w:tentative="0">
      <w:start w:val="1"/>
      <w:numFmt w:val="decimal"/>
      <w:pStyle w:val="98"/>
      <w:lvlText w:val="%1)"/>
      <w:lvlJc w:val="left"/>
      <w:pPr>
        <w:tabs>
          <w:tab w:val="left" w:pos="839"/>
        </w:tabs>
        <w:ind w:left="0" w:firstLine="420"/>
      </w:pPr>
      <w:rPr>
        <w:rFonts w:hint="eastAsia"/>
      </w:rPr>
    </w:lvl>
    <w:lvl w:ilvl="1" w:tentative="0">
      <w:start w:val="1"/>
      <w:numFmt w:val="lowerLetter"/>
      <w:pStyle w:val="101"/>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abstractNum w:abstractNumId="8">
    <w:nsid w:val="756D29A0"/>
    <w:multiLevelType w:val="multilevel"/>
    <w:tmpl w:val="756D29A0"/>
    <w:lvl w:ilvl="0" w:tentative="0">
      <w:start w:val="1"/>
      <w:numFmt w:val="decimal"/>
      <w:pStyle w:val="2"/>
      <w:lvlText w:val="%1."/>
      <w:lvlJc w:val="left"/>
      <w:pPr>
        <w:tabs>
          <w:tab w:val="left" w:pos="425"/>
        </w:tabs>
        <w:ind w:left="425" w:hanging="425"/>
      </w:pPr>
      <w:rPr>
        <w:rFonts w:hint="default" w:ascii="Times New Roman" w:hAnsi="Times New Roman" w:eastAsia="宋体"/>
        <w:b w:val="0"/>
        <w:i w:val="0"/>
        <w:spacing w:val="-12"/>
        <w:sz w:val="28"/>
        <w:szCs w:val="44"/>
      </w:rPr>
    </w:lvl>
    <w:lvl w:ilvl="1" w:tentative="0">
      <w:start w:val="1"/>
      <w:numFmt w:val="decimal"/>
      <w:pStyle w:val="3"/>
      <w:lvlText w:val="%1.%2."/>
      <w:lvlJc w:val="left"/>
      <w:pPr>
        <w:tabs>
          <w:tab w:val="left" w:pos="567"/>
        </w:tabs>
        <w:ind w:left="567" w:hanging="567"/>
      </w:pPr>
      <w:rPr>
        <w:rFonts w:hint="default" w:ascii="Times New Roman" w:hAnsi="Times New Roman" w:eastAsia="宋体"/>
        <w:sz w:val="28"/>
        <w:szCs w:val="24"/>
      </w:rPr>
    </w:lvl>
    <w:lvl w:ilvl="2" w:tentative="0">
      <w:start w:val="1"/>
      <w:numFmt w:val="decimal"/>
      <w:pStyle w:val="4"/>
      <w:lvlText w:val="%1.%2.%3."/>
      <w:lvlJc w:val="left"/>
      <w:pPr>
        <w:tabs>
          <w:tab w:val="left" w:pos="709"/>
        </w:tabs>
        <w:ind w:left="709" w:hanging="709"/>
      </w:pPr>
      <w:rPr>
        <w:rFonts w:hint="default" w:ascii="Times New Roman" w:hAnsi="Times New Roman" w:cs="Times New Roman"/>
        <w:sz w:val="28"/>
      </w:rPr>
    </w:lvl>
    <w:lvl w:ilvl="3" w:tentative="0">
      <w:start w:val="1"/>
      <w:numFmt w:val="decimal"/>
      <w:pStyle w:val="5"/>
      <w:lvlText w:val="%1.%2.%3.%4."/>
      <w:lvlJc w:val="left"/>
      <w:pPr>
        <w:tabs>
          <w:tab w:val="left" w:pos="851"/>
        </w:tabs>
        <w:ind w:left="851" w:hanging="851"/>
      </w:pPr>
      <w:rPr>
        <w:rFonts w:hint="eastAsia"/>
        <w:sz w:val="24"/>
        <w:szCs w:val="24"/>
      </w:rPr>
    </w:lvl>
    <w:lvl w:ilvl="4" w:tentative="0">
      <w:start w:val="1"/>
      <w:numFmt w:val="decimal"/>
      <w:pStyle w:val="6"/>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8"/>
  </w:num>
  <w:num w:numId="2">
    <w:abstractNumId w:val="4"/>
  </w:num>
  <w:num w:numId="3">
    <w:abstractNumId w:val="2"/>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21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0YjcwNTIxNGYwMzNlZDVjYjcwOTI4MzJlZjhlNDcifQ=="/>
  </w:docVars>
  <w:rsids>
    <w:rsidRoot w:val="00F178A9"/>
    <w:rsid w:val="00000D50"/>
    <w:rsid w:val="0000348C"/>
    <w:rsid w:val="00005E57"/>
    <w:rsid w:val="0000720A"/>
    <w:rsid w:val="000121FD"/>
    <w:rsid w:val="00013FFD"/>
    <w:rsid w:val="00017A99"/>
    <w:rsid w:val="00022803"/>
    <w:rsid w:val="00023619"/>
    <w:rsid w:val="000260B5"/>
    <w:rsid w:val="00033772"/>
    <w:rsid w:val="0003434F"/>
    <w:rsid w:val="00036C48"/>
    <w:rsid w:val="0003775A"/>
    <w:rsid w:val="00037956"/>
    <w:rsid w:val="00037E03"/>
    <w:rsid w:val="00041C8E"/>
    <w:rsid w:val="00042573"/>
    <w:rsid w:val="00043DA6"/>
    <w:rsid w:val="00044737"/>
    <w:rsid w:val="00044959"/>
    <w:rsid w:val="000460CF"/>
    <w:rsid w:val="00046480"/>
    <w:rsid w:val="00046A59"/>
    <w:rsid w:val="00047B73"/>
    <w:rsid w:val="000502F5"/>
    <w:rsid w:val="00055AAF"/>
    <w:rsid w:val="00057111"/>
    <w:rsid w:val="00057E39"/>
    <w:rsid w:val="00063D61"/>
    <w:rsid w:val="00064034"/>
    <w:rsid w:val="00066CE1"/>
    <w:rsid w:val="00073CA7"/>
    <w:rsid w:val="000750C0"/>
    <w:rsid w:val="00075968"/>
    <w:rsid w:val="00076BEC"/>
    <w:rsid w:val="00077E62"/>
    <w:rsid w:val="00083F7F"/>
    <w:rsid w:val="0008479C"/>
    <w:rsid w:val="00086535"/>
    <w:rsid w:val="00086696"/>
    <w:rsid w:val="0009092E"/>
    <w:rsid w:val="0009151E"/>
    <w:rsid w:val="00092316"/>
    <w:rsid w:val="00093AA4"/>
    <w:rsid w:val="00093C06"/>
    <w:rsid w:val="00094447"/>
    <w:rsid w:val="0009664D"/>
    <w:rsid w:val="00097860"/>
    <w:rsid w:val="00097BCC"/>
    <w:rsid w:val="000A1952"/>
    <w:rsid w:val="000A510C"/>
    <w:rsid w:val="000A719D"/>
    <w:rsid w:val="000B0A24"/>
    <w:rsid w:val="000B547C"/>
    <w:rsid w:val="000B5606"/>
    <w:rsid w:val="000B7E17"/>
    <w:rsid w:val="000C36E1"/>
    <w:rsid w:val="000C7448"/>
    <w:rsid w:val="000D3286"/>
    <w:rsid w:val="000D4E82"/>
    <w:rsid w:val="000D5FF1"/>
    <w:rsid w:val="000D6285"/>
    <w:rsid w:val="000D709A"/>
    <w:rsid w:val="000E0755"/>
    <w:rsid w:val="000E2D49"/>
    <w:rsid w:val="000E3BDE"/>
    <w:rsid w:val="000E578B"/>
    <w:rsid w:val="000E7F2A"/>
    <w:rsid w:val="000F0423"/>
    <w:rsid w:val="000F0FD1"/>
    <w:rsid w:val="000F1E0E"/>
    <w:rsid w:val="000F2A0B"/>
    <w:rsid w:val="000F2FAE"/>
    <w:rsid w:val="000F7F89"/>
    <w:rsid w:val="001000D4"/>
    <w:rsid w:val="00101604"/>
    <w:rsid w:val="00104FF5"/>
    <w:rsid w:val="00106015"/>
    <w:rsid w:val="001060B5"/>
    <w:rsid w:val="00107FA2"/>
    <w:rsid w:val="0011046C"/>
    <w:rsid w:val="00112149"/>
    <w:rsid w:val="0011399E"/>
    <w:rsid w:val="00114AE3"/>
    <w:rsid w:val="001151EC"/>
    <w:rsid w:val="00115D81"/>
    <w:rsid w:val="00121591"/>
    <w:rsid w:val="00121AD8"/>
    <w:rsid w:val="001220D3"/>
    <w:rsid w:val="001269EB"/>
    <w:rsid w:val="00130818"/>
    <w:rsid w:val="001323AF"/>
    <w:rsid w:val="00132E9A"/>
    <w:rsid w:val="00133432"/>
    <w:rsid w:val="001334F5"/>
    <w:rsid w:val="00133628"/>
    <w:rsid w:val="0013466B"/>
    <w:rsid w:val="00142E94"/>
    <w:rsid w:val="00143558"/>
    <w:rsid w:val="001475C3"/>
    <w:rsid w:val="00153210"/>
    <w:rsid w:val="0015464D"/>
    <w:rsid w:val="00155EE4"/>
    <w:rsid w:val="00156E1F"/>
    <w:rsid w:val="00160798"/>
    <w:rsid w:val="00162091"/>
    <w:rsid w:val="00163FB2"/>
    <w:rsid w:val="001645CC"/>
    <w:rsid w:val="0017091A"/>
    <w:rsid w:val="00172287"/>
    <w:rsid w:val="0017330D"/>
    <w:rsid w:val="00174753"/>
    <w:rsid w:val="001815AD"/>
    <w:rsid w:val="00182559"/>
    <w:rsid w:val="00182BA8"/>
    <w:rsid w:val="00183FBE"/>
    <w:rsid w:val="001911CC"/>
    <w:rsid w:val="00193E1A"/>
    <w:rsid w:val="00193EB7"/>
    <w:rsid w:val="00194004"/>
    <w:rsid w:val="00194904"/>
    <w:rsid w:val="00197254"/>
    <w:rsid w:val="001A1838"/>
    <w:rsid w:val="001A2880"/>
    <w:rsid w:val="001A3BE0"/>
    <w:rsid w:val="001B0047"/>
    <w:rsid w:val="001B206A"/>
    <w:rsid w:val="001B42AB"/>
    <w:rsid w:val="001B5046"/>
    <w:rsid w:val="001B56E6"/>
    <w:rsid w:val="001C0EFB"/>
    <w:rsid w:val="001C35F0"/>
    <w:rsid w:val="001C37D5"/>
    <w:rsid w:val="001C49B9"/>
    <w:rsid w:val="001C62F7"/>
    <w:rsid w:val="001D0263"/>
    <w:rsid w:val="001D09B4"/>
    <w:rsid w:val="001D0D52"/>
    <w:rsid w:val="001D2508"/>
    <w:rsid w:val="001D342B"/>
    <w:rsid w:val="001D4231"/>
    <w:rsid w:val="001D4645"/>
    <w:rsid w:val="001D4F79"/>
    <w:rsid w:val="001D5A13"/>
    <w:rsid w:val="001D78A5"/>
    <w:rsid w:val="001E02B4"/>
    <w:rsid w:val="001E1E26"/>
    <w:rsid w:val="001F4C38"/>
    <w:rsid w:val="001F5521"/>
    <w:rsid w:val="001F5AC1"/>
    <w:rsid w:val="001F6841"/>
    <w:rsid w:val="002000FF"/>
    <w:rsid w:val="00200E0E"/>
    <w:rsid w:val="00201F57"/>
    <w:rsid w:val="00202AC5"/>
    <w:rsid w:val="00205CF9"/>
    <w:rsid w:val="00207092"/>
    <w:rsid w:val="00211BBC"/>
    <w:rsid w:val="00212A02"/>
    <w:rsid w:val="00212A43"/>
    <w:rsid w:val="002146BD"/>
    <w:rsid w:val="00214B9F"/>
    <w:rsid w:val="002152C7"/>
    <w:rsid w:val="002271EB"/>
    <w:rsid w:val="00227A46"/>
    <w:rsid w:val="002378B0"/>
    <w:rsid w:val="00242F19"/>
    <w:rsid w:val="00244C71"/>
    <w:rsid w:val="00250054"/>
    <w:rsid w:val="00252B35"/>
    <w:rsid w:val="00253702"/>
    <w:rsid w:val="00255180"/>
    <w:rsid w:val="002603A8"/>
    <w:rsid w:val="002616A2"/>
    <w:rsid w:val="00267C58"/>
    <w:rsid w:val="0027048D"/>
    <w:rsid w:val="002719A8"/>
    <w:rsid w:val="002724B6"/>
    <w:rsid w:val="00273A73"/>
    <w:rsid w:val="0027477D"/>
    <w:rsid w:val="00276683"/>
    <w:rsid w:val="00283641"/>
    <w:rsid w:val="00284E34"/>
    <w:rsid w:val="00285F75"/>
    <w:rsid w:val="00290519"/>
    <w:rsid w:val="00293007"/>
    <w:rsid w:val="002951D8"/>
    <w:rsid w:val="00295CE6"/>
    <w:rsid w:val="00295FFE"/>
    <w:rsid w:val="00296CAF"/>
    <w:rsid w:val="002A3497"/>
    <w:rsid w:val="002A62BC"/>
    <w:rsid w:val="002A6846"/>
    <w:rsid w:val="002A6DB1"/>
    <w:rsid w:val="002A7157"/>
    <w:rsid w:val="002B0956"/>
    <w:rsid w:val="002B48F6"/>
    <w:rsid w:val="002B53DD"/>
    <w:rsid w:val="002B6C9A"/>
    <w:rsid w:val="002C0CF1"/>
    <w:rsid w:val="002C1FED"/>
    <w:rsid w:val="002C34CD"/>
    <w:rsid w:val="002C409C"/>
    <w:rsid w:val="002C48AB"/>
    <w:rsid w:val="002C4C90"/>
    <w:rsid w:val="002C673E"/>
    <w:rsid w:val="002D11A3"/>
    <w:rsid w:val="002D6D59"/>
    <w:rsid w:val="002E435B"/>
    <w:rsid w:val="002F00FE"/>
    <w:rsid w:val="002F1A0F"/>
    <w:rsid w:val="002F1F91"/>
    <w:rsid w:val="002F6083"/>
    <w:rsid w:val="002F721F"/>
    <w:rsid w:val="00302A86"/>
    <w:rsid w:val="00303B2E"/>
    <w:rsid w:val="00305AB0"/>
    <w:rsid w:val="00307CDA"/>
    <w:rsid w:val="003101B3"/>
    <w:rsid w:val="003109C3"/>
    <w:rsid w:val="003125BC"/>
    <w:rsid w:val="0031444E"/>
    <w:rsid w:val="00316B89"/>
    <w:rsid w:val="00317BCA"/>
    <w:rsid w:val="0032084C"/>
    <w:rsid w:val="00321A55"/>
    <w:rsid w:val="00321C4D"/>
    <w:rsid w:val="00322AD6"/>
    <w:rsid w:val="00324116"/>
    <w:rsid w:val="00324446"/>
    <w:rsid w:val="003260CE"/>
    <w:rsid w:val="0032725E"/>
    <w:rsid w:val="00340324"/>
    <w:rsid w:val="00340D25"/>
    <w:rsid w:val="00341293"/>
    <w:rsid w:val="00342CDE"/>
    <w:rsid w:val="003474C7"/>
    <w:rsid w:val="00352D6C"/>
    <w:rsid w:val="0035312B"/>
    <w:rsid w:val="00353296"/>
    <w:rsid w:val="003537D9"/>
    <w:rsid w:val="003577C3"/>
    <w:rsid w:val="00360608"/>
    <w:rsid w:val="00360CC2"/>
    <w:rsid w:val="003618F4"/>
    <w:rsid w:val="0036353C"/>
    <w:rsid w:val="00366AC6"/>
    <w:rsid w:val="00367A1B"/>
    <w:rsid w:val="00367D2C"/>
    <w:rsid w:val="003702E5"/>
    <w:rsid w:val="00371E62"/>
    <w:rsid w:val="003731FA"/>
    <w:rsid w:val="00373886"/>
    <w:rsid w:val="00381216"/>
    <w:rsid w:val="00382726"/>
    <w:rsid w:val="003859C4"/>
    <w:rsid w:val="00385A02"/>
    <w:rsid w:val="00387897"/>
    <w:rsid w:val="00387B5B"/>
    <w:rsid w:val="003915C4"/>
    <w:rsid w:val="00393DB4"/>
    <w:rsid w:val="00396F74"/>
    <w:rsid w:val="003A0026"/>
    <w:rsid w:val="003A3FBF"/>
    <w:rsid w:val="003B207C"/>
    <w:rsid w:val="003B52F5"/>
    <w:rsid w:val="003B7B48"/>
    <w:rsid w:val="003C0751"/>
    <w:rsid w:val="003C0B4B"/>
    <w:rsid w:val="003C2D3A"/>
    <w:rsid w:val="003C45E0"/>
    <w:rsid w:val="003C5730"/>
    <w:rsid w:val="003D017E"/>
    <w:rsid w:val="003D28DE"/>
    <w:rsid w:val="003D3694"/>
    <w:rsid w:val="003D5712"/>
    <w:rsid w:val="003D57C8"/>
    <w:rsid w:val="003D6686"/>
    <w:rsid w:val="003D7FC8"/>
    <w:rsid w:val="003E0571"/>
    <w:rsid w:val="003E4122"/>
    <w:rsid w:val="003E4954"/>
    <w:rsid w:val="003E51C1"/>
    <w:rsid w:val="003E6326"/>
    <w:rsid w:val="003E714E"/>
    <w:rsid w:val="003F0F03"/>
    <w:rsid w:val="003F119B"/>
    <w:rsid w:val="003F1880"/>
    <w:rsid w:val="003F4046"/>
    <w:rsid w:val="003F507A"/>
    <w:rsid w:val="003F5F86"/>
    <w:rsid w:val="0040001A"/>
    <w:rsid w:val="00405A8B"/>
    <w:rsid w:val="00406110"/>
    <w:rsid w:val="00406467"/>
    <w:rsid w:val="00407316"/>
    <w:rsid w:val="00411167"/>
    <w:rsid w:val="004132A7"/>
    <w:rsid w:val="00413CCF"/>
    <w:rsid w:val="00414882"/>
    <w:rsid w:val="00414EE9"/>
    <w:rsid w:val="004152F9"/>
    <w:rsid w:val="00416F1F"/>
    <w:rsid w:val="00417CB6"/>
    <w:rsid w:val="00424D66"/>
    <w:rsid w:val="00424DA9"/>
    <w:rsid w:val="00427368"/>
    <w:rsid w:val="00427F70"/>
    <w:rsid w:val="0043033F"/>
    <w:rsid w:val="00433585"/>
    <w:rsid w:val="004405D1"/>
    <w:rsid w:val="0044425D"/>
    <w:rsid w:val="0045439A"/>
    <w:rsid w:val="00462EAD"/>
    <w:rsid w:val="004635F6"/>
    <w:rsid w:val="00463E78"/>
    <w:rsid w:val="004673EE"/>
    <w:rsid w:val="00470281"/>
    <w:rsid w:val="00472EC5"/>
    <w:rsid w:val="00477C18"/>
    <w:rsid w:val="004852AB"/>
    <w:rsid w:val="004870AF"/>
    <w:rsid w:val="00491849"/>
    <w:rsid w:val="00493D71"/>
    <w:rsid w:val="00494B36"/>
    <w:rsid w:val="004972E2"/>
    <w:rsid w:val="004A2225"/>
    <w:rsid w:val="004A56C5"/>
    <w:rsid w:val="004B08A1"/>
    <w:rsid w:val="004B38AF"/>
    <w:rsid w:val="004B632D"/>
    <w:rsid w:val="004B6CEF"/>
    <w:rsid w:val="004B7AA3"/>
    <w:rsid w:val="004C3134"/>
    <w:rsid w:val="004C671D"/>
    <w:rsid w:val="004D0327"/>
    <w:rsid w:val="004D112A"/>
    <w:rsid w:val="004D450F"/>
    <w:rsid w:val="004D4EF4"/>
    <w:rsid w:val="004E22BB"/>
    <w:rsid w:val="004E7750"/>
    <w:rsid w:val="004F4496"/>
    <w:rsid w:val="004F49D8"/>
    <w:rsid w:val="004F4AB9"/>
    <w:rsid w:val="005016E5"/>
    <w:rsid w:val="0050202A"/>
    <w:rsid w:val="005022A9"/>
    <w:rsid w:val="005025A0"/>
    <w:rsid w:val="00506913"/>
    <w:rsid w:val="00506A54"/>
    <w:rsid w:val="00507D6D"/>
    <w:rsid w:val="00510E5A"/>
    <w:rsid w:val="00515CB9"/>
    <w:rsid w:val="00516A1C"/>
    <w:rsid w:val="005178BF"/>
    <w:rsid w:val="00522694"/>
    <w:rsid w:val="00522B84"/>
    <w:rsid w:val="00524022"/>
    <w:rsid w:val="00524957"/>
    <w:rsid w:val="00535383"/>
    <w:rsid w:val="005473A0"/>
    <w:rsid w:val="005473CE"/>
    <w:rsid w:val="00550EC1"/>
    <w:rsid w:val="0055589F"/>
    <w:rsid w:val="00555EBF"/>
    <w:rsid w:val="005564F1"/>
    <w:rsid w:val="005570E2"/>
    <w:rsid w:val="00557A67"/>
    <w:rsid w:val="00561C41"/>
    <w:rsid w:val="00562AF8"/>
    <w:rsid w:val="0056365E"/>
    <w:rsid w:val="00563D8F"/>
    <w:rsid w:val="00564984"/>
    <w:rsid w:val="00564C79"/>
    <w:rsid w:val="005665E8"/>
    <w:rsid w:val="00572A4A"/>
    <w:rsid w:val="005742AC"/>
    <w:rsid w:val="00574AAC"/>
    <w:rsid w:val="0057518B"/>
    <w:rsid w:val="00576615"/>
    <w:rsid w:val="00576F68"/>
    <w:rsid w:val="00577506"/>
    <w:rsid w:val="0058310A"/>
    <w:rsid w:val="00583B21"/>
    <w:rsid w:val="0058791E"/>
    <w:rsid w:val="00590853"/>
    <w:rsid w:val="005911AC"/>
    <w:rsid w:val="00591310"/>
    <w:rsid w:val="0059142B"/>
    <w:rsid w:val="00594A01"/>
    <w:rsid w:val="005954D7"/>
    <w:rsid w:val="00597C7D"/>
    <w:rsid w:val="005A00E8"/>
    <w:rsid w:val="005A16A1"/>
    <w:rsid w:val="005A291F"/>
    <w:rsid w:val="005A52EB"/>
    <w:rsid w:val="005A6A03"/>
    <w:rsid w:val="005B0205"/>
    <w:rsid w:val="005B0453"/>
    <w:rsid w:val="005B3FE5"/>
    <w:rsid w:val="005B4336"/>
    <w:rsid w:val="005B771C"/>
    <w:rsid w:val="005C2F7D"/>
    <w:rsid w:val="005C35B2"/>
    <w:rsid w:val="005C54E3"/>
    <w:rsid w:val="005C59B8"/>
    <w:rsid w:val="005C63DC"/>
    <w:rsid w:val="005C728A"/>
    <w:rsid w:val="005D2704"/>
    <w:rsid w:val="005D6805"/>
    <w:rsid w:val="005D6C8D"/>
    <w:rsid w:val="005E1F78"/>
    <w:rsid w:val="005E2E91"/>
    <w:rsid w:val="005E2F1D"/>
    <w:rsid w:val="005E3072"/>
    <w:rsid w:val="005E615D"/>
    <w:rsid w:val="005F35C5"/>
    <w:rsid w:val="005F5139"/>
    <w:rsid w:val="005F53CC"/>
    <w:rsid w:val="006007D2"/>
    <w:rsid w:val="00601336"/>
    <w:rsid w:val="00604011"/>
    <w:rsid w:val="00605A0C"/>
    <w:rsid w:val="00611BBD"/>
    <w:rsid w:val="006154A7"/>
    <w:rsid w:val="00615AF7"/>
    <w:rsid w:val="00615CA5"/>
    <w:rsid w:val="0062045C"/>
    <w:rsid w:val="00620AD7"/>
    <w:rsid w:val="006211CB"/>
    <w:rsid w:val="00621EF9"/>
    <w:rsid w:val="00623392"/>
    <w:rsid w:val="00624382"/>
    <w:rsid w:val="00627A2F"/>
    <w:rsid w:val="00631139"/>
    <w:rsid w:val="00631F04"/>
    <w:rsid w:val="00633367"/>
    <w:rsid w:val="00634ECE"/>
    <w:rsid w:val="006355F3"/>
    <w:rsid w:val="00643E94"/>
    <w:rsid w:val="00644256"/>
    <w:rsid w:val="006471E9"/>
    <w:rsid w:val="00651471"/>
    <w:rsid w:val="006533F5"/>
    <w:rsid w:val="0065552A"/>
    <w:rsid w:val="00656FFD"/>
    <w:rsid w:val="00657C97"/>
    <w:rsid w:val="0066302A"/>
    <w:rsid w:val="00665545"/>
    <w:rsid w:val="006661A2"/>
    <w:rsid w:val="00667223"/>
    <w:rsid w:val="006715AF"/>
    <w:rsid w:val="00671BE7"/>
    <w:rsid w:val="0067302B"/>
    <w:rsid w:val="006737F2"/>
    <w:rsid w:val="0067445A"/>
    <w:rsid w:val="00680265"/>
    <w:rsid w:val="0068330C"/>
    <w:rsid w:val="006847EC"/>
    <w:rsid w:val="00692D1C"/>
    <w:rsid w:val="00692F98"/>
    <w:rsid w:val="006945A5"/>
    <w:rsid w:val="0069565F"/>
    <w:rsid w:val="0069638E"/>
    <w:rsid w:val="00696EFC"/>
    <w:rsid w:val="006A2071"/>
    <w:rsid w:val="006A62C1"/>
    <w:rsid w:val="006A7981"/>
    <w:rsid w:val="006B26CF"/>
    <w:rsid w:val="006B42AE"/>
    <w:rsid w:val="006B6271"/>
    <w:rsid w:val="006C4658"/>
    <w:rsid w:val="006D6CDE"/>
    <w:rsid w:val="006E3C88"/>
    <w:rsid w:val="006E41B6"/>
    <w:rsid w:val="006E46F2"/>
    <w:rsid w:val="006F005B"/>
    <w:rsid w:val="006F2188"/>
    <w:rsid w:val="006F3F2E"/>
    <w:rsid w:val="006F4EB3"/>
    <w:rsid w:val="006F4F73"/>
    <w:rsid w:val="006F76DF"/>
    <w:rsid w:val="007002CD"/>
    <w:rsid w:val="00701AF1"/>
    <w:rsid w:val="00713E4B"/>
    <w:rsid w:val="00713F1E"/>
    <w:rsid w:val="007141B3"/>
    <w:rsid w:val="00714E99"/>
    <w:rsid w:val="007161B9"/>
    <w:rsid w:val="007162CE"/>
    <w:rsid w:val="0072099E"/>
    <w:rsid w:val="007209C4"/>
    <w:rsid w:val="00722A6C"/>
    <w:rsid w:val="00722FC0"/>
    <w:rsid w:val="007236B2"/>
    <w:rsid w:val="007247BA"/>
    <w:rsid w:val="00724819"/>
    <w:rsid w:val="00730326"/>
    <w:rsid w:val="00730748"/>
    <w:rsid w:val="00730F31"/>
    <w:rsid w:val="00732464"/>
    <w:rsid w:val="007344AC"/>
    <w:rsid w:val="0073614A"/>
    <w:rsid w:val="00737ADA"/>
    <w:rsid w:val="00740B30"/>
    <w:rsid w:val="00744E12"/>
    <w:rsid w:val="00745596"/>
    <w:rsid w:val="00747FE0"/>
    <w:rsid w:val="00751F1A"/>
    <w:rsid w:val="007545D3"/>
    <w:rsid w:val="00754CEA"/>
    <w:rsid w:val="00755CFA"/>
    <w:rsid w:val="00757740"/>
    <w:rsid w:val="00760F42"/>
    <w:rsid w:val="007640B0"/>
    <w:rsid w:val="00764B0D"/>
    <w:rsid w:val="00764B13"/>
    <w:rsid w:val="00770492"/>
    <w:rsid w:val="007709B2"/>
    <w:rsid w:val="00770C0C"/>
    <w:rsid w:val="007717AE"/>
    <w:rsid w:val="00771CDB"/>
    <w:rsid w:val="00772431"/>
    <w:rsid w:val="0077344A"/>
    <w:rsid w:val="00773A70"/>
    <w:rsid w:val="00774FA3"/>
    <w:rsid w:val="007829FA"/>
    <w:rsid w:val="007852CA"/>
    <w:rsid w:val="00786E27"/>
    <w:rsid w:val="00790CBF"/>
    <w:rsid w:val="007924F4"/>
    <w:rsid w:val="00793EE4"/>
    <w:rsid w:val="00794ABD"/>
    <w:rsid w:val="007959AF"/>
    <w:rsid w:val="007A2B46"/>
    <w:rsid w:val="007A49B4"/>
    <w:rsid w:val="007A597F"/>
    <w:rsid w:val="007B10FA"/>
    <w:rsid w:val="007B1B96"/>
    <w:rsid w:val="007B299C"/>
    <w:rsid w:val="007B306B"/>
    <w:rsid w:val="007B368C"/>
    <w:rsid w:val="007C3AE9"/>
    <w:rsid w:val="007C7406"/>
    <w:rsid w:val="007D16A0"/>
    <w:rsid w:val="007D2FDB"/>
    <w:rsid w:val="007D3D6D"/>
    <w:rsid w:val="007D46B6"/>
    <w:rsid w:val="007E2F6B"/>
    <w:rsid w:val="007E49C5"/>
    <w:rsid w:val="007E6852"/>
    <w:rsid w:val="007E7415"/>
    <w:rsid w:val="007F1426"/>
    <w:rsid w:val="007F40D9"/>
    <w:rsid w:val="007F7014"/>
    <w:rsid w:val="007F710A"/>
    <w:rsid w:val="00802610"/>
    <w:rsid w:val="008046F6"/>
    <w:rsid w:val="008060C4"/>
    <w:rsid w:val="008109B1"/>
    <w:rsid w:val="00811F04"/>
    <w:rsid w:val="00812F3D"/>
    <w:rsid w:val="0081313A"/>
    <w:rsid w:val="008150CB"/>
    <w:rsid w:val="008164E2"/>
    <w:rsid w:val="00816F68"/>
    <w:rsid w:val="00817363"/>
    <w:rsid w:val="0082157C"/>
    <w:rsid w:val="008233D8"/>
    <w:rsid w:val="00823DDF"/>
    <w:rsid w:val="00825981"/>
    <w:rsid w:val="00825F8D"/>
    <w:rsid w:val="008262CB"/>
    <w:rsid w:val="0082758C"/>
    <w:rsid w:val="008317FD"/>
    <w:rsid w:val="00831955"/>
    <w:rsid w:val="00831A2A"/>
    <w:rsid w:val="0083226C"/>
    <w:rsid w:val="00832528"/>
    <w:rsid w:val="0083386E"/>
    <w:rsid w:val="0083566E"/>
    <w:rsid w:val="0084298F"/>
    <w:rsid w:val="00843DB4"/>
    <w:rsid w:val="00844F7A"/>
    <w:rsid w:val="00846C44"/>
    <w:rsid w:val="008544A3"/>
    <w:rsid w:val="00856B3E"/>
    <w:rsid w:val="00857916"/>
    <w:rsid w:val="00857DCE"/>
    <w:rsid w:val="00860213"/>
    <w:rsid w:val="00861241"/>
    <w:rsid w:val="00863B35"/>
    <w:rsid w:val="008646A2"/>
    <w:rsid w:val="00864E96"/>
    <w:rsid w:val="00865447"/>
    <w:rsid w:val="00871EB5"/>
    <w:rsid w:val="00871FDA"/>
    <w:rsid w:val="00872EA8"/>
    <w:rsid w:val="00877257"/>
    <w:rsid w:val="008807BA"/>
    <w:rsid w:val="00882B37"/>
    <w:rsid w:val="00883DC5"/>
    <w:rsid w:val="00890CA5"/>
    <w:rsid w:val="00897008"/>
    <w:rsid w:val="008A3FA6"/>
    <w:rsid w:val="008A4730"/>
    <w:rsid w:val="008A4917"/>
    <w:rsid w:val="008B0EFB"/>
    <w:rsid w:val="008B307F"/>
    <w:rsid w:val="008B5DC2"/>
    <w:rsid w:val="008B5E7A"/>
    <w:rsid w:val="008B7FFA"/>
    <w:rsid w:val="008C04C6"/>
    <w:rsid w:val="008C068F"/>
    <w:rsid w:val="008C0974"/>
    <w:rsid w:val="008C17C9"/>
    <w:rsid w:val="008C368A"/>
    <w:rsid w:val="008D02BF"/>
    <w:rsid w:val="008D1B39"/>
    <w:rsid w:val="008D2415"/>
    <w:rsid w:val="008D65BB"/>
    <w:rsid w:val="008D76E6"/>
    <w:rsid w:val="008D7765"/>
    <w:rsid w:val="008D7A99"/>
    <w:rsid w:val="008E087E"/>
    <w:rsid w:val="008E1070"/>
    <w:rsid w:val="008E362C"/>
    <w:rsid w:val="008E43B8"/>
    <w:rsid w:val="008E6A23"/>
    <w:rsid w:val="008F0253"/>
    <w:rsid w:val="008F3884"/>
    <w:rsid w:val="008F5088"/>
    <w:rsid w:val="008F6A86"/>
    <w:rsid w:val="008F6EFD"/>
    <w:rsid w:val="008F75C1"/>
    <w:rsid w:val="008F79A6"/>
    <w:rsid w:val="009006DD"/>
    <w:rsid w:val="00910E2D"/>
    <w:rsid w:val="009114E0"/>
    <w:rsid w:val="00912FA7"/>
    <w:rsid w:val="00913102"/>
    <w:rsid w:val="009136CA"/>
    <w:rsid w:val="0092599E"/>
    <w:rsid w:val="00926D64"/>
    <w:rsid w:val="0092729E"/>
    <w:rsid w:val="009323EB"/>
    <w:rsid w:val="00933C4A"/>
    <w:rsid w:val="00951B43"/>
    <w:rsid w:val="009528B0"/>
    <w:rsid w:val="00954315"/>
    <w:rsid w:val="009571AA"/>
    <w:rsid w:val="00957A5D"/>
    <w:rsid w:val="00960E5A"/>
    <w:rsid w:val="00963BA8"/>
    <w:rsid w:val="009648B5"/>
    <w:rsid w:val="00965563"/>
    <w:rsid w:val="00965715"/>
    <w:rsid w:val="00967914"/>
    <w:rsid w:val="009720C7"/>
    <w:rsid w:val="009735E8"/>
    <w:rsid w:val="0097363B"/>
    <w:rsid w:val="009759C1"/>
    <w:rsid w:val="009764A2"/>
    <w:rsid w:val="009803FD"/>
    <w:rsid w:val="00982EB5"/>
    <w:rsid w:val="00983029"/>
    <w:rsid w:val="009854A7"/>
    <w:rsid w:val="0099120C"/>
    <w:rsid w:val="00991F5D"/>
    <w:rsid w:val="009A1D9D"/>
    <w:rsid w:val="009A3AF6"/>
    <w:rsid w:val="009A3FFC"/>
    <w:rsid w:val="009A4F16"/>
    <w:rsid w:val="009A5C6C"/>
    <w:rsid w:val="009A6E66"/>
    <w:rsid w:val="009A787F"/>
    <w:rsid w:val="009A788F"/>
    <w:rsid w:val="009B1A9B"/>
    <w:rsid w:val="009B359D"/>
    <w:rsid w:val="009B37E6"/>
    <w:rsid w:val="009B5626"/>
    <w:rsid w:val="009B7AEA"/>
    <w:rsid w:val="009C111A"/>
    <w:rsid w:val="009C1ED5"/>
    <w:rsid w:val="009C5F04"/>
    <w:rsid w:val="009C6C41"/>
    <w:rsid w:val="009C7C92"/>
    <w:rsid w:val="009C7CFB"/>
    <w:rsid w:val="009D11EC"/>
    <w:rsid w:val="009D61A6"/>
    <w:rsid w:val="009D6469"/>
    <w:rsid w:val="009D7260"/>
    <w:rsid w:val="009D73E5"/>
    <w:rsid w:val="009D7613"/>
    <w:rsid w:val="009E1FC6"/>
    <w:rsid w:val="009E43E3"/>
    <w:rsid w:val="009E646F"/>
    <w:rsid w:val="009E6E0D"/>
    <w:rsid w:val="009E779D"/>
    <w:rsid w:val="009F0AE4"/>
    <w:rsid w:val="009F10E5"/>
    <w:rsid w:val="009F2043"/>
    <w:rsid w:val="009F5B0C"/>
    <w:rsid w:val="009F7EAF"/>
    <w:rsid w:val="00A020BB"/>
    <w:rsid w:val="00A02EAE"/>
    <w:rsid w:val="00A033F9"/>
    <w:rsid w:val="00A04997"/>
    <w:rsid w:val="00A057B4"/>
    <w:rsid w:val="00A11C35"/>
    <w:rsid w:val="00A120B9"/>
    <w:rsid w:val="00A2092D"/>
    <w:rsid w:val="00A20D16"/>
    <w:rsid w:val="00A212DC"/>
    <w:rsid w:val="00A2144B"/>
    <w:rsid w:val="00A27F8C"/>
    <w:rsid w:val="00A30AD0"/>
    <w:rsid w:val="00A31EB5"/>
    <w:rsid w:val="00A3471B"/>
    <w:rsid w:val="00A4174C"/>
    <w:rsid w:val="00A424DA"/>
    <w:rsid w:val="00A427E0"/>
    <w:rsid w:val="00A45943"/>
    <w:rsid w:val="00A55C14"/>
    <w:rsid w:val="00A562BA"/>
    <w:rsid w:val="00A56624"/>
    <w:rsid w:val="00A57ED4"/>
    <w:rsid w:val="00A607BC"/>
    <w:rsid w:val="00A64A77"/>
    <w:rsid w:val="00A66542"/>
    <w:rsid w:val="00A74163"/>
    <w:rsid w:val="00A747F7"/>
    <w:rsid w:val="00A775A9"/>
    <w:rsid w:val="00A8198C"/>
    <w:rsid w:val="00A82086"/>
    <w:rsid w:val="00A82DF6"/>
    <w:rsid w:val="00A83423"/>
    <w:rsid w:val="00A84402"/>
    <w:rsid w:val="00A8652B"/>
    <w:rsid w:val="00A87A6E"/>
    <w:rsid w:val="00A9059D"/>
    <w:rsid w:val="00A92B65"/>
    <w:rsid w:val="00A94233"/>
    <w:rsid w:val="00A95F48"/>
    <w:rsid w:val="00A96328"/>
    <w:rsid w:val="00AA060E"/>
    <w:rsid w:val="00AA22BC"/>
    <w:rsid w:val="00AB0EA9"/>
    <w:rsid w:val="00AB115A"/>
    <w:rsid w:val="00AB4CF6"/>
    <w:rsid w:val="00AB5406"/>
    <w:rsid w:val="00AB6F6C"/>
    <w:rsid w:val="00AB75BB"/>
    <w:rsid w:val="00AB7A75"/>
    <w:rsid w:val="00AC09FC"/>
    <w:rsid w:val="00AC2D96"/>
    <w:rsid w:val="00AC3498"/>
    <w:rsid w:val="00AC4254"/>
    <w:rsid w:val="00AC4287"/>
    <w:rsid w:val="00AD06E4"/>
    <w:rsid w:val="00AD0E54"/>
    <w:rsid w:val="00AD1864"/>
    <w:rsid w:val="00AD1DC1"/>
    <w:rsid w:val="00AD3FEF"/>
    <w:rsid w:val="00AD6E65"/>
    <w:rsid w:val="00AD767B"/>
    <w:rsid w:val="00AE1027"/>
    <w:rsid w:val="00AE1250"/>
    <w:rsid w:val="00AE3061"/>
    <w:rsid w:val="00AE466F"/>
    <w:rsid w:val="00AE5F4E"/>
    <w:rsid w:val="00AE62A8"/>
    <w:rsid w:val="00AE6412"/>
    <w:rsid w:val="00AE7084"/>
    <w:rsid w:val="00AE71CF"/>
    <w:rsid w:val="00B0474B"/>
    <w:rsid w:val="00B047A9"/>
    <w:rsid w:val="00B07DAA"/>
    <w:rsid w:val="00B15FE4"/>
    <w:rsid w:val="00B20B21"/>
    <w:rsid w:val="00B21658"/>
    <w:rsid w:val="00B21794"/>
    <w:rsid w:val="00B21E49"/>
    <w:rsid w:val="00B227AD"/>
    <w:rsid w:val="00B22ADD"/>
    <w:rsid w:val="00B26E5C"/>
    <w:rsid w:val="00B301D8"/>
    <w:rsid w:val="00B30C3F"/>
    <w:rsid w:val="00B30EEB"/>
    <w:rsid w:val="00B30F32"/>
    <w:rsid w:val="00B348E6"/>
    <w:rsid w:val="00B37CD9"/>
    <w:rsid w:val="00B40EC5"/>
    <w:rsid w:val="00B4455B"/>
    <w:rsid w:val="00B50134"/>
    <w:rsid w:val="00B50FD2"/>
    <w:rsid w:val="00B51840"/>
    <w:rsid w:val="00B523FE"/>
    <w:rsid w:val="00B55350"/>
    <w:rsid w:val="00B577B5"/>
    <w:rsid w:val="00B61B80"/>
    <w:rsid w:val="00B635DA"/>
    <w:rsid w:val="00B67D11"/>
    <w:rsid w:val="00B729A2"/>
    <w:rsid w:val="00B74462"/>
    <w:rsid w:val="00B85DD8"/>
    <w:rsid w:val="00B87F70"/>
    <w:rsid w:val="00B96551"/>
    <w:rsid w:val="00B97A7F"/>
    <w:rsid w:val="00B97BCF"/>
    <w:rsid w:val="00BA3792"/>
    <w:rsid w:val="00BA5293"/>
    <w:rsid w:val="00BA7393"/>
    <w:rsid w:val="00BB1652"/>
    <w:rsid w:val="00BB1F02"/>
    <w:rsid w:val="00BB300F"/>
    <w:rsid w:val="00BB5429"/>
    <w:rsid w:val="00BC3053"/>
    <w:rsid w:val="00BC402D"/>
    <w:rsid w:val="00BC57FD"/>
    <w:rsid w:val="00BC694D"/>
    <w:rsid w:val="00BC7507"/>
    <w:rsid w:val="00BD0C63"/>
    <w:rsid w:val="00BD0F02"/>
    <w:rsid w:val="00BD1A0F"/>
    <w:rsid w:val="00BD4622"/>
    <w:rsid w:val="00BD46C1"/>
    <w:rsid w:val="00BD6067"/>
    <w:rsid w:val="00BD7374"/>
    <w:rsid w:val="00BE11B5"/>
    <w:rsid w:val="00BE570B"/>
    <w:rsid w:val="00BF0830"/>
    <w:rsid w:val="00BF1B58"/>
    <w:rsid w:val="00BF2547"/>
    <w:rsid w:val="00BF5F36"/>
    <w:rsid w:val="00BF66DE"/>
    <w:rsid w:val="00C022B8"/>
    <w:rsid w:val="00C04ED7"/>
    <w:rsid w:val="00C057F4"/>
    <w:rsid w:val="00C11723"/>
    <w:rsid w:val="00C138F5"/>
    <w:rsid w:val="00C14602"/>
    <w:rsid w:val="00C15444"/>
    <w:rsid w:val="00C1715D"/>
    <w:rsid w:val="00C178CA"/>
    <w:rsid w:val="00C20CBB"/>
    <w:rsid w:val="00C236EA"/>
    <w:rsid w:val="00C30B81"/>
    <w:rsid w:val="00C30DF9"/>
    <w:rsid w:val="00C33778"/>
    <w:rsid w:val="00C34348"/>
    <w:rsid w:val="00C347F9"/>
    <w:rsid w:val="00C372B0"/>
    <w:rsid w:val="00C372D3"/>
    <w:rsid w:val="00C411E4"/>
    <w:rsid w:val="00C4129E"/>
    <w:rsid w:val="00C42E11"/>
    <w:rsid w:val="00C438C6"/>
    <w:rsid w:val="00C4504A"/>
    <w:rsid w:val="00C4754A"/>
    <w:rsid w:val="00C52AEC"/>
    <w:rsid w:val="00C53715"/>
    <w:rsid w:val="00C5465E"/>
    <w:rsid w:val="00C55DD1"/>
    <w:rsid w:val="00C61D63"/>
    <w:rsid w:val="00C63349"/>
    <w:rsid w:val="00C63957"/>
    <w:rsid w:val="00C64F02"/>
    <w:rsid w:val="00C654D9"/>
    <w:rsid w:val="00C70AB5"/>
    <w:rsid w:val="00C74B85"/>
    <w:rsid w:val="00C75F31"/>
    <w:rsid w:val="00C75FCA"/>
    <w:rsid w:val="00C76B0F"/>
    <w:rsid w:val="00C80467"/>
    <w:rsid w:val="00C84362"/>
    <w:rsid w:val="00C846CA"/>
    <w:rsid w:val="00C849D2"/>
    <w:rsid w:val="00C8502A"/>
    <w:rsid w:val="00C867DB"/>
    <w:rsid w:val="00C8724C"/>
    <w:rsid w:val="00C87EA7"/>
    <w:rsid w:val="00C942A3"/>
    <w:rsid w:val="00C94996"/>
    <w:rsid w:val="00C95EC7"/>
    <w:rsid w:val="00C97B6C"/>
    <w:rsid w:val="00C97E21"/>
    <w:rsid w:val="00CA09D4"/>
    <w:rsid w:val="00CA2FE7"/>
    <w:rsid w:val="00CA50EA"/>
    <w:rsid w:val="00CA7208"/>
    <w:rsid w:val="00CA799F"/>
    <w:rsid w:val="00CA7E52"/>
    <w:rsid w:val="00CB0FA7"/>
    <w:rsid w:val="00CB1FA6"/>
    <w:rsid w:val="00CB2452"/>
    <w:rsid w:val="00CB4EB7"/>
    <w:rsid w:val="00CB57F2"/>
    <w:rsid w:val="00CB64C5"/>
    <w:rsid w:val="00CC01A9"/>
    <w:rsid w:val="00CC02E2"/>
    <w:rsid w:val="00CC3ADC"/>
    <w:rsid w:val="00CC3F23"/>
    <w:rsid w:val="00CD0D42"/>
    <w:rsid w:val="00CD1937"/>
    <w:rsid w:val="00CD38D8"/>
    <w:rsid w:val="00CD5C77"/>
    <w:rsid w:val="00CD6D20"/>
    <w:rsid w:val="00CD6E12"/>
    <w:rsid w:val="00CE186B"/>
    <w:rsid w:val="00CE1B6F"/>
    <w:rsid w:val="00CE3456"/>
    <w:rsid w:val="00CE51DB"/>
    <w:rsid w:val="00CE74E8"/>
    <w:rsid w:val="00CF18D0"/>
    <w:rsid w:val="00CF4AA3"/>
    <w:rsid w:val="00CF53DA"/>
    <w:rsid w:val="00CF5993"/>
    <w:rsid w:val="00CF7C03"/>
    <w:rsid w:val="00CF7E09"/>
    <w:rsid w:val="00D00D23"/>
    <w:rsid w:val="00D058C5"/>
    <w:rsid w:val="00D065D5"/>
    <w:rsid w:val="00D06640"/>
    <w:rsid w:val="00D06AE9"/>
    <w:rsid w:val="00D22869"/>
    <w:rsid w:val="00D2541D"/>
    <w:rsid w:val="00D2777F"/>
    <w:rsid w:val="00D32376"/>
    <w:rsid w:val="00D33A60"/>
    <w:rsid w:val="00D34030"/>
    <w:rsid w:val="00D34C26"/>
    <w:rsid w:val="00D354AE"/>
    <w:rsid w:val="00D356EB"/>
    <w:rsid w:val="00D35F36"/>
    <w:rsid w:val="00D36999"/>
    <w:rsid w:val="00D40991"/>
    <w:rsid w:val="00D43C7F"/>
    <w:rsid w:val="00D444DA"/>
    <w:rsid w:val="00D52814"/>
    <w:rsid w:val="00D54E09"/>
    <w:rsid w:val="00D6295F"/>
    <w:rsid w:val="00D6308D"/>
    <w:rsid w:val="00D6618C"/>
    <w:rsid w:val="00D70185"/>
    <w:rsid w:val="00D72E8C"/>
    <w:rsid w:val="00D7415F"/>
    <w:rsid w:val="00D76D20"/>
    <w:rsid w:val="00D77C05"/>
    <w:rsid w:val="00D8073B"/>
    <w:rsid w:val="00D87846"/>
    <w:rsid w:val="00D90461"/>
    <w:rsid w:val="00D90F79"/>
    <w:rsid w:val="00D91480"/>
    <w:rsid w:val="00D91A5B"/>
    <w:rsid w:val="00D92233"/>
    <w:rsid w:val="00D94B20"/>
    <w:rsid w:val="00D96428"/>
    <w:rsid w:val="00D97CD2"/>
    <w:rsid w:val="00DA3264"/>
    <w:rsid w:val="00DA5403"/>
    <w:rsid w:val="00DA5D77"/>
    <w:rsid w:val="00DA77FF"/>
    <w:rsid w:val="00DB1A88"/>
    <w:rsid w:val="00DB47CD"/>
    <w:rsid w:val="00DB50DF"/>
    <w:rsid w:val="00DB531F"/>
    <w:rsid w:val="00DC1868"/>
    <w:rsid w:val="00DC38FA"/>
    <w:rsid w:val="00DD224E"/>
    <w:rsid w:val="00DD47DC"/>
    <w:rsid w:val="00DD4D03"/>
    <w:rsid w:val="00DD5811"/>
    <w:rsid w:val="00DE3FF4"/>
    <w:rsid w:val="00DE7250"/>
    <w:rsid w:val="00DE7733"/>
    <w:rsid w:val="00DF0475"/>
    <w:rsid w:val="00DF19C0"/>
    <w:rsid w:val="00DF1C3A"/>
    <w:rsid w:val="00DF32BE"/>
    <w:rsid w:val="00DF5055"/>
    <w:rsid w:val="00DF7095"/>
    <w:rsid w:val="00DF72E7"/>
    <w:rsid w:val="00DF78D9"/>
    <w:rsid w:val="00E00226"/>
    <w:rsid w:val="00E07B3F"/>
    <w:rsid w:val="00E114AB"/>
    <w:rsid w:val="00E14392"/>
    <w:rsid w:val="00E15040"/>
    <w:rsid w:val="00E15883"/>
    <w:rsid w:val="00E16F37"/>
    <w:rsid w:val="00E17ADB"/>
    <w:rsid w:val="00E207D6"/>
    <w:rsid w:val="00E20DDC"/>
    <w:rsid w:val="00E2186E"/>
    <w:rsid w:val="00E21FE8"/>
    <w:rsid w:val="00E23A2D"/>
    <w:rsid w:val="00E261FA"/>
    <w:rsid w:val="00E263B6"/>
    <w:rsid w:val="00E266A3"/>
    <w:rsid w:val="00E321BD"/>
    <w:rsid w:val="00E32806"/>
    <w:rsid w:val="00E33AF2"/>
    <w:rsid w:val="00E45380"/>
    <w:rsid w:val="00E50130"/>
    <w:rsid w:val="00E515CD"/>
    <w:rsid w:val="00E527F1"/>
    <w:rsid w:val="00E544B7"/>
    <w:rsid w:val="00E55B41"/>
    <w:rsid w:val="00E561C2"/>
    <w:rsid w:val="00E609C1"/>
    <w:rsid w:val="00E60C9B"/>
    <w:rsid w:val="00E617A4"/>
    <w:rsid w:val="00E63707"/>
    <w:rsid w:val="00E66A11"/>
    <w:rsid w:val="00E7051C"/>
    <w:rsid w:val="00E713D6"/>
    <w:rsid w:val="00E72E80"/>
    <w:rsid w:val="00E81286"/>
    <w:rsid w:val="00E82BCA"/>
    <w:rsid w:val="00E83E70"/>
    <w:rsid w:val="00E842E5"/>
    <w:rsid w:val="00E85281"/>
    <w:rsid w:val="00E94550"/>
    <w:rsid w:val="00E95C48"/>
    <w:rsid w:val="00EA05AF"/>
    <w:rsid w:val="00EA25BB"/>
    <w:rsid w:val="00EA303A"/>
    <w:rsid w:val="00EA3C7E"/>
    <w:rsid w:val="00EA4202"/>
    <w:rsid w:val="00EA49A3"/>
    <w:rsid w:val="00EA5545"/>
    <w:rsid w:val="00EA6C9E"/>
    <w:rsid w:val="00EA73C0"/>
    <w:rsid w:val="00EA7D5C"/>
    <w:rsid w:val="00EA7E34"/>
    <w:rsid w:val="00EB0216"/>
    <w:rsid w:val="00EB1D9F"/>
    <w:rsid w:val="00EB4757"/>
    <w:rsid w:val="00EB4B5B"/>
    <w:rsid w:val="00EB5DF7"/>
    <w:rsid w:val="00EB6780"/>
    <w:rsid w:val="00EC67A5"/>
    <w:rsid w:val="00ED4B92"/>
    <w:rsid w:val="00ED750A"/>
    <w:rsid w:val="00ED7CBF"/>
    <w:rsid w:val="00EE0DEC"/>
    <w:rsid w:val="00EE2550"/>
    <w:rsid w:val="00EE29F7"/>
    <w:rsid w:val="00EE33D0"/>
    <w:rsid w:val="00EE4767"/>
    <w:rsid w:val="00EE480E"/>
    <w:rsid w:val="00EE4C55"/>
    <w:rsid w:val="00EE529F"/>
    <w:rsid w:val="00EE6202"/>
    <w:rsid w:val="00EE6C56"/>
    <w:rsid w:val="00EF140E"/>
    <w:rsid w:val="00EF2042"/>
    <w:rsid w:val="00EF2181"/>
    <w:rsid w:val="00EF2844"/>
    <w:rsid w:val="00EF506B"/>
    <w:rsid w:val="00EF587B"/>
    <w:rsid w:val="00EF6D55"/>
    <w:rsid w:val="00EF7C42"/>
    <w:rsid w:val="00EF7CAE"/>
    <w:rsid w:val="00F01F65"/>
    <w:rsid w:val="00F02541"/>
    <w:rsid w:val="00F02AC2"/>
    <w:rsid w:val="00F05B68"/>
    <w:rsid w:val="00F07E8F"/>
    <w:rsid w:val="00F12793"/>
    <w:rsid w:val="00F131F8"/>
    <w:rsid w:val="00F13632"/>
    <w:rsid w:val="00F1559D"/>
    <w:rsid w:val="00F16656"/>
    <w:rsid w:val="00F178A9"/>
    <w:rsid w:val="00F20C36"/>
    <w:rsid w:val="00F211AE"/>
    <w:rsid w:val="00F21B99"/>
    <w:rsid w:val="00F221E9"/>
    <w:rsid w:val="00F241C2"/>
    <w:rsid w:val="00F26DD6"/>
    <w:rsid w:val="00F27102"/>
    <w:rsid w:val="00F30CC9"/>
    <w:rsid w:val="00F31D83"/>
    <w:rsid w:val="00F35717"/>
    <w:rsid w:val="00F35D81"/>
    <w:rsid w:val="00F35E76"/>
    <w:rsid w:val="00F36767"/>
    <w:rsid w:val="00F427F7"/>
    <w:rsid w:val="00F43756"/>
    <w:rsid w:val="00F457B7"/>
    <w:rsid w:val="00F47D66"/>
    <w:rsid w:val="00F51C8A"/>
    <w:rsid w:val="00F53FA8"/>
    <w:rsid w:val="00F562A3"/>
    <w:rsid w:val="00F56369"/>
    <w:rsid w:val="00F60113"/>
    <w:rsid w:val="00F631C5"/>
    <w:rsid w:val="00F63CAD"/>
    <w:rsid w:val="00F66D5F"/>
    <w:rsid w:val="00F76C07"/>
    <w:rsid w:val="00F77319"/>
    <w:rsid w:val="00F8175D"/>
    <w:rsid w:val="00F82C10"/>
    <w:rsid w:val="00F83F64"/>
    <w:rsid w:val="00F84BFC"/>
    <w:rsid w:val="00F86C67"/>
    <w:rsid w:val="00F875DF"/>
    <w:rsid w:val="00F9133E"/>
    <w:rsid w:val="00F975DD"/>
    <w:rsid w:val="00F97720"/>
    <w:rsid w:val="00FA0255"/>
    <w:rsid w:val="00FA1276"/>
    <w:rsid w:val="00FA26F2"/>
    <w:rsid w:val="00FA2CCC"/>
    <w:rsid w:val="00FA42A3"/>
    <w:rsid w:val="00FA6C4E"/>
    <w:rsid w:val="00FB282D"/>
    <w:rsid w:val="00FB32F3"/>
    <w:rsid w:val="00FB6C7F"/>
    <w:rsid w:val="00FB6D3C"/>
    <w:rsid w:val="00FB739A"/>
    <w:rsid w:val="00FC06B5"/>
    <w:rsid w:val="00FC1BC8"/>
    <w:rsid w:val="00FC4CF4"/>
    <w:rsid w:val="00FC57C5"/>
    <w:rsid w:val="00FC580B"/>
    <w:rsid w:val="00FC6451"/>
    <w:rsid w:val="00FD1424"/>
    <w:rsid w:val="00FD2B78"/>
    <w:rsid w:val="00FD30CD"/>
    <w:rsid w:val="00FD3A7F"/>
    <w:rsid w:val="00FD3BDC"/>
    <w:rsid w:val="00FD4351"/>
    <w:rsid w:val="00FD6328"/>
    <w:rsid w:val="00FE36A5"/>
    <w:rsid w:val="00FE4B12"/>
    <w:rsid w:val="00FE5644"/>
    <w:rsid w:val="00FF1156"/>
    <w:rsid w:val="00FF147D"/>
    <w:rsid w:val="00FF3BBA"/>
    <w:rsid w:val="00FF7879"/>
    <w:rsid w:val="01126D39"/>
    <w:rsid w:val="01546613"/>
    <w:rsid w:val="01D43971"/>
    <w:rsid w:val="02042D76"/>
    <w:rsid w:val="02736214"/>
    <w:rsid w:val="02AD429A"/>
    <w:rsid w:val="02B90F8C"/>
    <w:rsid w:val="034D7978"/>
    <w:rsid w:val="03A55B68"/>
    <w:rsid w:val="050F694E"/>
    <w:rsid w:val="052B298D"/>
    <w:rsid w:val="06B47A2D"/>
    <w:rsid w:val="074421AA"/>
    <w:rsid w:val="07DA2F44"/>
    <w:rsid w:val="088019D2"/>
    <w:rsid w:val="08F26244"/>
    <w:rsid w:val="09102D31"/>
    <w:rsid w:val="09DE3764"/>
    <w:rsid w:val="09F85321"/>
    <w:rsid w:val="0C1551BB"/>
    <w:rsid w:val="0C4A3986"/>
    <w:rsid w:val="0D0E3D89"/>
    <w:rsid w:val="0EA46894"/>
    <w:rsid w:val="0EC42A2E"/>
    <w:rsid w:val="0F4014D7"/>
    <w:rsid w:val="0F4A524C"/>
    <w:rsid w:val="0F74787C"/>
    <w:rsid w:val="10085FCB"/>
    <w:rsid w:val="102773DA"/>
    <w:rsid w:val="106A14C0"/>
    <w:rsid w:val="10A32F80"/>
    <w:rsid w:val="10B71852"/>
    <w:rsid w:val="10BE1F11"/>
    <w:rsid w:val="10CD41BD"/>
    <w:rsid w:val="11235A05"/>
    <w:rsid w:val="116D3B4D"/>
    <w:rsid w:val="11C22F3E"/>
    <w:rsid w:val="11D06642"/>
    <w:rsid w:val="12A87DE3"/>
    <w:rsid w:val="148555C8"/>
    <w:rsid w:val="14D97CB9"/>
    <w:rsid w:val="152201A9"/>
    <w:rsid w:val="15505AB3"/>
    <w:rsid w:val="16674398"/>
    <w:rsid w:val="169C252D"/>
    <w:rsid w:val="1766069F"/>
    <w:rsid w:val="18725777"/>
    <w:rsid w:val="187F15F6"/>
    <w:rsid w:val="19B664F9"/>
    <w:rsid w:val="1B7F7348"/>
    <w:rsid w:val="1C215462"/>
    <w:rsid w:val="1D5B0B5B"/>
    <w:rsid w:val="1E445A15"/>
    <w:rsid w:val="1E5C3A37"/>
    <w:rsid w:val="1E5D378E"/>
    <w:rsid w:val="1E8F68B6"/>
    <w:rsid w:val="21363FA5"/>
    <w:rsid w:val="225749FD"/>
    <w:rsid w:val="22FB26C6"/>
    <w:rsid w:val="23462AA8"/>
    <w:rsid w:val="2387740B"/>
    <w:rsid w:val="2478538A"/>
    <w:rsid w:val="248A11E7"/>
    <w:rsid w:val="25A22C66"/>
    <w:rsid w:val="26015B65"/>
    <w:rsid w:val="29096701"/>
    <w:rsid w:val="2915366A"/>
    <w:rsid w:val="292D0B51"/>
    <w:rsid w:val="296C11FD"/>
    <w:rsid w:val="29D31705"/>
    <w:rsid w:val="2A300D2E"/>
    <w:rsid w:val="2A5022C1"/>
    <w:rsid w:val="2B582B38"/>
    <w:rsid w:val="2B6B6269"/>
    <w:rsid w:val="2B8717A1"/>
    <w:rsid w:val="2C0135E6"/>
    <w:rsid w:val="2C150CDA"/>
    <w:rsid w:val="2D064268"/>
    <w:rsid w:val="2D462F33"/>
    <w:rsid w:val="2D926BEB"/>
    <w:rsid w:val="2E515108"/>
    <w:rsid w:val="2EE13768"/>
    <w:rsid w:val="2F6D6EA8"/>
    <w:rsid w:val="2FAA6FCD"/>
    <w:rsid w:val="301F426E"/>
    <w:rsid w:val="30B10BDD"/>
    <w:rsid w:val="324A51D5"/>
    <w:rsid w:val="32561D73"/>
    <w:rsid w:val="34536172"/>
    <w:rsid w:val="34A348FB"/>
    <w:rsid w:val="34C57799"/>
    <w:rsid w:val="350F398F"/>
    <w:rsid w:val="354F05BB"/>
    <w:rsid w:val="35530709"/>
    <w:rsid w:val="35A3156A"/>
    <w:rsid w:val="36616217"/>
    <w:rsid w:val="36C83628"/>
    <w:rsid w:val="36D003C4"/>
    <w:rsid w:val="37526BAF"/>
    <w:rsid w:val="37587D08"/>
    <w:rsid w:val="37650D4D"/>
    <w:rsid w:val="37935868"/>
    <w:rsid w:val="379514F1"/>
    <w:rsid w:val="37E61B6B"/>
    <w:rsid w:val="380A2B11"/>
    <w:rsid w:val="38145E04"/>
    <w:rsid w:val="38E9060A"/>
    <w:rsid w:val="39D85259"/>
    <w:rsid w:val="39EC2B92"/>
    <w:rsid w:val="3BBA0A09"/>
    <w:rsid w:val="3C0F6FBF"/>
    <w:rsid w:val="3D3E1D85"/>
    <w:rsid w:val="3DA546DA"/>
    <w:rsid w:val="3DC7099B"/>
    <w:rsid w:val="3DEC2CFF"/>
    <w:rsid w:val="3DF51011"/>
    <w:rsid w:val="3FA11B60"/>
    <w:rsid w:val="3FF54DFE"/>
    <w:rsid w:val="4095026F"/>
    <w:rsid w:val="41694886"/>
    <w:rsid w:val="41CF3F16"/>
    <w:rsid w:val="41FD3DC8"/>
    <w:rsid w:val="42CA1C87"/>
    <w:rsid w:val="43316829"/>
    <w:rsid w:val="44A1531A"/>
    <w:rsid w:val="44D30B95"/>
    <w:rsid w:val="46A56B30"/>
    <w:rsid w:val="46AD1C7A"/>
    <w:rsid w:val="48517385"/>
    <w:rsid w:val="48E951C0"/>
    <w:rsid w:val="49017CC1"/>
    <w:rsid w:val="49F96C92"/>
    <w:rsid w:val="4A4D0811"/>
    <w:rsid w:val="4B844054"/>
    <w:rsid w:val="4B9A150D"/>
    <w:rsid w:val="4BA72E79"/>
    <w:rsid w:val="4C691AFC"/>
    <w:rsid w:val="4DDF2E1C"/>
    <w:rsid w:val="4E810F1D"/>
    <w:rsid w:val="4EE3186E"/>
    <w:rsid w:val="4FC61DEC"/>
    <w:rsid w:val="4FF25F95"/>
    <w:rsid w:val="4FFB5F99"/>
    <w:rsid w:val="507C2236"/>
    <w:rsid w:val="51753BFC"/>
    <w:rsid w:val="52A77F28"/>
    <w:rsid w:val="52E95598"/>
    <w:rsid w:val="53DF0B88"/>
    <w:rsid w:val="5407127D"/>
    <w:rsid w:val="54402FFC"/>
    <w:rsid w:val="5492094F"/>
    <w:rsid w:val="54C93853"/>
    <w:rsid w:val="558E503B"/>
    <w:rsid w:val="55B96F3C"/>
    <w:rsid w:val="56C63E25"/>
    <w:rsid w:val="57E72FB1"/>
    <w:rsid w:val="57F1794F"/>
    <w:rsid w:val="581B3CFC"/>
    <w:rsid w:val="5AFE7B0B"/>
    <w:rsid w:val="5BA8633B"/>
    <w:rsid w:val="5BAF08FE"/>
    <w:rsid w:val="5BB3691E"/>
    <w:rsid w:val="5CF61096"/>
    <w:rsid w:val="5D262F94"/>
    <w:rsid w:val="5DE053C9"/>
    <w:rsid w:val="5EA50B61"/>
    <w:rsid w:val="5EDE0678"/>
    <w:rsid w:val="5FDC1AA0"/>
    <w:rsid w:val="60003E70"/>
    <w:rsid w:val="60ED1182"/>
    <w:rsid w:val="61496562"/>
    <w:rsid w:val="618E3103"/>
    <w:rsid w:val="619F205E"/>
    <w:rsid w:val="61DB5C13"/>
    <w:rsid w:val="62694F2C"/>
    <w:rsid w:val="629976C3"/>
    <w:rsid w:val="63602239"/>
    <w:rsid w:val="651C613B"/>
    <w:rsid w:val="657D4C36"/>
    <w:rsid w:val="65A84B8B"/>
    <w:rsid w:val="65D8752D"/>
    <w:rsid w:val="66413F30"/>
    <w:rsid w:val="667421ED"/>
    <w:rsid w:val="67096052"/>
    <w:rsid w:val="67321AE2"/>
    <w:rsid w:val="676A50E5"/>
    <w:rsid w:val="68A14BB1"/>
    <w:rsid w:val="68B21270"/>
    <w:rsid w:val="69E232F9"/>
    <w:rsid w:val="69FC3DE0"/>
    <w:rsid w:val="6A8B6C1F"/>
    <w:rsid w:val="6C49023A"/>
    <w:rsid w:val="6C6B62CB"/>
    <w:rsid w:val="6D411D30"/>
    <w:rsid w:val="6DEB12D1"/>
    <w:rsid w:val="6E3875D3"/>
    <w:rsid w:val="7025679B"/>
    <w:rsid w:val="70AA4AD2"/>
    <w:rsid w:val="72CE66FE"/>
    <w:rsid w:val="73986F0E"/>
    <w:rsid w:val="73EE487D"/>
    <w:rsid w:val="74B37D35"/>
    <w:rsid w:val="752B3893"/>
    <w:rsid w:val="76C0410A"/>
    <w:rsid w:val="76FA2D71"/>
    <w:rsid w:val="7728728C"/>
    <w:rsid w:val="780A7946"/>
    <w:rsid w:val="781A5F7F"/>
    <w:rsid w:val="794B7BA9"/>
    <w:rsid w:val="79E60845"/>
    <w:rsid w:val="7AC3426A"/>
    <w:rsid w:val="7AC433F4"/>
    <w:rsid w:val="7C8930EA"/>
    <w:rsid w:val="7CD16599"/>
    <w:rsid w:val="7EDB1DE7"/>
    <w:rsid w:val="7F23221B"/>
    <w:rsid w:val="7F324620"/>
    <w:rsid w:val="7F3E3B34"/>
    <w:rsid w:val="7FE702D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qFormat="1" w:unhideWhenUsed="0"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autoRedefine/>
    <w:qFormat/>
    <w:uiPriority w:val="0"/>
    <w:pPr>
      <w:keepNext/>
      <w:keepLines/>
      <w:widowControl/>
      <w:numPr>
        <w:ilvl w:val="0"/>
        <w:numId w:val="1"/>
      </w:numPr>
      <w:spacing w:before="240" w:after="240" w:line="360" w:lineRule="auto"/>
      <w:ind w:left="425" w:hanging="425"/>
      <w:outlineLvl w:val="0"/>
    </w:pPr>
    <w:rPr>
      <w:rFonts w:ascii="仿宋_GB2312" w:hAnsi="仿宋_GB2312" w:eastAsia="黑体"/>
      <w:b/>
      <w:bCs/>
      <w:kern w:val="44"/>
      <w:sz w:val="32"/>
      <w:szCs w:val="28"/>
    </w:rPr>
  </w:style>
  <w:style w:type="paragraph" w:styleId="3">
    <w:name w:val="heading 2"/>
    <w:basedOn w:val="1"/>
    <w:next w:val="1"/>
    <w:link w:val="38"/>
    <w:autoRedefine/>
    <w:qFormat/>
    <w:uiPriority w:val="9"/>
    <w:pPr>
      <w:keepNext/>
      <w:keepLines/>
      <w:numPr>
        <w:ilvl w:val="1"/>
        <w:numId w:val="1"/>
      </w:numPr>
      <w:spacing w:line="360" w:lineRule="auto"/>
      <w:ind w:left="567" w:hanging="567"/>
      <w:jc w:val="left"/>
      <w:outlineLvl w:val="1"/>
    </w:pPr>
    <w:rPr>
      <w:rFonts w:ascii="仿宋_GB2312" w:hAnsi="Arial" w:eastAsia="仿宋_GB2312"/>
      <w:b/>
      <w:bCs/>
      <w:sz w:val="32"/>
      <w:szCs w:val="28"/>
    </w:rPr>
  </w:style>
  <w:style w:type="paragraph" w:styleId="4">
    <w:name w:val="heading 3"/>
    <w:basedOn w:val="1"/>
    <w:next w:val="1"/>
    <w:link w:val="39"/>
    <w:autoRedefine/>
    <w:qFormat/>
    <w:uiPriority w:val="0"/>
    <w:pPr>
      <w:keepNext/>
      <w:keepLines/>
      <w:numPr>
        <w:ilvl w:val="2"/>
        <w:numId w:val="1"/>
      </w:numPr>
      <w:spacing w:line="415" w:lineRule="auto"/>
      <w:ind w:left="709" w:hanging="709"/>
      <w:outlineLvl w:val="2"/>
    </w:pPr>
    <w:rPr>
      <w:rFonts w:ascii="仿宋" w:hAnsi="仿宋" w:eastAsia="仿宋_GB2312"/>
      <w:b/>
      <w:bCs/>
      <w:sz w:val="32"/>
      <w:szCs w:val="32"/>
    </w:rPr>
  </w:style>
  <w:style w:type="paragraph" w:styleId="5">
    <w:name w:val="heading 4"/>
    <w:basedOn w:val="1"/>
    <w:next w:val="1"/>
    <w:autoRedefine/>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styleId="6">
    <w:name w:val="heading 5"/>
    <w:basedOn w:val="1"/>
    <w:next w:val="1"/>
    <w:autoRedefine/>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0"/>
    <w:autoRedefine/>
    <w:qFormat/>
    <w:uiPriority w:val="0"/>
    <w:pPr>
      <w:keepNext/>
      <w:keepLines/>
      <w:tabs>
        <w:tab w:val="left" w:pos="1152"/>
      </w:tabs>
      <w:adjustRightInd w:val="0"/>
      <w:snapToGrid w:val="0"/>
      <w:spacing w:before="240" w:after="64" w:line="320" w:lineRule="auto"/>
      <w:ind w:left="1152" w:hanging="1152"/>
      <w:outlineLvl w:val="5"/>
    </w:pPr>
    <w:rPr>
      <w:rFonts w:ascii="Arial" w:hAnsi="Arial" w:eastAsia="黑体"/>
      <w:b/>
      <w:bCs/>
      <w:sz w:val="24"/>
      <w:szCs w:val="20"/>
    </w:rPr>
  </w:style>
  <w:style w:type="paragraph" w:styleId="8">
    <w:name w:val="heading 7"/>
    <w:basedOn w:val="1"/>
    <w:next w:val="1"/>
    <w:link w:val="41"/>
    <w:autoRedefine/>
    <w:qFormat/>
    <w:uiPriority w:val="0"/>
    <w:pPr>
      <w:keepNext/>
      <w:keepLines/>
      <w:tabs>
        <w:tab w:val="left" w:pos="1296"/>
      </w:tabs>
      <w:adjustRightInd w:val="0"/>
      <w:snapToGrid w:val="0"/>
      <w:spacing w:before="240" w:after="64" w:line="320" w:lineRule="auto"/>
      <w:ind w:left="1296" w:hanging="1296"/>
      <w:outlineLvl w:val="6"/>
    </w:pPr>
    <w:rPr>
      <w:b/>
      <w:bCs/>
      <w:sz w:val="24"/>
      <w:szCs w:val="20"/>
    </w:rPr>
  </w:style>
  <w:style w:type="paragraph" w:styleId="9">
    <w:name w:val="heading 8"/>
    <w:basedOn w:val="1"/>
    <w:next w:val="1"/>
    <w:link w:val="42"/>
    <w:autoRedefine/>
    <w:qFormat/>
    <w:uiPriority w:val="0"/>
    <w:pPr>
      <w:keepNext/>
      <w:keepLines/>
      <w:tabs>
        <w:tab w:val="left" w:pos="1440"/>
      </w:tabs>
      <w:adjustRightInd w:val="0"/>
      <w:snapToGrid w:val="0"/>
      <w:spacing w:before="240" w:after="64" w:line="320" w:lineRule="auto"/>
      <w:ind w:left="1440" w:hanging="1440"/>
      <w:outlineLvl w:val="7"/>
    </w:pPr>
    <w:rPr>
      <w:rFonts w:ascii="Arial" w:hAnsi="Arial" w:eastAsia="黑体"/>
      <w:sz w:val="24"/>
      <w:szCs w:val="20"/>
    </w:rPr>
  </w:style>
  <w:style w:type="paragraph" w:styleId="10">
    <w:name w:val="heading 9"/>
    <w:basedOn w:val="1"/>
    <w:next w:val="1"/>
    <w:link w:val="43"/>
    <w:autoRedefine/>
    <w:qFormat/>
    <w:uiPriority w:val="0"/>
    <w:pPr>
      <w:keepNext/>
      <w:keepLines/>
      <w:tabs>
        <w:tab w:val="left" w:pos="1584"/>
      </w:tabs>
      <w:adjustRightInd w:val="0"/>
      <w:snapToGrid w:val="0"/>
      <w:spacing w:before="240" w:after="64" w:line="320" w:lineRule="auto"/>
      <w:ind w:left="1584" w:hanging="1584"/>
      <w:outlineLvl w:val="8"/>
    </w:pPr>
    <w:rPr>
      <w:rFonts w:ascii="Arial" w:hAnsi="Arial" w:eastAsia="黑体"/>
      <w:sz w:val="24"/>
      <w:szCs w:val="21"/>
    </w:rPr>
  </w:style>
  <w:style w:type="character" w:default="1" w:styleId="33">
    <w:name w:val="Default Paragraph Font"/>
    <w:autoRedefine/>
    <w:unhideWhenUsed/>
    <w:qFormat/>
    <w:uiPriority w:val="1"/>
  </w:style>
  <w:style w:type="table" w:default="1" w:styleId="30">
    <w:name w:val="Normal Table"/>
    <w:autoRedefine/>
    <w:unhideWhenUsed/>
    <w:qFormat/>
    <w:uiPriority w:val="99"/>
    <w:tblPr>
      <w:tblCellMar>
        <w:top w:w="0" w:type="dxa"/>
        <w:left w:w="108" w:type="dxa"/>
        <w:bottom w:w="0" w:type="dxa"/>
        <w:right w:w="108" w:type="dxa"/>
      </w:tblCellMar>
    </w:tblPr>
  </w:style>
  <w:style w:type="paragraph" w:styleId="11">
    <w:name w:val="Normal Indent"/>
    <w:basedOn w:val="1"/>
    <w:link w:val="44"/>
    <w:autoRedefine/>
    <w:qFormat/>
    <w:uiPriority w:val="0"/>
    <w:pPr>
      <w:spacing w:line="300" w:lineRule="auto"/>
      <w:ind w:firstLine="420"/>
    </w:pPr>
    <w:rPr>
      <w:sz w:val="24"/>
      <w:szCs w:val="20"/>
    </w:rPr>
  </w:style>
  <w:style w:type="paragraph" w:styleId="12">
    <w:name w:val="caption"/>
    <w:basedOn w:val="1"/>
    <w:next w:val="1"/>
    <w:autoRedefine/>
    <w:qFormat/>
    <w:uiPriority w:val="0"/>
    <w:pPr>
      <w:adjustRightInd w:val="0"/>
      <w:spacing w:before="152" w:after="160" w:line="360" w:lineRule="atLeast"/>
      <w:jc w:val="left"/>
      <w:textAlignment w:val="baseline"/>
    </w:pPr>
    <w:rPr>
      <w:rFonts w:ascii="Arial" w:hAnsi="Arial" w:eastAsia="黑体" w:cs="Arial"/>
      <w:kern w:val="0"/>
      <w:sz w:val="20"/>
      <w:szCs w:val="20"/>
    </w:rPr>
  </w:style>
  <w:style w:type="paragraph" w:styleId="13">
    <w:name w:val="Document Map"/>
    <w:basedOn w:val="1"/>
    <w:autoRedefine/>
    <w:semiHidden/>
    <w:qFormat/>
    <w:uiPriority w:val="0"/>
    <w:pPr>
      <w:shd w:val="clear" w:color="auto" w:fill="000080"/>
    </w:pPr>
  </w:style>
  <w:style w:type="paragraph" w:styleId="14">
    <w:name w:val="annotation text"/>
    <w:basedOn w:val="1"/>
    <w:autoRedefine/>
    <w:semiHidden/>
    <w:qFormat/>
    <w:uiPriority w:val="0"/>
    <w:pPr>
      <w:jc w:val="left"/>
    </w:pPr>
  </w:style>
  <w:style w:type="paragraph" w:styleId="15">
    <w:name w:val="Body Text"/>
    <w:basedOn w:val="16"/>
    <w:next w:val="16"/>
    <w:link w:val="37"/>
    <w:autoRedefine/>
    <w:qFormat/>
    <w:uiPriority w:val="0"/>
    <w:pPr>
      <w:spacing w:after="120"/>
      <w:ind w:firstLine="200" w:firstLineChars="200"/>
    </w:pPr>
    <w:rPr>
      <w:sz w:val="24"/>
    </w:rPr>
  </w:style>
  <w:style w:type="paragraph" w:styleId="16">
    <w:name w:val="Title"/>
    <w:basedOn w:val="1"/>
    <w:next w:val="1"/>
    <w:autoRedefine/>
    <w:qFormat/>
    <w:uiPriority w:val="0"/>
    <w:pPr>
      <w:spacing w:before="240" w:beforeLines="0" w:beforeAutospacing="0" w:after="60" w:afterLines="0" w:afterAutospacing="0"/>
      <w:jc w:val="center"/>
      <w:outlineLvl w:val="0"/>
    </w:pPr>
    <w:rPr>
      <w:rFonts w:ascii="Arial" w:hAnsi="Arial"/>
      <w:b/>
      <w:kern w:val="2"/>
      <w:sz w:val="32"/>
    </w:rPr>
  </w:style>
  <w:style w:type="paragraph" w:styleId="17">
    <w:name w:val="Body Text Indent"/>
    <w:basedOn w:val="1"/>
    <w:autoRedefine/>
    <w:qFormat/>
    <w:uiPriority w:val="0"/>
    <w:pPr>
      <w:spacing w:line="400" w:lineRule="atLeast"/>
      <w:ind w:left="900"/>
    </w:pPr>
    <w:rPr>
      <w:spacing w:val="10"/>
      <w:sz w:val="24"/>
    </w:rPr>
  </w:style>
  <w:style w:type="paragraph" w:styleId="18">
    <w:name w:val="toc 3"/>
    <w:basedOn w:val="1"/>
    <w:next w:val="1"/>
    <w:autoRedefine/>
    <w:qFormat/>
    <w:uiPriority w:val="39"/>
    <w:pPr>
      <w:ind w:left="840" w:leftChars="400"/>
    </w:pPr>
  </w:style>
  <w:style w:type="paragraph" w:styleId="19">
    <w:name w:val="Plain Text"/>
    <w:basedOn w:val="1"/>
    <w:link w:val="45"/>
    <w:autoRedefine/>
    <w:qFormat/>
    <w:uiPriority w:val="0"/>
    <w:pPr>
      <w:ind w:firstLine="200" w:firstLineChars="200"/>
    </w:pPr>
    <w:rPr>
      <w:rFonts w:ascii="宋体" w:hAnsi="Courier New"/>
      <w:sz w:val="24"/>
    </w:rPr>
  </w:style>
  <w:style w:type="paragraph" w:styleId="20">
    <w:name w:val="Date"/>
    <w:basedOn w:val="1"/>
    <w:next w:val="1"/>
    <w:autoRedefine/>
    <w:qFormat/>
    <w:uiPriority w:val="0"/>
    <w:pPr>
      <w:ind w:firstLine="200" w:firstLineChars="200"/>
    </w:pPr>
    <w:rPr>
      <w:rFonts w:ascii="Arial" w:hAnsi="Arial"/>
      <w:sz w:val="24"/>
      <w:szCs w:val="21"/>
    </w:rPr>
  </w:style>
  <w:style w:type="paragraph" w:styleId="21">
    <w:name w:val="Body Text Indent 2"/>
    <w:basedOn w:val="1"/>
    <w:autoRedefine/>
    <w:qFormat/>
    <w:uiPriority w:val="0"/>
    <w:pPr>
      <w:adjustRightInd w:val="0"/>
      <w:snapToGrid w:val="0"/>
      <w:spacing w:line="360" w:lineRule="auto"/>
      <w:ind w:firstLine="528"/>
      <w:jc w:val="left"/>
    </w:pPr>
  </w:style>
  <w:style w:type="paragraph" w:styleId="22">
    <w:name w:val="Balloon Text"/>
    <w:basedOn w:val="1"/>
    <w:autoRedefine/>
    <w:semiHidden/>
    <w:qFormat/>
    <w:uiPriority w:val="0"/>
    <w:rPr>
      <w:sz w:val="18"/>
      <w:szCs w:val="18"/>
    </w:rPr>
  </w:style>
  <w:style w:type="paragraph" w:styleId="23">
    <w:name w:val="footer"/>
    <w:basedOn w:val="1"/>
    <w:link w:val="46"/>
    <w:autoRedefine/>
    <w:qFormat/>
    <w:uiPriority w:val="99"/>
    <w:pPr>
      <w:tabs>
        <w:tab w:val="center" w:pos="4153"/>
        <w:tab w:val="right" w:pos="8306"/>
      </w:tabs>
      <w:snapToGrid w:val="0"/>
      <w:jc w:val="left"/>
    </w:pPr>
    <w:rPr>
      <w:sz w:val="18"/>
      <w:szCs w:val="18"/>
    </w:rPr>
  </w:style>
  <w:style w:type="paragraph" w:styleId="24">
    <w:name w:val="header"/>
    <w:basedOn w:val="1"/>
    <w:link w:val="47"/>
    <w:autoRedefine/>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style>
  <w:style w:type="paragraph" w:styleId="26">
    <w:name w:val="Body Text Indent 3"/>
    <w:basedOn w:val="1"/>
    <w:autoRedefine/>
    <w:qFormat/>
    <w:uiPriority w:val="0"/>
    <w:pPr>
      <w:spacing w:after="120" w:line="480" w:lineRule="exact"/>
      <w:ind w:left="420" w:leftChars="200" w:firstLine="200" w:firstLineChars="200"/>
    </w:pPr>
    <w:rPr>
      <w:sz w:val="16"/>
      <w:szCs w:val="16"/>
    </w:rPr>
  </w:style>
  <w:style w:type="paragraph" w:styleId="27">
    <w:name w:val="toc 2"/>
    <w:basedOn w:val="1"/>
    <w:next w:val="1"/>
    <w:autoRedefine/>
    <w:qFormat/>
    <w:uiPriority w:val="39"/>
    <w:pPr>
      <w:ind w:left="420" w:leftChars="200"/>
    </w:pPr>
  </w:style>
  <w:style w:type="paragraph" w:styleId="28">
    <w:name w:val="Body Text 2"/>
    <w:basedOn w:val="1"/>
    <w:autoRedefine/>
    <w:qFormat/>
    <w:uiPriority w:val="0"/>
    <w:pPr>
      <w:spacing w:after="120" w:line="480" w:lineRule="auto"/>
    </w:pPr>
    <w:rPr>
      <w:sz w:val="24"/>
    </w:rPr>
  </w:style>
  <w:style w:type="paragraph" w:styleId="29">
    <w:name w:val="annotation subject"/>
    <w:basedOn w:val="14"/>
    <w:next w:val="14"/>
    <w:autoRedefine/>
    <w:semiHidden/>
    <w:qFormat/>
    <w:uiPriority w:val="0"/>
    <w:rPr>
      <w:b/>
      <w:bCs/>
    </w:rPr>
  </w:style>
  <w:style w:type="table" w:styleId="31">
    <w:name w:val="Table Grid"/>
    <w:basedOn w:val="30"/>
    <w:autoRedefine/>
    <w:qFormat/>
    <w:uiPriority w:val="0"/>
    <w:pPr>
      <w:widowControl w:val="0"/>
      <w:adjustRightInd w:val="0"/>
      <w:spacing w:line="312"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2">
    <w:name w:val="Table List 1"/>
    <w:basedOn w:val="30"/>
    <w:autoRedefine/>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34">
    <w:name w:val="page number"/>
    <w:basedOn w:val="33"/>
    <w:autoRedefine/>
    <w:qFormat/>
    <w:uiPriority w:val="0"/>
  </w:style>
  <w:style w:type="character" w:styleId="35">
    <w:name w:val="Hyperlink"/>
    <w:autoRedefine/>
    <w:qFormat/>
    <w:uiPriority w:val="99"/>
    <w:rPr>
      <w:color w:val="0000FF"/>
      <w:u w:val="single"/>
    </w:rPr>
  </w:style>
  <w:style w:type="character" w:styleId="36">
    <w:name w:val="annotation reference"/>
    <w:autoRedefine/>
    <w:semiHidden/>
    <w:qFormat/>
    <w:uiPriority w:val="0"/>
    <w:rPr>
      <w:sz w:val="21"/>
      <w:szCs w:val="21"/>
    </w:rPr>
  </w:style>
  <w:style w:type="character" w:customStyle="1" w:styleId="37">
    <w:name w:val="正文文本 Char"/>
    <w:link w:val="15"/>
    <w:autoRedefine/>
    <w:qFormat/>
    <w:uiPriority w:val="0"/>
    <w:rPr>
      <w:kern w:val="2"/>
      <w:sz w:val="24"/>
      <w:szCs w:val="24"/>
    </w:rPr>
  </w:style>
  <w:style w:type="character" w:customStyle="1" w:styleId="38">
    <w:name w:val="标题 2 Char"/>
    <w:link w:val="3"/>
    <w:autoRedefine/>
    <w:qFormat/>
    <w:uiPriority w:val="9"/>
    <w:rPr>
      <w:rFonts w:ascii="仿宋_GB2312" w:hAnsi="Arial" w:eastAsia="仿宋_GB2312" w:cs="Times New Roman"/>
      <w:b/>
      <w:bCs/>
      <w:kern w:val="2"/>
      <w:sz w:val="32"/>
      <w:szCs w:val="28"/>
      <w:lang w:val="en-US" w:eastAsia="zh-CN" w:bidi="ar-SA"/>
    </w:rPr>
  </w:style>
  <w:style w:type="character" w:customStyle="1" w:styleId="39">
    <w:name w:val="标题 3 Char"/>
    <w:link w:val="4"/>
    <w:autoRedefine/>
    <w:qFormat/>
    <w:uiPriority w:val="0"/>
    <w:rPr>
      <w:rFonts w:ascii="仿宋" w:hAnsi="仿宋" w:eastAsia="仿宋_GB2312" w:cs="Times New Roman"/>
      <w:b/>
      <w:bCs/>
      <w:kern w:val="2"/>
      <w:sz w:val="32"/>
      <w:szCs w:val="32"/>
      <w:lang w:val="en-US" w:eastAsia="zh-CN" w:bidi="ar-SA"/>
    </w:rPr>
  </w:style>
  <w:style w:type="character" w:customStyle="1" w:styleId="40">
    <w:name w:val="标题 6 Char"/>
    <w:link w:val="7"/>
    <w:autoRedefine/>
    <w:qFormat/>
    <w:uiPriority w:val="0"/>
    <w:rPr>
      <w:rFonts w:ascii="Arial" w:hAnsi="Arial" w:eastAsia="黑体"/>
      <w:b/>
      <w:bCs/>
      <w:kern w:val="2"/>
      <w:sz w:val="24"/>
    </w:rPr>
  </w:style>
  <w:style w:type="character" w:customStyle="1" w:styleId="41">
    <w:name w:val="标题 7 Char"/>
    <w:link w:val="8"/>
    <w:autoRedefine/>
    <w:qFormat/>
    <w:uiPriority w:val="0"/>
    <w:rPr>
      <w:b/>
      <w:bCs/>
      <w:kern w:val="2"/>
      <w:sz w:val="24"/>
    </w:rPr>
  </w:style>
  <w:style w:type="character" w:customStyle="1" w:styleId="42">
    <w:name w:val="标题 8 Char"/>
    <w:link w:val="9"/>
    <w:autoRedefine/>
    <w:qFormat/>
    <w:uiPriority w:val="0"/>
    <w:rPr>
      <w:rFonts w:ascii="Arial" w:hAnsi="Arial" w:eastAsia="黑体"/>
      <w:kern w:val="2"/>
      <w:sz w:val="24"/>
    </w:rPr>
  </w:style>
  <w:style w:type="character" w:customStyle="1" w:styleId="43">
    <w:name w:val="标题 9 Char"/>
    <w:link w:val="10"/>
    <w:autoRedefine/>
    <w:qFormat/>
    <w:uiPriority w:val="0"/>
    <w:rPr>
      <w:rFonts w:ascii="Arial" w:hAnsi="Arial" w:eastAsia="黑体"/>
      <w:kern w:val="2"/>
      <w:sz w:val="24"/>
      <w:szCs w:val="21"/>
    </w:rPr>
  </w:style>
  <w:style w:type="character" w:customStyle="1" w:styleId="44">
    <w:name w:val="正文缩进 Char"/>
    <w:link w:val="11"/>
    <w:autoRedefine/>
    <w:qFormat/>
    <w:uiPriority w:val="0"/>
    <w:rPr>
      <w:kern w:val="2"/>
      <w:sz w:val="24"/>
    </w:rPr>
  </w:style>
  <w:style w:type="character" w:customStyle="1" w:styleId="45">
    <w:name w:val="纯文本 Char"/>
    <w:link w:val="19"/>
    <w:autoRedefine/>
    <w:qFormat/>
    <w:uiPriority w:val="0"/>
    <w:rPr>
      <w:rFonts w:ascii="宋体" w:hAnsi="Courier New"/>
      <w:kern w:val="2"/>
      <w:sz w:val="24"/>
      <w:szCs w:val="24"/>
    </w:rPr>
  </w:style>
  <w:style w:type="character" w:customStyle="1" w:styleId="46">
    <w:name w:val="页脚 Char"/>
    <w:link w:val="23"/>
    <w:autoRedefine/>
    <w:qFormat/>
    <w:uiPriority w:val="99"/>
    <w:rPr>
      <w:kern w:val="2"/>
      <w:sz w:val="18"/>
      <w:szCs w:val="18"/>
    </w:rPr>
  </w:style>
  <w:style w:type="character" w:customStyle="1" w:styleId="47">
    <w:name w:val="页眉 Char"/>
    <w:link w:val="24"/>
    <w:autoRedefine/>
    <w:qFormat/>
    <w:uiPriority w:val="0"/>
    <w:rPr>
      <w:kern w:val="2"/>
      <w:sz w:val="18"/>
      <w:szCs w:val="18"/>
    </w:rPr>
  </w:style>
  <w:style w:type="character" w:customStyle="1" w:styleId="48">
    <w:name w:val="样式3 Char"/>
    <w:link w:val="49"/>
    <w:autoRedefine/>
    <w:qFormat/>
    <w:uiPriority w:val="0"/>
    <w:rPr>
      <w:b/>
      <w:caps/>
      <w:sz w:val="28"/>
      <w:lang w:bidi="ar-SA"/>
    </w:rPr>
  </w:style>
  <w:style w:type="paragraph" w:customStyle="1" w:styleId="49">
    <w:name w:val="样式3"/>
    <w:basedOn w:val="50"/>
    <w:link w:val="48"/>
    <w:autoRedefine/>
    <w:qFormat/>
    <w:uiPriority w:val="0"/>
    <w:pPr>
      <w:tabs>
        <w:tab w:val="left" w:pos="0"/>
      </w:tabs>
      <w:spacing w:line="240" w:lineRule="auto"/>
      <w:jc w:val="both"/>
    </w:pPr>
    <w:rPr>
      <w:bCs w:val="0"/>
      <w:kern w:val="0"/>
      <w:sz w:val="28"/>
    </w:rPr>
  </w:style>
  <w:style w:type="paragraph" w:customStyle="1" w:styleId="50">
    <w:name w:val="目录 11"/>
    <w:basedOn w:val="1"/>
    <w:next w:val="1"/>
    <w:autoRedefine/>
    <w:qFormat/>
    <w:uiPriority w:val="39"/>
    <w:pPr>
      <w:spacing w:before="120" w:after="120" w:line="60" w:lineRule="auto"/>
      <w:jc w:val="left"/>
    </w:pPr>
    <w:rPr>
      <w:b/>
      <w:bCs/>
      <w:caps/>
      <w:sz w:val="20"/>
      <w:szCs w:val="20"/>
    </w:rPr>
  </w:style>
  <w:style w:type="character" w:customStyle="1" w:styleId="51">
    <w:name w:val="“下标”样式"/>
    <w:autoRedefine/>
    <w:qFormat/>
    <w:uiPriority w:val="0"/>
    <w:rPr>
      <w:vertAlign w:val="subscript"/>
    </w:rPr>
  </w:style>
  <w:style w:type="character" w:customStyle="1" w:styleId="52">
    <w:name w:val="GEDI一级项目编号 Char"/>
    <w:link w:val="53"/>
    <w:autoRedefine/>
    <w:qFormat/>
    <w:uiPriority w:val="0"/>
    <w:rPr>
      <w:kern w:val="2"/>
      <w:sz w:val="24"/>
      <w:szCs w:val="24"/>
    </w:rPr>
  </w:style>
  <w:style w:type="paragraph" w:customStyle="1" w:styleId="53">
    <w:name w:val="GEDI一级项目编号"/>
    <w:basedOn w:val="1"/>
    <w:link w:val="52"/>
    <w:autoRedefine/>
    <w:qFormat/>
    <w:uiPriority w:val="0"/>
    <w:pPr>
      <w:adjustRightInd w:val="0"/>
      <w:snapToGrid w:val="0"/>
      <w:spacing w:line="480" w:lineRule="atLeast"/>
    </w:pPr>
    <w:rPr>
      <w:sz w:val="24"/>
    </w:rPr>
  </w:style>
  <w:style w:type="character" w:customStyle="1" w:styleId="54">
    <w:name w:val="“上标”样式"/>
    <w:autoRedefine/>
    <w:qFormat/>
    <w:uiPriority w:val="0"/>
    <w:rPr>
      <w:rFonts w:ascii="Times New Roman" w:hAnsi="Times New Roman" w:eastAsia="宋体"/>
      <w:sz w:val="24"/>
      <w:vertAlign w:val="superscript"/>
    </w:rPr>
  </w:style>
  <w:style w:type="character" w:customStyle="1" w:styleId="55">
    <w:name w:val="正文首行缩进 Char"/>
    <w:link w:val="56"/>
    <w:autoRedefine/>
    <w:qFormat/>
    <w:uiPriority w:val="0"/>
    <w:rPr>
      <w:kern w:val="2"/>
      <w:sz w:val="24"/>
      <w:szCs w:val="24"/>
    </w:rPr>
  </w:style>
  <w:style w:type="paragraph" w:customStyle="1" w:styleId="56">
    <w:name w:val="正文首行缩进1"/>
    <w:basedOn w:val="15"/>
    <w:link w:val="55"/>
    <w:autoRedefine/>
    <w:qFormat/>
    <w:uiPriority w:val="0"/>
    <w:pPr>
      <w:spacing w:after="0" w:line="360" w:lineRule="auto"/>
    </w:pPr>
    <w:rPr>
      <w:szCs w:val="20"/>
    </w:rPr>
  </w:style>
  <w:style w:type="character" w:customStyle="1" w:styleId="57">
    <w:name w:val="封面“EPC联合体”中文文字 Char Char"/>
    <w:link w:val="58"/>
    <w:autoRedefine/>
    <w:qFormat/>
    <w:uiPriority w:val="0"/>
    <w:rPr>
      <w:rFonts w:hAnsi="宋体" w:eastAsia="宋体"/>
      <w:b/>
      <w:kern w:val="2"/>
      <w:sz w:val="32"/>
      <w:szCs w:val="32"/>
      <w:lang w:val="en-US" w:eastAsia="zh-CN" w:bidi="ar-SA"/>
    </w:rPr>
  </w:style>
  <w:style w:type="paragraph" w:customStyle="1" w:styleId="58">
    <w:name w:val="封面“EPC联合体”中文文字"/>
    <w:basedOn w:val="59"/>
    <w:link w:val="57"/>
    <w:autoRedefine/>
    <w:semiHidden/>
    <w:qFormat/>
    <w:uiPriority w:val="0"/>
    <w:pPr>
      <w:ind w:firstLine="0" w:firstLineChars="0"/>
      <w:jc w:val="center"/>
    </w:pPr>
    <w:rPr>
      <w:rFonts w:hAnsi="宋体"/>
      <w:b/>
      <w:sz w:val="32"/>
      <w:szCs w:val="32"/>
    </w:rPr>
  </w:style>
  <w:style w:type="paragraph" w:customStyle="1" w:styleId="59">
    <w:name w:val="正文文字样式"/>
    <w:basedOn w:val="1"/>
    <w:link w:val="60"/>
    <w:autoRedefine/>
    <w:qFormat/>
    <w:uiPriority w:val="0"/>
    <w:pPr>
      <w:spacing w:line="480" w:lineRule="exact"/>
      <w:ind w:firstLine="480" w:firstLineChars="200"/>
    </w:pPr>
    <w:rPr>
      <w:sz w:val="24"/>
    </w:rPr>
  </w:style>
  <w:style w:type="character" w:customStyle="1" w:styleId="60">
    <w:name w:val="正文文字样式 Char Char"/>
    <w:link w:val="59"/>
    <w:autoRedefine/>
    <w:qFormat/>
    <w:uiPriority w:val="0"/>
    <w:rPr>
      <w:rFonts w:eastAsia="宋体"/>
      <w:kern w:val="2"/>
      <w:sz w:val="24"/>
      <w:szCs w:val="24"/>
      <w:lang w:val="en-US" w:eastAsia="zh-CN" w:bidi="ar-SA"/>
    </w:rPr>
  </w:style>
  <w:style w:type="character" w:customStyle="1" w:styleId="61">
    <w:name w:val="GEDI正文样式 Char"/>
    <w:link w:val="62"/>
    <w:autoRedefine/>
    <w:qFormat/>
    <w:uiPriority w:val="0"/>
    <w:rPr>
      <w:kern w:val="2"/>
      <w:sz w:val="24"/>
      <w:szCs w:val="24"/>
    </w:rPr>
  </w:style>
  <w:style w:type="paragraph" w:customStyle="1" w:styleId="62">
    <w:name w:val="GEDI正文样式"/>
    <w:basedOn w:val="1"/>
    <w:link w:val="61"/>
    <w:autoRedefine/>
    <w:qFormat/>
    <w:uiPriority w:val="0"/>
    <w:pPr>
      <w:adjustRightInd w:val="0"/>
      <w:snapToGrid w:val="0"/>
      <w:spacing w:line="480" w:lineRule="atLeast"/>
      <w:ind w:firstLine="480" w:firstLineChars="200"/>
    </w:pPr>
    <w:rPr>
      <w:sz w:val="24"/>
    </w:rPr>
  </w:style>
  <w:style w:type="character" w:customStyle="1" w:styleId="63">
    <w:name w:val="封面“EPC联合体”西文文字 Char Char"/>
    <w:link w:val="64"/>
    <w:autoRedefine/>
    <w:qFormat/>
    <w:uiPriority w:val="0"/>
    <w:rPr>
      <w:rFonts w:hAnsi="宋体" w:eastAsia="宋体"/>
      <w:b/>
      <w:kern w:val="2"/>
      <w:sz w:val="32"/>
      <w:szCs w:val="32"/>
      <w:lang w:val="en-US" w:eastAsia="zh-CN" w:bidi="ar-SA"/>
    </w:rPr>
  </w:style>
  <w:style w:type="paragraph" w:customStyle="1" w:styleId="64">
    <w:name w:val="封面“EPC联合体”西文文字"/>
    <w:basedOn w:val="58"/>
    <w:link w:val="63"/>
    <w:autoRedefine/>
    <w:semiHidden/>
    <w:qFormat/>
    <w:uiPriority w:val="0"/>
    <w:rPr>
      <w:rFonts w:hAnsi="Times New Roman"/>
    </w:rPr>
  </w:style>
  <w:style w:type="character" w:customStyle="1" w:styleId="65">
    <w:name w:val="正文文本缩进 Char"/>
    <w:link w:val="66"/>
    <w:autoRedefine/>
    <w:qFormat/>
    <w:uiPriority w:val="0"/>
    <w:rPr>
      <w:rFonts w:ascii="宋体" w:hAnsi="宋体"/>
      <w:sz w:val="24"/>
      <w:szCs w:val="24"/>
    </w:rPr>
  </w:style>
  <w:style w:type="paragraph" w:customStyle="1" w:styleId="66">
    <w:name w:val="正文文本缩进1"/>
    <w:basedOn w:val="1"/>
    <w:link w:val="65"/>
    <w:autoRedefine/>
    <w:qFormat/>
    <w:uiPriority w:val="0"/>
    <w:pPr>
      <w:spacing w:line="300" w:lineRule="auto"/>
      <w:ind w:firstLine="480"/>
    </w:pPr>
    <w:rPr>
      <w:rFonts w:ascii="宋体" w:hAnsi="宋体"/>
      <w:kern w:val="0"/>
      <w:sz w:val="24"/>
    </w:rPr>
  </w:style>
  <w:style w:type="character" w:customStyle="1" w:styleId="67">
    <w:name w:val="标题 3 Char1"/>
    <w:autoRedefine/>
    <w:qFormat/>
    <w:uiPriority w:val="0"/>
    <w:rPr>
      <w:rFonts w:ascii="宋体"/>
      <w:b/>
      <w:kern w:val="2"/>
      <w:sz w:val="28"/>
    </w:rPr>
  </w:style>
  <w:style w:type="character" w:customStyle="1" w:styleId="68">
    <w:name w:val="样式 Arial"/>
    <w:autoRedefine/>
    <w:qFormat/>
    <w:uiPriority w:val="0"/>
    <w:rPr>
      <w:rFonts w:hint="default" w:ascii="Times New Roman" w:hAnsi="Times New Roman" w:eastAsia="宋体" w:cs="Times New Roman"/>
      <w:sz w:val="21"/>
      <w:szCs w:val="21"/>
    </w:rPr>
  </w:style>
  <w:style w:type="paragraph" w:customStyle="1" w:styleId="69">
    <w:name w:val="封面日期地点文字"/>
    <w:basedOn w:val="59"/>
    <w:autoRedefine/>
    <w:semiHidden/>
    <w:qFormat/>
    <w:uiPriority w:val="0"/>
    <w:pPr>
      <w:spacing w:line="360" w:lineRule="exact"/>
      <w:ind w:firstLine="0" w:firstLineChars="0"/>
      <w:jc w:val="center"/>
    </w:pPr>
    <w:rPr>
      <w:sz w:val="32"/>
      <w:szCs w:val="32"/>
    </w:rPr>
  </w:style>
  <w:style w:type="paragraph" w:customStyle="1" w:styleId="70">
    <w:name w:val="bodycopy"/>
    <w:basedOn w:val="1"/>
    <w:autoRedefine/>
    <w:qFormat/>
    <w:uiPriority w:val="0"/>
    <w:pPr>
      <w:widowControl/>
      <w:spacing w:before="100" w:beforeAutospacing="1" w:after="100" w:afterAutospacing="1" w:line="210" w:lineRule="atLeast"/>
      <w:jc w:val="left"/>
    </w:pPr>
    <w:rPr>
      <w:rFonts w:ascii="Arial" w:hAnsi="Arial" w:cs="Arial"/>
      <w:color w:val="000000"/>
      <w:kern w:val="0"/>
      <w:sz w:val="18"/>
      <w:szCs w:val="18"/>
    </w:rPr>
  </w:style>
  <w:style w:type="paragraph" w:customStyle="1" w:styleId="71">
    <w:name w:val="样式 标题 1 + 首行缩进:  2 字符 段前: 1 行 段后: 1 行"/>
    <w:basedOn w:val="2"/>
    <w:autoRedefine/>
    <w:qFormat/>
    <w:uiPriority w:val="0"/>
    <w:pPr>
      <w:widowControl w:val="0"/>
      <w:topLinePunct/>
      <w:snapToGrid w:val="0"/>
      <w:spacing w:before="0" w:beforeLines="100" w:after="0" w:afterLines="100" w:line="240" w:lineRule="auto"/>
      <w:ind w:left="0" w:firstLine="0"/>
      <w:jc w:val="left"/>
    </w:pPr>
    <w:rPr>
      <w:rFonts w:eastAsia="黑体" w:cs="华文新魏"/>
      <w:b w:val="0"/>
      <w:bCs w:val="0"/>
      <w:snapToGrid/>
      <w:kern w:val="0"/>
      <w:szCs w:val="20"/>
    </w:rPr>
  </w:style>
  <w:style w:type="paragraph" w:customStyle="1" w:styleId="72">
    <w:name w:val="正文文本缩进11"/>
    <w:basedOn w:val="1"/>
    <w:autoRedefine/>
    <w:qFormat/>
    <w:uiPriority w:val="0"/>
    <w:pPr>
      <w:spacing w:line="300" w:lineRule="auto"/>
      <w:ind w:firstLine="480"/>
    </w:pPr>
    <w:rPr>
      <w:rFonts w:ascii="宋体" w:hAnsi="宋体"/>
      <w:kern w:val="0"/>
      <w:sz w:val="24"/>
    </w:rPr>
  </w:style>
  <w:style w:type="paragraph" w:customStyle="1" w:styleId="73">
    <w:name w:val="_Style 72"/>
    <w:autoRedefine/>
    <w:semiHidden/>
    <w:qFormat/>
    <w:uiPriority w:val="99"/>
    <w:rPr>
      <w:rFonts w:ascii="Calibri" w:hAnsi="Calibri" w:eastAsia="宋体" w:cs="Times New Roman"/>
      <w:kern w:val="2"/>
      <w:sz w:val="21"/>
      <w:szCs w:val="24"/>
      <w:lang w:val="en-US" w:eastAsia="zh-CN" w:bidi="ar-SA"/>
    </w:rPr>
  </w:style>
  <w:style w:type="paragraph" w:customStyle="1" w:styleId="74">
    <w:name w:val="样式 样式 标题 2 + 段前: 0.5 行 段后: 0.5 行 + 首行缩进:  2 字符 段前: 0.5 行 段后: 0..."/>
    <w:basedOn w:val="1"/>
    <w:autoRedefine/>
    <w:qFormat/>
    <w:uiPriority w:val="0"/>
    <w:pPr>
      <w:keepNext/>
      <w:keepLines/>
      <w:spacing w:beforeLines="50" w:afterLines="50"/>
      <w:ind w:firstLine="200" w:firstLineChars="200"/>
      <w:jc w:val="left"/>
      <w:outlineLvl w:val="1"/>
    </w:pPr>
    <w:rPr>
      <w:rFonts w:eastAsia="黑体" w:cs="华文新魏"/>
      <w:sz w:val="24"/>
    </w:rPr>
  </w:style>
  <w:style w:type="paragraph" w:styleId="75">
    <w:name w:val="List Paragraph"/>
    <w:basedOn w:val="1"/>
    <w:autoRedefine/>
    <w:qFormat/>
    <w:uiPriority w:val="34"/>
    <w:pPr>
      <w:ind w:firstLine="420" w:firstLineChars="200"/>
    </w:pPr>
  </w:style>
  <w:style w:type="paragraph" w:customStyle="1" w:styleId="76">
    <w:name w:val="章标题"/>
    <w:next w:val="77"/>
    <w:autoRedefine/>
    <w:qFormat/>
    <w:uiPriority w:val="0"/>
    <w:pPr>
      <w:numPr>
        <w:ilvl w:val="1"/>
        <w:numId w:val="2"/>
      </w:numPr>
      <w:tabs>
        <w:tab w:val="left" w:pos="420"/>
      </w:tabs>
      <w:spacing w:before="50" w:beforeLines="50" w:after="50" w:afterLines="50"/>
      <w:jc w:val="both"/>
      <w:outlineLvl w:val="1"/>
    </w:pPr>
    <w:rPr>
      <w:rFonts w:ascii="黑体" w:hAnsi="Calibri" w:eastAsia="黑体" w:cs="Times New Roman"/>
      <w:b/>
      <w:sz w:val="21"/>
      <w:lang w:val="en-US" w:eastAsia="zh-CN" w:bidi="ar-SA"/>
    </w:rPr>
  </w:style>
  <w:style w:type="paragraph" w:customStyle="1" w:styleId="77">
    <w:name w:val="段"/>
    <w:autoRedefine/>
    <w:qFormat/>
    <w:uiPriority w:val="0"/>
    <w:pPr>
      <w:ind w:firstLine="200" w:firstLineChars="200"/>
      <w:jc w:val="both"/>
    </w:pPr>
    <w:rPr>
      <w:rFonts w:ascii="宋体" w:hAnsi="Calibri" w:eastAsia="宋体" w:cs="Times New Roman"/>
      <w:sz w:val="21"/>
      <w:lang w:val="en-US" w:eastAsia="zh-CN" w:bidi="ar-SA"/>
    </w:rPr>
  </w:style>
  <w:style w:type="paragraph" w:customStyle="1" w:styleId="78">
    <w:name w:val="项目符号"/>
    <w:basedOn w:val="1"/>
    <w:autoRedefine/>
    <w:qFormat/>
    <w:uiPriority w:val="0"/>
    <w:pPr>
      <w:numPr>
        <w:ilvl w:val="0"/>
        <w:numId w:val="3"/>
      </w:numPr>
      <w:spacing w:line="480" w:lineRule="exact"/>
    </w:pPr>
    <w:rPr>
      <w:sz w:val="24"/>
    </w:rPr>
  </w:style>
  <w:style w:type="paragraph" w:customStyle="1" w:styleId="79">
    <w:name w:val="封面文档编号"/>
    <w:basedOn w:val="59"/>
    <w:autoRedefine/>
    <w:semiHidden/>
    <w:qFormat/>
    <w:uiPriority w:val="0"/>
    <w:pPr>
      <w:spacing w:line="640" w:lineRule="exact"/>
      <w:ind w:firstLine="0" w:firstLineChars="0"/>
      <w:jc w:val="center"/>
    </w:pPr>
    <w:rPr>
      <w:rFonts w:ascii="黑体" w:eastAsia="黑体"/>
      <w:b/>
      <w:sz w:val="32"/>
      <w:szCs w:val="32"/>
    </w:rPr>
  </w:style>
  <w:style w:type="paragraph" w:customStyle="1" w:styleId="80">
    <w:name w:val="三级条标题"/>
    <w:basedOn w:val="81"/>
    <w:next w:val="77"/>
    <w:autoRedefine/>
    <w:qFormat/>
    <w:uiPriority w:val="0"/>
    <w:pPr>
      <w:numPr>
        <w:ilvl w:val="4"/>
        <w:numId w:val="2"/>
      </w:numPr>
      <w:tabs>
        <w:tab w:val="left" w:pos="360"/>
        <w:tab w:val="left" w:pos="525"/>
        <w:tab w:val="left" w:pos="720"/>
        <w:tab w:val="left" w:pos="945"/>
        <w:tab w:val="left" w:pos="1245"/>
      </w:tabs>
      <w:outlineLvl w:val="4"/>
    </w:pPr>
  </w:style>
  <w:style w:type="paragraph" w:customStyle="1" w:styleId="81">
    <w:name w:val="二级条标题"/>
    <w:basedOn w:val="82"/>
    <w:next w:val="77"/>
    <w:autoRedefine/>
    <w:qFormat/>
    <w:uiPriority w:val="0"/>
    <w:pPr>
      <w:numPr>
        <w:ilvl w:val="3"/>
        <w:numId w:val="2"/>
      </w:numPr>
      <w:tabs>
        <w:tab w:val="left" w:pos="360"/>
        <w:tab w:val="left" w:pos="525"/>
        <w:tab w:val="left" w:pos="1245"/>
      </w:tabs>
      <w:ind w:left="525"/>
      <w:outlineLvl w:val="3"/>
    </w:pPr>
  </w:style>
  <w:style w:type="paragraph" w:customStyle="1" w:styleId="82">
    <w:name w:val="一级条标题"/>
    <w:basedOn w:val="76"/>
    <w:next w:val="77"/>
    <w:autoRedefine/>
    <w:qFormat/>
    <w:uiPriority w:val="0"/>
    <w:pPr>
      <w:numPr>
        <w:ilvl w:val="2"/>
        <w:numId w:val="2"/>
      </w:numPr>
      <w:tabs>
        <w:tab w:val="left" w:pos="525"/>
        <w:tab w:val="clear" w:pos="420"/>
      </w:tabs>
      <w:spacing w:before="0" w:beforeLines="0" w:after="0" w:afterLines="0"/>
      <w:outlineLvl w:val="2"/>
    </w:pPr>
  </w:style>
  <w:style w:type="paragraph" w:customStyle="1" w:styleId="83">
    <w:name w:val="四级条标题"/>
    <w:basedOn w:val="80"/>
    <w:next w:val="77"/>
    <w:autoRedefine/>
    <w:qFormat/>
    <w:uiPriority w:val="0"/>
    <w:pPr>
      <w:numPr>
        <w:ilvl w:val="5"/>
        <w:numId w:val="2"/>
      </w:numPr>
      <w:tabs>
        <w:tab w:val="left" w:pos="1155"/>
        <w:tab w:val="clear" w:pos="945"/>
      </w:tabs>
      <w:outlineLvl w:val="5"/>
    </w:pPr>
  </w:style>
  <w:style w:type="paragraph" w:customStyle="1" w:styleId="84">
    <w:name w:val="参考文献、索引标题"/>
    <w:basedOn w:val="1"/>
    <w:next w:val="1"/>
    <w:autoRedefine/>
    <w:qFormat/>
    <w:uiPriority w:val="0"/>
    <w:pPr>
      <w:widowControl/>
      <w:shd w:val="clear" w:color="FFFFFF" w:fill="FFFFFF"/>
      <w:spacing w:before="640" w:after="200"/>
      <w:jc w:val="center"/>
      <w:outlineLvl w:val="0"/>
    </w:pPr>
    <w:rPr>
      <w:rFonts w:ascii="黑体" w:eastAsia="黑体"/>
      <w:b/>
      <w:kern w:val="0"/>
      <w:szCs w:val="20"/>
    </w:rPr>
  </w:style>
  <w:style w:type="paragraph" w:customStyle="1" w:styleId="85">
    <w:name w:val="目录 21"/>
    <w:basedOn w:val="1"/>
    <w:next w:val="1"/>
    <w:autoRedefine/>
    <w:qFormat/>
    <w:uiPriority w:val="39"/>
    <w:pPr>
      <w:ind w:left="210"/>
      <w:jc w:val="left"/>
    </w:pPr>
    <w:rPr>
      <w:smallCaps/>
      <w:sz w:val="20"/>
      <w:szCs w:val="20"/>
    </w:rPr>
  </w:style>
  <w:style w:type="paragraph" w:customStyle="1" w:styleId="86">
    <w:name w:val="正文表标题"/>
    <w:next w:val="77"/>
    <w:autoRedefine/>
    <w:qFormat/>
    <w:uiPriority w:val="0"/>
    <w:pPr>
      <w:widowControl w:val="0"/>
      <w:tabs>
        <w:tab w:val="left" w:pos="420"/>
      </w:tabs>
      <w:spacing w:before="120" w:beforeLines="50" w:after="120" w:afterLines="50"/>
      <w:jc w:val="center"/>
    </w:pPr>
    <w:rPr>
      <w:rFonts w:ascii="黑体" w:hAnsi="Calibri" w:eastAsia="黑体" w:cs="Times New Roman"/>
      <w:b/>
      <w:bCs/>
      <w:kern w:val="2"/>
      <w:sz w:val="21"/>
      <w:szCs w:val="21"/>
      <w:lang w:val="en-US" w:eastAsia="zh-CN" w:bidi="ar-SA"/>
    </w:rPr>
  </w:style>
  <w:style w:type="paragraph" w:customStyle="1" w:styleId="87">
    <w:name w:val="Char1"/>
    <w:basedOn w:val="1"/>
    <w:autoRedefine/>
    <w:semiHidden/>
    <w:qFormat/>
    <w:uiPriority w:val="0"/>
  </w:style>
  <w:style w:type="paragraph" w:customStyle="1" w:styleId="88">
    <w:name w:val="版本记录表格内文字"/>
    <w:basedOn w:val="1"/>
    <w:autoRedefine/>
    <w:semiHidden/>
    <w:qFormat/>
    <w:uiPriority w:val="0"/>
    <w:pPr>
      <w:spacing w:line="360" w:lineRule="auto"/>
      <w:jc w:val="center"/>
    </w:pPr>
    <w:rPr>
      <w:sz w:val="24"/>
    </w:rPr>
  </w:style>
  <w:style w:type="paragraph" w:customStyle="1" w:styleId="89">
    <w:name w:val="样式 首行缩进:  1.71 字符"/>
    <w:basedOn w:val="1"/>
    <w:autoRedefine/>
    <w:qFormat/>
    <w:uiPriority w:val="0"/>
    <w:pPr>
      <w:spacing w:line="360" w:lineRule="auto"/>
      <w:ind w:firstLine="200" w:firstLineChars="200"/>
    </w:pPr>
    <w:rPr>
      <w:rFonts w:cs="宋体"/>
      <w:sz w:val="24"/>
    </w:rPr>
  </w:style>
  <w:style w:type="paragraph" w:customStyle="1" w:styleId="90">
    <w:name w:val="五级条标题"/>
    <w:basedOn w:val="83"/>
    <w:next w:val="77"/>
    <w:autoRedefine/>
    <w:qFormat/>
    <w:uiPriority w:val="0"/>
    <w:pPr>
      <w:numPr>
        <w:ilvl w:val="6"/>
        <w:numId w:val="2"/>
      </w:numPr>
      <w:tabs>
        <w:tab w:val="left" w:pos="1407"/>
        <w:tab w:val="clear" w:pos="1155"/>
      </w:tabs>
      <w:outlineLvl w:val="6"/>
    </w:pPr>
  </w:style>
  <w:style w:type="paragraph" w:customStyle="1" w:styleId="91">
    <w:name w:val="目录 71"/>
    <w:basedOn w:val="1"/>
    <w:next w:val="1"/>
    <w:autoRedefine/>
    <w:semiHidden/>
    <w:qFormat/>
    <w:uiPriority w:val="0"/>
    <w:pPr>
      <w:ind w:left="1260"/>
      <w:jc w:val="left"/>
    </w:pPr>
    <w:rPr>
      <w:sz w:val="18"/>
      <w:szCs w:val="18"/>
    </w:rPr>
  </w:style>
  <w:style w:type="paragraph" w:customStyle="1" w:styleId="92">
    <w:name w:val="五级无标题条"/>
    <w:basedOn w:val="1"/>
    <w:autoRedefine/>
    <w:qFormat/>
    <w:uiPriority w:val="0"/>
    <w:pPr>
      <w:numPr>
        <w:ilvl w:val="6"/>
        <w:numId w:val="4"/>
      </w:numPr>
    </w:pPr>
    <w:rPr>
      <w:rFonts w:ascii="黑体" w:eastAsia="黑体"/>
      <w:b/>
      <w:szCs w:val="20"/>
    </w:rPr>
  </w:style>
  <w:style w:type="paragraph" w:customStyle="1" w:styleId="93">
    <w:name w:val="“目录”"/>
    <w:basedOn w:val="59"/>
    <w:autoRedefine/>
    <w:semiHidden/>
    <w:qFormat/>
    <w:uiPriority w:val="0"/>
    <w:pPr>
      <w:ind w:firstLine="0" w:firstLineChars="0"/>
      <w:jc w:val="center"/>
    </w:pPr>
    <w:rPr>
      <w:b/>
      <w:sz w:val="44"/>
    </w:rPr>
  </w:style>
  <w:style w:type="paragraph" w:customStyle="1" w:styleId="94">
    <w:name w:val="二级无标题条"/>
    <w:basedOn w:val="1"/>
    <w:autoRedefine/>
    <w:qFormat/>
    <w:uiPriority w:val="0"/>
    <w:pPr>
      <w:numPr>
        <w:ilvl w:val="3"/>
        <w:numId w:val="4"/>
      </w:numPr>
    </w:pPr>
    <w:rPr>
      <w:b/>
      <w:szCs w:val="20"/>
    </w:rPr>
  </w:style>
  <w:style w:type="paragraph" w:customStyle="1" w:styleId="95">
    <w:name w:val="目录 61"/>
    <w:basedOn w:val="1"/>
    <w:next w:val="1"/>
    <w:autoRedefine/>
    <w:semiHidden/>
    <w:qFormat/>
    <w:uiPriority w:val="0"/>
    <w:pPr>
      <w:ind w:left="1050"/>
      <w:jc w:val="left"/>
    </w:pPr>
    <w:rPr>
      <w:sz w:val="18"/>
      <w:szCs w:val="18"/>
    </w:rPr>
  </w:style>
  <w:style w:type="paragraph" w:customStyle="1" w:styleId="96">
    <w:name w:val="默认段落字体 Para Char Char Char Char Char Char1 Char"/>
    <w:basedOn w:val="1"/>
    <w:autoRedefine/>
    <w:qFormat/>
    <w:uiPriority w:val="0"/>
    <w:pPr>
      <w:spacing w:line="360" w:lineRule="auto"/>
    </w:pPr>
    <w:rPr>
      <w:rFonts w:ascii="Tahoma" w:hAnsi="Tahoma"/>
      <w:sz w:val="28"/>
      <w:szCs w:val="20"/>
    </w:rPr>
  </w:style>
  <w:style w:type="paragraph" w:customStyle="1" w:styleId="97">
    <w:name w:val="一级无标题条"/>
    <w:basedOn w:val="1"/>
    <w:autoRedefine/>
    <w:qFormat/>
    <w:uiPriority w:val="0"/>
    <w:pPr>
      <w:numPr>
        <w:ilvl w:val="2"/>
        <w:numId w:val="4"/>
      </w:numPr>
      <w:tabs>
        <w:tab w:val="left" w:pos="420"/>
      </w:tabs>
    </w:pPr>
    <w:rPr>
      <w:b/>
      <w:szCs w:val="20"/>
    </w:rPr>
  </w:style>
  <w:style w:type="paragraph" w:customStyle="1" w:styleId="98">
    <w:name w:val="1级列项"/>
    <w:basedOn w:val="59"/>
    <w:autoRedefine/>
    <w:qFormat/>
    <w:uiPriority w:val="0"/>
    <w:pPr>
      <w:numPr>
        <w:ilvl w:val="0"/>
        <w:numId w:val="5"/>
      </w:numPr>
      <w:ind w:firstLine="0" w:firstLineChars="0"/>
    </w:pPr>
  </w:style>
  <w:style w:type="paragraph" w:customStyle="1" w:styleId="99">
    <w:name w:val="列出段落1"/>
    <w:basedOn w:val="1"/>
    <w:autoRedefine/>
    <w:qFormat/>
    <w:uiPriority w:val="34"/>
    <w:pPr>
      <w:widowControl/>
      <w:spacing w:line="360" w:lineRule="auto"/>
      <w:ind w:firstLine="420" w:firstLineChars="200"/>
    </w:pPr>
    <w:rPr>
      <w:rFonts w:ascii="Calibri" w:hAnsi="Calibri"/>
      <w:kern w:val="0"/>
      <w:sz w:val="24"/>
    </w:rPr>
  </w:style>
  <w:style w:type="paragraph" w:customStyle="1" w:styleId="100">
    <w:name w:val="样式 首行缩进:  0 厘米 行距: 单倍行距 Char"/>
    <w:basedOn w:val="1"/>
    <w:autoRedefine/>
    <w:qFormat/>
    <w:uiPriority w:val="0"/>
    <w:pPr>
      <w:ind w:firstLine="200" w:firstLineChars="200"/>
    </w:pPr>
    <w:rPr>
      <w:sz w:val="24"/>
      <w:szCs w:val="21"/>
    </w:rPr>
  </w:style>
  <w:style w:type="paragraph" w:customStyle="1" w:styleId="101">
    <w:name w:val="2级列项"/>
    <w:basedOn w:val="98"/>
    <w:autoRedefine/>
    <w:qFormat/>
    <w:uiPriority w:val="0"/>
    <w:pPr>
      <w:numPr>
        <w:ilvl w:val="1"/>
        <w:numId w:val="5"/>
      </w:numPr>
    </w:pPr>
  </w:style>
  <w:style w:type="paragraph" w:customStyle="1" w:styleId="102">
    <w:name w:val="默认段落字体 Para Char Char Char Char"/>
    <w:basedOn w:val="1"/>
    <w:autoRedefine/>
    <w:qFormat/>
    <w:uiPriority w:val="0"/>
    <w:pPr>
      <w:ind w:firstLine="200" w:firstLineChars="200"/>
    </w:pPr>
    <w:rPr>
      <w:sz w:val="24"/>
    </w:rPr>
  </w:style>
  <w:style w:type="paragraph" w:customStyle="1" w:styleId="103">
    <w:name w:val="目录 91"/>
    <w:basedOn w:val="1"/>
    <w:next w:val="1"/>
    <w:autoRedefine/>
    <w:semiHidden/>
    <w:qFormat/>
    <w:uiPriority w:val="0"/>
    <w:pPr>
      <w:ind w:left="1680"/>
      <w:jc w:val="left"/>
    </w:pPr>
    <w:rPr>
      <w:sz w:val="18"/>
      <w:szCs w:val="18"/>
    </w:rPr>
  </w:style>
  <w:style w:type="paragraph" w:customStyle="1" w:styleId="104">
    <w:name w:val="目录 51"/>
    <w:basedOn w:val="1"/>
    <w:next w:val="1"/>
    <w:autoRedefine/>
    <w:semiHidden/>
    <w:qFormat/>
    <w:uiPriority w:val="0"/>
    <w:pPr>
      <w:ind w:left="840"/>
      <w:jc w:val="left"/>
    </w:pPr>
    <w:rPr>
      <w:sz w:val="18"/>
      <w:szCs w:val="18"/>
    </w:rPr>
  </w:style>
  <w:style w:type="paragraph" w:customStyle="1" w:styleId="105">
    <w:name w:val="封面二级标题文字"/>
    <w:basedOn w:val="59"/>
    <w:autoRedefine/>
    <w:semiHidden/>
    <w:qFormat/>
    <w:uiPriority w:val="0"/>
    <w:pPr>
      <w:ind w:firstLine="0" w:firstLineChars="0"/>
      <w:jc w:val="center"/>
    </w:pPr>
    <w:rPr>
      <w:rFonts w:ascii="黑体" w:eastAsia="黑体"/>
      <w:b/>
      <w:sz w:val="44"/>
      <w:szCs w:val="44"/>
    </w:rPr>
  </w:style>
  <w:style w:type="paragraph" w:customStyle="1" w:styleId="106">
    <w:name w:val="三级无标题条"/>
    <w:basedOn w:val="1"/>
    <w:autoRedefine/>
    <w:qFormat/>
    <w:uiPriority w:val="0"/>
    <w:pPr>
      <w:numPr>
        <w:ilvl w:val="4"/>
        <w:numId w:val="4"/>
      </w:numPr>
    </w:pPr>
    <w:rPr>
      <w:b/>
      <w:szCs w:val="20"/>
    </w:rPr>
  </w:style>
  <w:style w:type="paragraph" w:customStyle="1" w:styleId="107">
    <w:name w:val="版本记录标题文字"/>
    <w:basedOn w:val="1"/>
    <w:autoRedefine/>
    <w:semiHidden/>
    <w:qFormat/>
    <w:uiPriority w:val="0"/>
    <w:pPr>
      <w:spacing w:line="480" w:lineRule="exact"/>
    </w:pPr>
    <w:rPr>
      <w:sz w:val="24"/>
    </w:rPr>
  </w:style>
  <w:style w:type="paragraph" w:customStyle="1" w:styleId="108">
    <w:name w:val="封面一级标题文字"/>
    <w:basedOn w:val="59"/>
    <w:autoRedefine/>
    <w:semiHidden/>
    <w:qFormat/>
    <w:uiPriority w:val="0"/>
    <w:pPr>
      <w:spacing w:line="640" w:lineRule="exact"/>
      <w:ind w:firstLine="0" w:firstLineChars="0"/>
      <w:jc w:val="center"/>
    </w:pPr>
    <w:rPr>
      <w:rFonts w:ascii="黑体" w:hAnsi="黑体" w:eastAsia="黑体"/>
      <w:b/>
      <w:bCs/>
      <w:sz w:val="52"/>
    </w:rPr>
  </w:style>
  <w:style w:type="paragraph" w:customStyle="1" w:styleId="109">
    <w:name w:val="目录 81"/>
    <w:basedOn w:val="1"/>
    <w:next w:val="1"/>
    <w:autoRedefine/>
    <w:semiHidden/>
    <w:qFormat/>
    <w:uiPriority w:val="0"/>
    <w:pPr>
      <w:ind w:left="1470"/>
      <w:jc w:val="left"/>
    </w:pPr>
    <w:rPr>
      <w:sz w:val="18"/>
      <w:szCs w:val="18"/>
    </w:rPr>
  </w:style>
  <w:style w:type="paragraph" w:customStyle="1" w:styleId="110">
    <w:name w:val="四级无标题条"/>
    <w:basedOn w:val="1"/>
    <w:autoRedefine/>
    <w:qFormat/>
    <w:uiPriority w:val="0"/>
    <w:pPr>
      <w:numPr>
        <w:ilvl w:val="5"/>
        <w:numId w:val="4"/>
      </w:numPr>
    </w:pPr>
    <w:rPr>
      <w:rFonts w:eastAsia="黑体"/>
      <w:b/>
      <w:szCs w:val="20"/>
    </w:rPr>
  </w:style>
  <w:style w:type="paragraph" w:customStyle="1" w:styleId="111">
    <w:name w:val="表格文字样式"/>
    <w:basedOn w:val="59"/>
    <w:autoRedefine/>
    <w:qFormat/>
    <w:uiPriority w:val="0"/>
    <w:pPr>
      <w:ind w:firstLine="0" w:firstLineChars="0"/>
    </w:pPr>
    <w:rPr>
      <w:sz w:val="21"/>
      <w:szCs w:val="21"/>
    </w:rPr>
  </w:style>
  <w:style w:type="paragraph" w:customStyle="1" w:styleId="112">
    <w:name w:val="目录 41"/>
    <w:basedOn w:val="1"/>
    <w:next w:val="1"/>
    <w:autoRedefine/>
    <w:semiHidden/>
    <w:qFormat/>
    <w:uiPriority w:val="0"/>
    <w:pPr>
      <w:ind w:left="630"/>
      <w:jc w:val="left"/>
    </w:pPr>
    <w:rPr>
      <w:sz w:val="18"/>
      <w:szCs w:val="18"/>
    </w:rPr>
  </w:style>
  <w:style w:type="paragraph" w:customStyle="1" w:styleId="113">
    <w:name w:val="样式 正文缩进正文（首行缩进两字）四号特点标题4表正文正文非缩进缩进ALT+Z段1正文不缩进特点 Char..."/>
    <w:basedOn w:val="11"/>
    <w:autoRedefine/>
    <w:qFormat/>
    <w:uiPriority w:val="0"/>
    <w:pPr>
      <w:spacing w:line="360" w:lineRule="auto"/>
      <w:ind w:firstLine="480" w:firstLineChars="200"/>
    </w:pPr>
    <w:rPr>
      <w:rFonts w:ascii="宋体" w:hAnsi="宋体"/>
      <w:lang w:val="en-US" w:eastAsia="zh-CN"/>
    </w:rPr>
  </w:style>
  <w:style w:type="paragraph" w:customStyle="1" w:styleId="114">
    <w:name w:val="_Style 88"/>
    <w:basedOn w:val="1"/>
    <w:next w:val="75"/>
    <w:autoRedefine/>
    <w:qFormat/>
    <w:uiPriority w:val="99"/>
    <w:pPr>
      <w:ind w:firstLine="420" w:firstLineChars="200"/>
    </w:pPr>
    <w:rPr>
      <w:rFonts w:ascii="Calibri" w:hAnsi="Calibri"/>
      <w:sz w:val="28"/>
      <w:szCs w:val="28"/>
    </w:rPr>
  </w:style>
  <w:style w:type="paragraph" w:customStyle="1" w:styleId="115">
    <w:name w:val="默认段落字体 Para Char Char Char1 Char"/>
    <w:basedOn w:val="1"/>
    <w:autoRedefine/>
    <w:qFormat/>
    <w:uiPriority w:val="0"/>
    <w:pPr>
      <w:ind w:firstLine="200" w:firstLineChars="200"/>
    </w:pPr>
    <w:rPr>
      <w:sz w:val="24"/>
    </w:rPr>
  </w:style>
  <w:style w:type="paragraph" w:customStyle="1" w:styleId="116">
    <w:name w:val="样式 Arial 首行缩进:  2 字符"/>
    <w:basedOn w:val="1"/>
    <w:autoRedefine/>
    <w:qFormat/>
    <w:uiPriority w:val="0"/>
    <w:pPr>
      <w:ind w:firstLine="403" w:firstLineChars="200"/>
    </w:pPr>
    <w:rPr>
      <w:rFonts w:cs="华文新魏"/>
      <w:sz w:val="24"/>
      <w:szCs w:val="21"/>
    </w:rPr>
  </w:style>
  <w:style w:type="paragraph" w:customStyle="1" w:styleId="117">
    <w:name w:val="Char"/>
    <w:basedOn w:val="1"/>
    <w:autoRedefine/>
    <w:qFormat/>
    <w:uiPriority w:val="0"/>
    <w:pPr>
      <w:spacing w:line="240" w:lineRule="atLeast"/>
      <w:ind w:left="420" w:firstLine="420"/>
    </w:pPr>
    <w:rPr>
      <w:kern w:val="0"/>
      <w:szCs w:val="21"/>
    </w:rPr>
  </w:style>
  <w:style w:type="paragraph" w:customStyle="1" w:styleId="118">
    <w:name w:val="图名/表名/表头样式"/>
    <w:basedOn w:val="59"/>
    <w:autoRedefine/>
    <w:qFormat/>
    <w:uiPriority w:val="0"/>
    <w:pPr>
      <w:ind w:firstLine="0" w:firstLineChars="0"/>
      <w:jc w:val="center"/>
    </w:pPr>
    <w:rPr>
      <w:b/>
      <w:sz w:val="21"/>
      <w:szCs w:val="21"/>
    </w:rPr>
  </w:style>
  <w:style w:type="paragraph" w:customStyle="1" w:styleId="119">
    <w:name w:val="目录 31"/>
    <w:basedOn w:val="1"/>
    <w:next w:val="1"/>
    <w:autoRedefine/>
    <w:qFormat/>
    <w:uiPriority w:val="39"/>
    <w:pPr>
      <w:ind w:left="420"/>
      <w:jc w:val="left"/>
    </w:pPr>
    <w:rPr>
      <w:i/>
      <w:iCs/>
      <w:sz w:val="20"/>
      <w:szCs w:val="20"/>
    </w:rPr>
  </w:style>
  <w:style w:type="paragraph" w:customStyle="1" w:styleId="120">
    <w:name w:val="签名页文字"/>
    <w:basedOn w:val="59"/>
    <w:autoRedefine/>
    <w:semiHidden/>
    <w:qFormat/>
    <w:uiPriority w:val="0"/>
    <w:pPr>
      <w:spacing w:line="600" w:lineRule="exact"/>
      <w:ind w:left="1100" w:leftChars="1100" w:firstLine="0" w:firstLineChars="0"/>
    </w:pPr>
    <w:rPr>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gedi</Company>
  <Pages>24</Pages>
  <Words>2074</Words>
  <Characters>11823</Characters>
  <Lines>98</Lines>
  <Paragraphs>27</Paragraphs>
  <TotalTime>75</TotalTime>
  <ScaleCrop>false</ScaleCrop>
  <LinksUpToDate>false</LinksUpToDate>
  <CharactersWithSpaces>13870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2019-10-14T09:14:00Z</dcterms:created>
  <dc:creator>刘通</dc:creator>
  <cp:lastModifiedBy>Makigumo</cp:lastModifiedBy>
  <cp:lastPrinted>2011-09-29T10:39:00Z</cp:lastPrinted>
  <dcterms:modified xsi:type="dcterms:W3CDTF">2024-04-03T01:58:19Z</dcterms:modified>
  <dc:title>海底电缆在线监测</dc:title>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2052-12.1.0.16417</vt:lpwstr>
  </property>
  <property fmtid="{D5CDD505-2E9C-101B-9397-08002B2CF9AE}" pid="4" name="ICV">
    <vt:lpwstr>EB3128EA0370443682E8998B2602E299_13</vt:lpwstr>
  </property>
</Properties>
</file>