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ascii="黑体" w:hAnsi="黑体" w:eastAsia="黑体"/>
          <w:b/>
          <w:bCs/>
          <w:sz w:val="44"/>
          <w:szCs w:val="44"/>
          <w:lang w:val="en-US" w:eastAsia="zh-CN"/>
        </w:rPr>
      </w:pPr>
      <w:bookmarkStart w:id="0" w:name="_Toc310264708"/>
      <w:bookmarkStart w:id="1" w:name="_Toc308482012"/>
      <w:bookmarkStart w:id="2" w:name="_Toc300450049"/>
      <w:bookmarkStart w:id="3" w:name="_Toc300449922"/>
      <w:bookmarkStart w:id="4" w:name="_Toc300449853"/>
      <w:r>
        <w:rPr>
          <w:rFonts w:hint="eastAsia" w:ascii="黑体" w:hAnsi="黑体" w:eastAsia="黑体"/>
          <w:b/>
          <w:bCs/>
          <w:sz w:val="44"/>
          <w:szCs w:val="44"/>
          <w:lang w:val="en-US" w:eastAsia="zh-CN"/>
        </w:rPr>
        <w:t>柳州鹿寨供电局2024年电梯维保服务项目   服务要求</w:t>
      </w:r>
    </w:p>
    <w:p>
      <w:pPr>
        <w:pStyle w:val="5"/>
        <w:rPr>
          <w:rFonts w:hint="eastAsia"/>
        </w:rPr>
      </w:pPr>
    </w:p>
    <w:bookmarkEnd w:id="0"/>
    <w:bookmarkEnd w:id="1"/>
    <w:bookmarkEnd w:id="2"/>
    <w:bookmarkEnd w:id="3"/>
    <w:bookmarkEnd w:id="4"/>
    <w:p>
      <w:pPr>
        <w:spacing w:line="360" w:lineRule="auto"/>
        <w:rPr>
          <w:rFonts w:hint="eastAsia" w:ascii="宋体" w:hAnsi="宋体" w:eastAsia="宋体" w:cs="宋体"/>
          <w:b/>
          <w:kern w:val="0"/>
          <w:sz w:val="28"/>
          <w:szCs w:val="28"/>
        </w:rPr>
      </w:pPr>
      <w:r>
        <w:rPr>
          <w:rFonts w:hint="eastAsia" w:ascii="宋体" w:hAnsi="宋体" w:eastAsia="宋体" w:cs="宋体"/>
          <w:b/>
          <w:kern w:val="0"/>
          <w:sz w:val="28"/>
          <w:szCs w:val="28"/>
        </w:rPr>
        <w:t>1.项目概况</w:t>
      </w:r>
    </w:p>
    <w:p>
      <w:pPr>
        <w:spacing w:line="360" w:lineRule="auto"/>
        <w:ind w:firstLine="562" w:firstLineChars="200"/>
        <w:rPr>
          <w:rFonts w:hint="eastAsia" w:ascii="宋体" w:hAnsi="宋体" w:eastAsia="宋体" w:cs="宋体"/>
          <w:kern w:val="0"/>
          <w:sz w:val="28"/>
          <w:szCs w:val="28"/>
        </w:rPr>
      </w:pPr>
      <w:r>
        <w:rPr>
          <w:rFonts w:hint="eastAsia" w:ascii="宋体" w:hAnsi="宋体" w:eastAsia="宋体" w:cs="宋体"/>
          <w:b/>
          <w:kern w:val="0"/>
          <w:sz w:val="28"/>
          <w:szCs w:val="28"/>
        </w:rPr>
        <w:t>1.1项目名称</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柳州鹿寨供电局2024年电梯维保服务项目</w:t>
      </w:r>
    </w:p>
    <w:p>
      <w:pPr>
        <w:spacing w:line="360" w:lineRule="auto"/>
        <w:ind w:firstLine="562" w:firstLineChars="200"/>
        <w:rPr>
          <w:rFonts w:hint="eastAsia" w:ascii="宋体" w:hAnsi="宋体" w:eastAsia="宋体" w:cs="宋体"/>
          <w:kern w:val="0"/>
          <w:sz w:val="28"/>
          <w:szCs w:val="28"/>
          <w:highlight w:val="yellow"/>
          <w:lang w:val="en-US" w:eastAsia="zh-CN"/>
        </w:rPr>
      </w:pPr>
      <w:r>
        <w:rPr>
          <w:rFonts w:hint="eastAsia" w:ascii="宋体" w:hAnsi="宋体" w:eastAsia="宋体" w:cs="宋体"/>
          <w:b/>
          <w:kern w:val="0"/>
          <w:sz w:val="28"/>
          <w:szCs w:val="28"/>
          <w:highlight w:val="none"/>
        </w:rPr>
        <w:t>1.2项目地点</w:t>
      </w:r>
      <w:r>
        <w:rPr>
          <w:rFonts w:hint="eastAsia" w:ascii="宋体" w:hAnsi="宋体" w:eastAsia="宋体" w:cs="宋体"/>
          <w:kern w:val="0"/>
          <w:sz w:val="28"/>
          <w:szCs w:val="28"/>
          <w:highlight w:val="none"/>
        </w:rPr>
        <w:t>：</w:t>
      </w:r>
      <w:r>
        <w:rPr>
          <w:rFonts w:hint="eastAsia" w:ascii="宋体" w:hAnsi="宋体" w:eastAsia="宋体" w:cs="宋体"/>
          <w:kern w:val="0"/>
          <w:sz w:val="28"/>
          <w:szCs w:val="28"/>
          <w:highlight w:val="none"/>
          <w:lang w:val="en-US" w:eastAsia="zh-CN"/>
        </w:rPr>
        <w:t>柳州</w:t>
      </w:r>
      <w:r>
        <w:rPr>
          <w:rFonts w:hint="eastAsia" w:ascii="宋体" w:hAnsi="宋体" w:cs="宋体"/>
          <w:kern w:val="0"/>
          <w:sz w:val="28"/>
          <w:szCs w:val="28"/>
          <w:highlight w:val="none"/>
          <w:lang w:val="en-US" w:eastAsia="zh-CN"/>
        </w:rPr>
        <w:t>鹿寨</w:t>
      </w:r>
      <w:r>
        <w:rPr>
          <w:rFonts w:hint="eastAsia" w:ascii="宋体" w:hAnsi="宋体" w:eastAsia="宋体" w:cs="宋体"/>
          <w:kern w:val="0"/>
          <w:sz w:val="28"/>
          <w:szCs w:val="28"/>
          <w:lang w:val="en-US" w:eastAsia="zh-CN"/>
        </w:rPr>
        <w:t>供电</w:t>
      </w:r>
      <w:r>
        <w:rPr>
          <w:rFonts w:hint="eastAsia" w:ascii="宋体" w:hAnsi="宋体" w:cs="宋体"/>
          <w:kern w:val="0"/>
          <w:sz w:val="28"/>
          <w:szCs w:val="28"/>
          <w:lang w:val="en-US" w:eastAsia="zh-CN"/>
        </w:rPr>
        <w:t>局调度综合楼、寨沙供电所</w:t>
      </w:r>
    </w:p>
    <w:p>
      <w:pPr>
        <w:spacing w:line="360" w:lineRule="auto"/>
        <w:ind w:firstLine="562" w:firstLineChars="200"/>
        <w:rPr>
          <w:rFonts w:hint="eastAsia" w:ascii="宋体" w:hAnsi="宋体" w:eastAsia="宋体" w:cs="宋体"/>
          <w:kern w:val="0"/>
          <w:sz w:val="28"/>
          <w:szCs w:val="28"/>
          <w:lang w:eastAsia="zh-CN"/>
        </w:rPr>
      </w:pPr>
      <w:r>
        <w:rPr>
          <w:rFonts w:hint="eastAsia" w:ascii="宋体" w:hAnsi="宋体" w:eastAsia="宋体" w:cs="宋体"/>
          <w:b/>
          <w:kern w:val="0"/>
          <w:sz w:val="28"/>
          <w:szCs w:val="28"/>
        </w:rPr>
        <w:t>1.3维护保养范围</w:t>
      </w:r>
      <w:r>
        <w:rPr>
          <w:rFonts w:hint="eastAsia" w:ascii="宋体" w:hAnsi="宋体" w:eastAsia="宋体" w:cs="宋体"/>
          <w:b/>
          <w:kern w:val="0"/>
          <w:sz w:val="28"/>
          <w:szCs w:val="28"/>
          <w:lang w:eastAsia="zh-CN"/>
        </w:rPr>
        <w:t>（包括但不限于）</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为</w:t>
      </w:r>
      <w:r>
        <w:rPr>
          <w:rFonts w:hint="eastAsia" w:ascii="宋体" w:hAnsi="宋体" w:eastAsia="宋体" w:cs="宋体"/>
          <w:kern w:val="0"/>
          <w:sz w:val="28"/>
          <w:szCs w:val="28"/>
          <w:lang w:val="en-US" w:eastAsia="zh-CN"/>
        </w:rPr>
        <w:t>柳州</w:t>
      </w:r>
      <w:r>
        <w:rPr>
          <w:rFonts w:hint="eastAsia" w:ascii="宋体" w:hAnsi="宋体" w:cs="宋体"/>
          <w:kern w:val="0"/>
          <w:sz w:val="28"/>
          <w:szCs w:val="28"/>
          <w:lang w:val="en-US" w:eastAsia="zh-CN"/>
        </w:rPr>
        <w:t>鹿寨</w:t>
      </w:r>
      <w:r>
        <w:rPr>
          <w:rFonts w:hint="eastAsia" w:ascii="宋体" w:hAnsi="宋体" w:eastAsia="宋体" w:cs="宋体"/>
          <w:kern w:val="0"/>
          <w:sz w:val="28"/>
          <w:szCs w:val="28"/>
          <w:lang w:val="en-US" w:eastAsia="zh-CN"/>
        </w:rPr>
        <w:t>供电</w:t>
      </w:r>
      <w:r>
        <w:rPr>
          <w:rFonts w:hint="eastAsia" w:ascii="宋体" w:hAnsi="宋体" w:cs="宋体"/>
          <w:kern w:val="0"/>
          <w:sz w:val="28"/>
          <w:szCs w:val="28"/>
          <w:lang w:val="en-US" w:eastAsia="zh-CN"/>
        </w:rPr>
        <w:t>局</w:t>
      </w:r>
      <w:r>
        <w:rPr>
          <w:rFonts w:hint="eastAsia" w:ascii="宋体" w:hAnsi="宋体" w:eastAsia="宋体" w:cs="宋体"/>
          <w:kern w:val="0"/>
          <w:sz w:val="28"/>
          <w:szCs w:val="28"/>
          <w:lang w:val="en-US" w:eastAsia="zh-CN"/>
        </w:rPr>
        <w:t>提供电梯机</w:t>
      </w:r>
      <w:r>
        <w:rPr>
          <w:rFonts w:hint="eastAsia" w:ascii="宋体" w:hAnsi="宋体" w:eastAsia="宋体" w:cs="宋体"/>
          <w:kern w:val="0"/>
          <w:sz w:val="28"/>
          <w:szCs w:val="28"/>
        </w:rPr>
        <w:t>械部分、控制部分、电源部分和照明部分进行维护保养，对电梯附属设施防护、检查，隐患排除，电梯井清理及相关安全评估</w:t>
      </w:r>
      <w:r>
        <w:rPr>
          <w:rFonts w:hint="eastAsia" w:ascii="宋体" w:hAnsi="宋体" w:eastAsia="宋体" w:cs="宋体"/>
          <w:kern w:val="0"/>
          <w:sz w:val="28"/>
          <w:szCs w:val="28"/>
          <w:lang w:eastAsia="zh-CN"/>
        </w:rPr>
        <w:t>，以及损坏配件更换等服务。</w:t>
      </w:r>
    </w:p>
    <w:p>
      <w:pPr>
        <w:tabs>
          <w:tab w:val="left" w:pos="142"/>
          <w:tab w:val="left" w:pos="284"/>
        </w:tabs>
        <w:spacing w:line="360" w:lineRule="auto"/>
        <w:ind w:firstLine="420" w:firstLineChars="150"/>
        <w:rPr>
          <w:rFonts w:hint="eastAsia" w:ascii="宋体" w:hAnsi="宋体" w:eastAsia="宋体" w:cs="宋体"/>
          <w:sz w:val="28"/>
          <w:szCs w:val="28"/>
          <w:lang w:eastAsia="zh-CN"/>
        </w:rPr>
      </w:pPr>
      <w:r>
        <w:rPr>
          <w:rFonts w:hint="eastAsia" w:ascii="宋体" w:hAnsi="宋体" w:eastAsia="宋体" w:cs="宋体"/>
          <w:kern w:val="0"/>
          <w:sz w:val="28"/>
          <w:szCs w:val="28"/>
        </w:rPr>
        <w:t>1.3.1</w:t>
      </w:r>
      <w:r>
        <w:rPr>
          <w:rFonts w:hint="eastAsia" w:ascii="宋体" w:hAnsi="宋体" w:eastAsia="宋体" w:cs="宋体"/>
          <w:sz w:val="28"/>
          <w:szCs w:val="28"/>
        </w:rPr>
        <w:t>电梯</w:t>
      </w:r>
      <w:r>
        <w:rPr>
          <w:rFonts w:hint="eastAsia" w:ascii="宋体" w:hAnsi="宋体" w:cs="宋体"/>
          <w:sz w:val="28"/>
          <w:szCs w:val="28"/>
          <w:lang w:eastAsia="zh-CN"/>
        </w:rPr>
        <w:t>明细表</w:t>
      </w:r>
    </w:p>
    <w:tbl>
      <w:tblPr>
        <w:tblStyle w:val="6"/>
        <w:tblpPr w:leftFromText="180" w:rightFromText="180" w:vertAnchor="text" w:horzAnchor="page" w:tblpX="1566" w:tblpY="61"/>
        <w:tblOverlap w:val="never"/>
        <w:tblW w:w="9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2333"/>
        <w:gridCol w:w="783"/>
        <w:gridCol w:w="1234"/>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223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产品名称</w:t>
            </w:r>
          </w:p>
        </w:tc>
        <w:tc>
          <w:tcPr>
            <w:tcW w:w="233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型号</w:t>
            </w:r>
          </w:p>
        </w:tc>
        <w:tc>
          <w:tcPr>
            <w:tcW w:w="78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台数</w:t>
            </w:r>
          </w:p>
        </w:tc>
        <w:tc>
          <w:tcPr>
            <w:tcW w:w="12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层站</w:t>
            </w:r>
          </w:p>
        </w:tc>
        <w:tc>
          <w:tcPr>
            <w:tcW w:w="2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安装地点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005"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柳州鹿寨供电局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  </w:t>
            </w:r>
            <w:r>
              <w:rPr>
                <w:rFonts w:hint="eastAsia" w:ascii="宋体" w:hAnsi="宋体" w:cs="宋体"/>
                <w:color w:val="000000"/>
                <w:kern w:val="0"/>
                <w:szCs w:val="21"/>
                <w:highlight w:val="none"/>
                <w:lang w:bidi="ar"/>
              </w:rPr>
              <w:t>曳引驱动乘客电梯</w:t>
            </w:r>
          </w:p>
        </w:tc>
        <w:tc>
          <w:tcPr>
            <w:tcW w:w="233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color w:val="FF0000"/>
                <w:kern w:val="0"/>
                <w:sz w:val="21"/>
                <w:szCs w:val="21"/>
                <w:highlight w:val="none"/>
                <w:u w:val="none"/>
                <w:lang w:val="en-US" w:eastAsia="zh-CN" w:bidi="ar"/>
              </w:rPr>
            </w:pPr>
            <w:r>
              <w:rPr>
                <w:rFonts w:hint="eastAsia" w:ascii="宋体" w:hAnsi="宋体" w:eastAsia="宋体" w:cs="宋体"/>
                <w:sz w:val="21"/>
                <w:szCs w:val="21"/>
                <w:lang w:val="en-US" w:eastAsia="zh-CN"/>
              </w:rPr>
              <w:t>深圳富士</w:t>
            </w:r>
            <w:r>
              <w:rPr>
                <w:rFonts w:hint="eastAsia" w:ascii="宋体" w:hAnsi="宋体" w:eastAsia="宋体" w:cs="宋体"/>
                <w:i w:val="0"/>
                <w:color w:val="auto"/>
                <w:kern w:val="0"/>
                <w:sz w:val="21"/>
                <w:szCs w:val="21"/>
                <w:highlight w:val="none"/>
                <w:u w:val="none"/>
                <w:lang w:val="en-US" w:eastAsia="zh-CN" w:bidi="ar"/>
              </w:rPr>
              <w:t>FUJI-K1000/1.5</w:t>
            </w:r>
          </w:p>
        </w:tc>
        <w:tc>
          <w:tcPr>
            <w:tcW w:w="7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3</w:t>
            </w:r>
            <w:bookmarkStart w:id="5" w:name="_GoBack"/>
            <w:bookmarkEnd w:id="5"/>
            <w:r>
              <w:rPr>
                <w:rFonts w:hint="eastAsia" w:ascii="宋体" w:hAnsi="宋体" w:eastAsia="宋体" w:cs="宋体"/>
                <w:sz w:val="21"/>
                <w:szCs w:val="21"/>
                <w:highlight w:val="none"/>
                <w:lang w:val="en-US" w:eastAsia="zh-CN"/>
              </w:rPr>
              <w:t>层</w:t>
            </w:r>
          </w:p>
        </w:tc>
        <w:tc>
          <w:tcPr>
            <w:tcW w:w="24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鹿寨县飞鹿大道62号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 xml:space="preserve">  </w:t>
            </w:r>
            <w:r>
              <w:rPr>
                <w:rFonts w:hint="eastAsia" w:ascii="宋体" w:hAnsi="宋体" w:cs="宋体"/>
                <w:color w:val="000000"/>
                <w:kern w:val="0"/>
                <w:szCs w:val="21"/>
                <w:highlight w:val="none"/>
                <w:lang w:bidi="ar"/>
              </w:rPr>
              <w:t>曳引驱动乘客电梯</w:t>
            </w:r>
          </w:p>
        </w:tc>
        <w:tc>
          <w:tcPr>
            <w:tcW w:w="233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color w:val="FF0000"/>
                <w:kern w:val="0"/>
                <w:sz w:val="21"/>
                <w:szCs w:val="21"/>
                <w:highlight w:val="none"/>
                <w:u w:val="none"/>
                <w:lang w:val="en-US" w:eastAsia="zh-CN" w:bidi="ar"/>
              </w:rPr>
            </w:pPr>
            <w:r>
              <w:rPr>
                <w:rFonts w:ascii="宋体" w:hAnsi="宋体" w:cs="宋体"/>
                <w:szCs w:val="21"/>
                <w:highlight w:val="none"/>
              </w:rPr>
              <w:t>沈阳远大</w:t>
            </w:r>
            <w:r>
              <w:rPr>
                <w:rFonts w:hint="eastAsia" w:ascii="宋体" w:hAnsi="宋体" w:cs="宋体"/>
                <w:szCs w:val="21"/>
                <w:highlight w:val="none"/>
              </w:rPr>
              <w:t>CHOI-Ⅲ</w:t>
            </w:r>
          </w:p>
        </w:tc>
        <w:tc>
          <w:tcPr>
            <w:tcW w:w="7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1</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5层</w:t>
            </w:r>
          </w:p>
        </w:tc>
        <w:tc>
          <w:tcPr>
            <w:tcW w:w="24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cs="宋体"/>
                <w:sz w:val="21"/>
                <w:szCs w:val="21"/>
                <w:lang w:val="en-US" w:eastAsia="zh-CN"/>
              </w:rPr>
              <w:t>寨沙镇寨沙村拉甫屯寨沙供电所</w:t>
            </w:r>
          </w:p>
        </w:tc>
      </w:tr>
    </w:tbl>
    <w:p>
      <w:pPr>
        <w:tabs>
          <w:tab w:val="left" w:pos="142"/>
          <w:tab w:val="left" w:pos="284"/>
        </w:tabs>
        <w:spacing w:line="360" w:lineRule="auto"/>
        <w:ind w:firstLine="420" w:firstLineChars="150"/>
        <w:rPr>
          <w:rFonts w:hint="eastAsia" w:ascii="宋体" w:hAnsi="宋体" w:eastAsia="宋体" w:cs="宋体"/>
          <w:sz w:val="28"/>
          <w:szCs w:val="28"/>
        </w:rPr>
      </w:pPr>
      <w:r>
        <w:rPr>
          <w:rFonts w:hint="eastAsia" w:ascii="宋体" w:hAnsi="宋体" w:eastAsia="宋体" w:cs="宋体"/>
          <w:sz w:val="28"/>
          <w:szCs w:val="28"/>
        </w:rPr>
        <w:t xml:space="preserve">  </w:t>
      </w:r>
    </w:p>
    <w:p>
      <w:pPr>
        <w:spacing w:line="360" w:lineRule="auto"/>
        <w:ind w:firstLine="562" w:firstLineChars="200"/>
        <w:rPr>
          <w:rFonts w:hint="eastAsia" w:ascii="宋体" w:hAnsi="宋体" w:eastAsia="宋体" w:cs="宋体"/>
          <w:b/>
          <w:kern w:val="0"/>
          <w:sz w:val="28"/>
          <w:szCs w:val="28"/>
          <w:lang w:eastAsia="zh-CN"/>
        </w:rPr>
      </w:pPr>
      <w:r>
        <w:rPr>
          <w:rFonts w:hint="eastAsia" w:ascii="宋体" w:hAnsi="宋体" w:eastAsia="宋体" w:cs="宋体"/>
          <w:b/>
          <w:kern w:val="0"/>
          <w:sz w:val="28"/>
          <w:szCs w:val="28"/>
        </w:rPr>
        <w:t>1.3维保</w:t>
      </w:r>
      <w:r>
        <w:rPr>
          <w:rFonts w:hint="eastAsia" w:ascii="宋体" w:hAnsi="宋体" w:eastAsia="宋体" w:cs="宋体"/>
          <w:b/>
          <w:kern w:val="0"/>
          <w:sz w:val="28"/>
          <w:szCs w:val="28"/>
          <w:lang w:eastAsia="zh-CN"/>
        </w:rPr>
        <w:t>服务期限</w:t>
      </w:r>
    </w:p>
    <w:tbl>
      <w:tblPr>
        <w:tblStyle w:val="6"/>
        <w:tblpPr w:leftFromText="180" w:rightFromText="180" w:vertAnchor="text" w:horzAnchor="page" w:tblpX="1566" w:tblpY="61"/>
        <w:tblOverlap w:val="never"/>
        <w:tblW w:w="9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39"/>
        <w:gridCol w:w="2700"/>
        <w:gridCol w:w="5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trPr>
        <w:tc>
          <w:tcPr>
            <w:tcW w:w="11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序号</w:t>
            </w:r>
          </w:p>
        </w:tc>
        <w:tc>
          <w:tcPr>
            <w:tcW w:w="2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单位</w:t>
            </w:r>
            <w:r>
              <w:rPr>
                <w:rFonts w:hint="eastAsia" w:ascii="宋体" w:hAnsi="宋体" w:eastAsia="宋体" w:cs="宋体"/>
                <w:sz w:val="21"/>
                <w:szCs w:val="21"/>
                <w:highlight w:val="none"/>
              </w:rPr>
              <w:t>名称</w:t>
            </w:r>
          </w:p>
        </w:tc>
        <w:tc>
          <w:tcPr>
            <w:tcW w:w="51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维保服务期限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1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1</w:t>
            </w:r>
          </w:p>
        </w:tc>
        <w:tc>
          <w:tcPr>
            <w:tcW w:w="2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柳州</w:t>
            </w:r>
            <w:r>
              <w:rPr>
                <w:rFonts w:hint="eastAsia" w:ascii="宋体" w:hAnsi="宋体" w:cs="宋体"/>
                <w:szCs w:val="21"/>
                <w:highlight w:val="none"/>
                <w:lang w:eastAsia="zh-CN"/>
              </w:rPr>
              <w:t>鹿寨</w:t>
            </w:r>
            <w:r>
              <w:rPr>
                <w:rFonts w:hint="eastAsia" w:ascii="宋体" w:hAnsi="宋体" w:cs="宋体"/>
                <w:szCs w:val="21"/>
                <w:highlight w:val="none"/>
              </w:rPr>
              <w:t>供电局</w:t>
            </w:r>
          </w:p>
        </w:tc>
        <w:tc>
          <w:tcPr>
            <w:tcW w:w="51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lang w:val="en-US" w:eastAsia="zh-CN"/>
              </w:rPr>
              <w:t>自</w:t>
            </w:r>
            <w:r>
              <w:rPr>
                <w:rFonts w:hint="eastAsia" w:ascii="宋体" w:hAnsi="宋体" w:cs="宋体"/>
                <w:sz w:val="21"/>
                <w:szCs w:val="21"/>
                <w:lang w:val="en-US" w:eastAsia="zh-CN"/>
              </w:rPr>
              <w:t>合同约定生效之日</w:t>
            </w:r>
            <w:r>
              <w:rPr>
                <w:rFonts w:hint="eastAsia" w:ascii="宋体" w:hAnsi="宋体" w:eastAsia="宋体" w:cs="宋体"/>
                <w:sz w:val="21"/>
                <w:szCs w:val="21"/>
                <w:lang w:val="en-US" w:eastAsia="zh-CN"/>
              </w:rPr>
              <w:t>起</w:t>
            </w:r>
            <w:r>
              <w:rPr>
                <w:rFonts w:hint="eastAsia" w:ascii="宋体" w:hAnsi="宋体" w:cs="宋体"/>
                <w:szCs w:val="21"/>
                <w:highlight w:val="none"/>
              </w:rPr>
              <w:t>至202</w:t>
            </w:r>
            <w:r>
              <w:rPr>
                <w:rFonts w:hint="eastAsia" w:ascii="宋体" w:hAnsi="宋体" w:cs="宋体"/>
                <w:szCs w:val="21"/>
                <w:highlight w:val="none"/>
                <w:lang w:val="en-US" w:eastAsia="zh-CN"/>
              </w:rPr>
              <w:t>4</w:t>
            </w:r>
            <w:r>
              <w:rPr>
                <w:rFonts w:hint="eastAsia" w:ascii="宋体" w:hAnsi="宋体" w:cs="宋体"/>
                <w:szCs w:val="21"/>
                <w:highlight w:val="none"/>
              </w:rPr>
              <w:t>年12月31日止</w:t>
            </w:r>
          </w:p>
        </w:tc>
      </w:tr>
    </w:tbl>
    <w:p>
      <w:pPr>
        <w:pStyle w:val="2"/>
        <w:rPr>
          <w:rFonts w:hint="eastAsia"/>
          <w:lang w:eastAsia="zh-CN"/>
        </w:rPr>
      </w:pPr>
    </w:p>
    <w:p>
      <w:pPr>
        <w:spacing w:line="360" w:lineRule="auto"/>
        <w:ind w:firstLine="562" w:firstLineChars="200"/>
        <w:rPr>
          <w:rFonts w:hint="eastAsia" w:ascii="宋体" w:hAnsi="宋体" w:eastAsia="宋体" w:cs="宋体"/>
          <w:b/>
          <w:sz w:val="28"/>
          <w:szCs w:val="28"/>
        </w:rPr>
      </w:pPr>
      <w:r>
        <w:rPr>
          <w:rFonts w:hint="eastAsia" w:ascii="宋体" w:hAnsi="宋体" w:eastAsia="宋体" w:cs="宋体"/>
          <w:b/>
          <w:kern w:val="0"/>
          <w:sz w:val="28"/>
          <w:szCs w:val="28"/>
        </w:rPr>
        <w:t>1.</w:t>
      </w:r>
      <w:r>
        <w:rPr>
          <w:rFonts w:hint="eastAsia" w:ascii="宋体" w:hAnsi="宋体" w:cs="宋体"/>
          <w:b/>
          <w:kern w:val="0"/>
          <w:sz w:val="28"/>
          <w:szCs w:val="28"/>
          <w:lang w:val="en-US" w:eastAsia="zh-CN"/>
        </w:rPr>
        <w:t>4</w:t>
      </w:r>
      <w:r>
        <w:rPr>
          <w:rFonts w:hint="eastAsia" w:ascii="宋体" w:hAnsi="宋体" w:eastAsia="宋体" w:cs="宋体"/>
          <w:b/>
          <w:sz w:val="28"/>
          <w:szCs w:val="28"/>
        </w:rPr>
        <w:t>电梯维护保养的质量标准和要求</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.1电梯维保单位（以下简称：维保单位）应当</w:t>
      </w:r>
      <w:r>
        <w:rPr>
          <w:rFonts w:hint="eastAsia" w:ascii="宋体" w:hAnsi="宋体" w:eastAsia="宋体" w:cs="宋体"/>
          <w:b/>
          <w:bCs/>
          <w:kern w:val="0"/>
          <w:sz w:val="28"/>
          <w:szCs w:val="28"/>
        </w:rPr>
        <w:t>具备</w:t>
      </w:r>
      <w:r>
        <w:rPr>
          <w:rFonts w:hint="eastAsia" w:ascii="宋体" w:hAnsi="宋体" w:cs="宋体"/>
          <w:b/>
          <w:bCs/>
          <w:kern w:val="0"/>
          <w:sz w:val="28"/>
          <w:szCs w:val="28"/>
          <w:lang w:eastAsia="zh-CN"/>
        </w:rPr>
        <w:t>真实有效的</w:t>
      </w:r>
      <w:r>
        <w:rPr>
          <w:rFonts w:hint="eastAsia" w:ascii="宋体" w:hAnsi="宋体" w:eastAsia="宋体" w:cs="宋体"/>
          <w:b/>
          <w:bCs/>
          <w:color w:val="auto"/>
          <w:sz w:val="28"/>
          <w:szCs w:val="28"/>
          <w:lang w:eastAsia="zh-CN"/>
        </w:rPr>
        <w:t>《特种设备生产许可证》电梯类（含修理）B级及以上资质，或《特种设备安装改造维修许可证》（电梯类B级及以上维修资质）</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配备足额的</w:t>
      </w:r>
      <w:r>
        <w:rPr>
          <w:rFonts w:hint="eastAsia" w:ascii="宋体" w:hAnsi="宋体" w:eastAsia="宋体" w:cs="宋体"/>
          <w:color w:val="auto"/>
          <w:sz w:val="28"/>
          <w:szCs w:val="28"/>
        </w:rPr>
        <w:t>专业</w:t>
      </w:r>
      <w:r>
        <w:rPr>
          <w:rFonts w:hint="eastAsia" w:ascii="宋体" w:hAnsi="宋体" w:eastAsia="宋体" w:cs="宋体"/>
          <w:color w:val="auto"/>
          <w:sz w:val="28"/>
          <w:szCs w:val="28"/>
          <w:lang w:val="en-US" w:eastAsia="zh-CN"/>
        </w:rPr>
        <w:t>维修</w:t>
      </w:r>
      <w:r>
        <w:rPr>
          <w:rFonts w:hint="eastAsia" w:ascii="宋体" w:hAnsi="宋体" w:eastAsia="宋体" w:cs="宋体"/>
          <w:color w:val="auto"/>
          <w:sz w:val="28"/>
          <w:szCs w:val="28"/>
        </w:rPr>
        <w:t>技术人员</w:t>
      </w:r>
      <w:r>
        <w:rPr>
          <w:rFonts w:hint="eastAsia" w:ascii="宋体" w:hAnsi="宋体" w:eastAsia="宋体" w:cs="宋体"/>
          <w:color w:val="auto"/>
          <w:sz w:val="28"/>
          <w:szCs w:val="28"/>
          <w:lang w:eastAsia="zh-CN"/>
        </w:rPr>
        <w:t>。本项目电梯维护保养工作不得转包、</w:t>
      </w:r>
      <w:r>
        <w:rPr>
          <w:rFonts w:hint="eastAsia" w:ascii="宋体" w:hAnsi="宋体" w:eastAsia="宋体" w:cs="宋体"/>
          <w:color w:val="auto"/>
          <w:sz w:val="28"/>
          <w:szCs w:val="28"/>
        </w:rPr>
        <w:t>违法</w:t>
      </w:r>
      <w:r>
        <w:rPr>
          <w:rFonts w:hint="eastAsia" w:ascii="宋体" w:hAnsi="宋体" w:eastAsia="宋体" w:cs="宋体"/>
          <w:color w:val="auto"/>
          <w:sz w:val="28"/>
          <w:szCs w:val="28"/>
          <w:lang w:eastAsia="zh-CN"/>
        </w:rPr>
        <w:t>分包和委托无专业技术资质人员实施。</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.2维保单位对电梯实施日常维护保养应符合国家最新相关法律、法规及国家有关电梯运行的技术性能标准和安全要求，并</w:t>
      </w:r>
      <w:r>
        <w:rPr>
          <w:rFonts w:hint="eastAsia" w:ascii="宋体" w:hAnsi="宋体" w:eastAsia="宋体" w:cs="宋体"/>
          <w:color w:val="auto"/>
          <w:sz w:val="28"/>
          <w:szCs w:val="28"/>
          <w:lang w:val="en-US" w:eastAsia="zh-CN"/>
        </w:rPr>
        <w:t>负责将电梯维修情况按相关规定书面告知特种设备安全监督管理部门。</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3维保单位应严格遵照电梯生产厂家随梯发来的《使用维护说明书》和规定的作业程序、作业项目及国家有关电梯运行的安全要求、技术性能指标，对电梯设备实施有计划的维护保养、检验、调校。安排具备电梯专业技术资质人员，</w:t>
      </w:r>
      <w:r>
        <w:rPr>
          <w:rFonts w:hint="eastAsia" w:ascii="宋体" w:hAnsi="宋体" w:eastAsia="宋体" w:cs="宋体"/>
          <w:color w:val="auto"/>
          <w:sz w:val="28"/>
          <w:szCs w:val="28"/>
        </w:rPr>
        <w:t>每月至少定期</w:t>
      </w:r>
      <w:r>
        <w:rPr>
          <w:rFonts w:hint="eastAsia" w:ascii="宋体" w:hAnsi="宋体" w:eastAsia="宋体" w:cs="宋体"/>
          <w:color w:val="auto"/>
          <w:sz w:val="28"/>
          <w:szCs w:val="28"/>
          <w:lang w:val="en-US" w:eastAsia="zh-CN"/>
        </w:rPr>
        <w:t>开展</w:t>
      </w:r>
      <w:r>
        <w:rPr>
          <w:rFonts w:hint="eastAsia" w:ascii="宋体" w:hAnsi="宋体" w:eastAsia="宋体" w:cs="宋体"/>
          <w:color w:val="auto"/>
          <w:sz w:val="28"/>
          <w:szCs w:val="28"/>
          <w:u w:val="single"/>
          <w:lang w:val="en-US" w:eastAsia="zh-CN"/>
        </w:rPr>
        <w:t>两</w:t>
      </w:r>
      <w:r>
        <w:rPr>
          <w:rFonts w:hint="eastAsia" w:ascii="宋体" w:hAnsi="宋体" w:eastAsia="宋体" w:cs="宋体"/>
          <w:color w:val="auto"/>
          <w:sz w:val="28"/>
          <w:szCs w:val="28"/>
        </w:rPr>
        <w:t>次例行保养，每次相隔不超过</w:t>
      </w:r>
      <w:r>
        <w:rPr>
          <w:rFonts w:hint="eastAsia" w:ascii="宋体" w:hAnsi="宋体" w:eastAsia="宋体" w:cs="宋体"/>
          <w:color w:val="auto"/>
          <w:sz w:val="28"/>
          <w:szCs w:val="28"/>
          <w:u w:val="none"/>
          <w:lang w:val="en-US" w:eastAsia="zh-CN"/>
        </w:rPr>
        <w:t>15</w:t>
      </w:r>
      <w:r>
        <w:rPr>
          <w:rFonts w:hint="eastAsia" w:ascii="宋体" w:hAnsi="宋体" w:eastAsia="宋体" w:cs="宋体"/>
          <w:color w:val="auto"/>
          <w:sz w:val="28"/>
          <w:szCs w:val="28"/>
        </w:rPr>
        <w:t>日，</w:t>
      </w:r>
      <w:r>
        <w:rPr>
          <w:rFonts w:hint="eastAsia" w:ascii="宋体" w:hAnsi="宋体" w:eastAsia="宋体" w:cs="宋体"/>
          <w:color w:val="auto"/>
          <w:sz w:val="28"/>
          <w:szCs w:val="28"/>
          <w:lang w:eastAsia="zh-CN"/>
        </w:rPr>
        <w:t>对电梯设备进行一次定期保养，定期检查所有安全装置，以保证电梯处于完好安全的使用状态，达到延长电梯使用寿命，并保证电梯在本项目年度内年检合格。特种设备检验费按广西壮族自治区特种设备检验检测收费标准执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维保单位应</w:t>
      </w:r>
      <w:r>
        <w:rPr>
          <w:rFonts w:hint="eastAsia" w:ascii="宋体" w:hAnsi="宋体" w:eastAsia="宋体" w:cs="宋体"/>
          <w:color w:val="auto"/>
          <w:sz w:val="28"/>
          <w:szCs w:val="28"/>
        </w:rPr>
        <w:t>提供24小时全天候应急维修服务，无论电梯发生任何故障问题或停驶困人事件时，</w:t>
      </w:r>
      <w:r>
        <w:rPr>
          <w:rFonts w:hint="eastAsia" w:ascii="宋体" w:hAnsi="宋体" w:eastAsia="宋体" w:cs="宋体"/>
          <w:color w:val="auto"/>
          <w:sz w:val="28"/>
          <w:szCs w:val="28"/>
          <w:lang w:eastAsia="zh-CN"/>
        </w:rPr>
        <w:t>维保单位</w:t>
      </w:r>
      <w:r>
        <w:rPr>
          <w:rFonts w:hint="eastAsia" w:ascii="宋体" w:hAnsi="宋体" w:eastAsia="宋体" w:cs="宋体"/>
          <w:color w:val="auto"/>
          <w:sz w:val="28"/>
          <w:szCs w:val="28"/>
        </w:rPr>
        <w:t>在接到</w:t>
      </w:r>
      <w:r>
        <w:rPr>
          <w:rFonts w:hint="eastAsia" w:ascii="宋体" w:hAnsi="宋体" w:eastAsia="宋体" w:cs="宋体"/>
          <w:color w:val="auto"/>
          <w:sz w:val="28"/>
          <w:szCs w:val="28"/>
          <w:lang w:eastAsia="zh-CN"/>
        </w:rPr>
        <w:t>我</w:t>
      </w:r>
      <w:r>
        <w:rPr>
          <w:rFonts w:hint="eastAsia" w:ascii="宋体" w:hAnsi="宋体" w:eastAsia="宋体" w:cs="宋体"/>
          <w:color w:val="auto"/>
          <w:sz w:val="28"/>
          <w:szCs w:val="28"/>
        </w:rPr>
        <w:t>方通知后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30</w:t>
      </w:r>
      <w:r>
        <w:rPr>
          <w:rFonts w:hint="eastAsia" w:ascii="宋体" w:hAnsi="宋体" w:eastAsia="宋体" w:cs="宋体"/>
          <w:color w:val="auto"/>
          <w:sz w:val="28"/>
          <w:szCs w:val="28"/>
        </w:rPr>
        <w:t>分钟内派员抵达现场实施处理及救援。</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eastAsia="zh-CN"/>
        </w:rPr>
        <w:t>维保单位在维护过程中发现</w:t>
      </w:r>
      <w:r>
        <w:rPr>
          <w:rFonts w:hint="eastAsia" w:ascii="宋体" w:hAnsi="宋体" w:eastAsia="宋体" w:cs="宋体"/>
          <w:color w:val="auto"/>
          <w:sz w:val="28"/>
          <w:szCs w:val="28"/>
        </w:rPr>
        <w:t>有零件需进行维修与更换时</w:t>
      </w:r>
      <w:r>
        <w:rPr>
          <w:rFonts w:hint="eastAsia" w:ascii="宋体" w:hAnsi="宋体" w:eastAsia="宋体" w:cs="宋体"/>
          <w:color w:val="auto"/>
          <w:sz w:val="28"/>
          <w:szCs w:val="28"/>
          <w:lang w:eastAsia="zh-CN"/>
        </w:rPr>
        <w:t>，在我方书面同意后，应及时开展相关工作，在维修（更换零部件）工作完成后，应向我方提供书面报告，并由双方签字确认故障已被修复。</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按照新设备的安全标准对电梯进行维护，如上级主管部门有关法规标准改变时，维保单位应及时提出新的合理建议。</w:t>
      </w:r>
    </w:p>
    <w:p>
      <w:pPr>
        <w:ind w:firstLine="560" w:firstLineChars="200"/>
        <w:rPr>
          <w:rFonts w:hint="eastAsia"/>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lang w:eastAsia="zh-CN"/>
        </w:rPr>
        <w:t>维保单位安排</w:t>
      </w:r>
      <w:r>
        <w:rPr>
          <w:rFonts w:hint="eastAsia" w:ascii="宋体" w:hAnsi="宋体" w:eastAsia="宋体" w:cs="宋体"/>
          <w:color w:val="auto"/>
          <w:sz w:val="28"/>
          <w:szCs w:val="28"/>
        </w:rPr>
        <w:t>现场作业人员不得少于两人，且应当取得相应的资质</w:t>
      </w:r>
      <w:r>
        <w:rPr>
          <w:rFonts w:hint="eastAsia" w:ascii="宋体" w:hAnsi="宋体" w:eastAsia="宋体" w:cs="宋体"/>
          <w:color w:val="auto"/>
          <w:sz w:val="28"/>
          <w:szCs w:val="28"/>
          <w:lang w:eastAsia="zh-CN"/>
        </w:rPr>
        <w:t>。维保单位应落实作业现场安全防护措施，保证作业安全，并承担自身责任造成的人身、设备、设施、器械的安全事故责任和因维修、保养电梯不当而造成的损失。</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lang w:eastAsia="zh-CN"/>
        </w:rPr>
        <w:t xml:space="preserve">维保人员进入我方场所，应当遵守我方的规章制度，应佩带工作证。维修保养作业时应在电梯基站层门前摆设“电梯保养，暂停使用。给你带来不便，敬请谅解”等明显安全标志，以防意外。 </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lang w:eastAsia="zh-CN"/>
        </w:rPr>
        <w:t>维保单位应负责维护工作区域的环境卫生，每次维修完毕后必须清洁工作场地。</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lang w:eastAsia="zh-CN"/>
        </w:rPr>
        <w:t>每次维修保养后，维保单位需现场填写维保记录，如实反映电梯的情况，并由双方签字确认，并留全备案。</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lang w:eastAsia="zh-CN"/>
        </w:rPr>
        <w:t>如遇我方有消防、救援等重大活动演习，在我方有需要时，维保单位必须派人员值守直到重大活动结束</w:t>
      </w:r>
      <w:r>
        <w:rPr>
          <w:rFonts w:hint="eastAsia" w:ascii="宋体" w:hAnsi="宋体" w:eastAsia="宋体" w:cs="宋体"/>
          <w:color w:val="auto"/>
          <w:sz w:val="28"/>
          <w:szCs w:val="28"/>
          <w:lang w:val="en-US" w:eastAsia="zh-CN"/>
        </w:rPr>
        <w:t>。</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lang w:eastAsia="zh-CN"/>
        </w:rPr>
        <w:t>维保单位对配件提供全年24小时供应服务，并且免费送货上门。维保单位必须储备足够的常用易损零配件，对于所更换的配件，质保期为</w:t>
      </w: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lang w:eastAsia="zh-CN"/>
        </w:rPr>
        <w:t>个月，在质保期内出现问题的，要给予修复，若无法修复，应予重新更换。</w:t>
      </w:r>
    </w:p>
    <w:p>
      <w:pPr>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13</w:t>
      </w:r>
      <w:r>
        <w:rPr>
          <w:rFonts w:hint="eastAsia" w:ascii="宋体" w:hAnsi="宋体" w:eastAsia="宋体" w:cs="宋体"/>
          <w:color w:val="auto"/>
          <w:sz w:val="28"/>
          <w:szCs w:val="28"/>
          <w:lang w:eastAsia="zh-CN"/>
        </w:rPr>
        <w:t>维保单位为我方提供的零配件必须保证为符合行业质量标准的全新合格零配件，并与所维护电梯原厂配件的功能、质量相当。维保单位为我方更换的零配件在保修期内非人为损坏，维保单位需为我方免费更换、维修，配件费用维保单位自理。不在清单内的零部件由双方按市场价商定。更换常用易损件及一般维修材料费用在200元以下的由维保单位承担。</w:t>
      </w:r>
    </w:p>
    <w:p>
      <w:pPr>
        <w:numPr>
          <w:ilvl w:val="0"/>
          <w:numId w:val="0"/>
        </w:numPr>
        <w:spacing w:line="360" w:lineRule="auto"/>
        <w:ind w:leftChars="192"/>
        <w:rPr>
          <w:rFonts w:hint="eastAsia" w:ascii="宋体" w:hAnsi="宋体" w:eastAsia="宋体" w:cs="宋体"/>
          <w:b/>
          <w:kern w:val="0"/>
          <w:sz w:val="28"/>
          <w:szCs w:val="28"/>
          <w:lang w:val="en-US" w:eastAsia="zh-CN"/>
        </w:rPr>
      </w:pPr>
    </w:p>
    <w:p>
      <w:pPr>
        <w:spacing w:line="360" w:lineRule="auto"/>
        <w:rPr>
          <w:rFonts w:hint="eastAsia" w:ascii="宋体" w:hAnsi="宋体" w:eastAsia="宋体" w:cs="宋体"/>
          <w:color w:val="FF0000"/>
          <w:sz w:val="28"/>
          <w:szCs w:val="28"/>
        </w:rPr>
      </w:pPr>
      <w:r>
        <w:rPr>
          <w:rFonts w:hint="eastAsia" w:ascii="宋体" w:hAnsi="宋体" w:eastAsia="宋体" w:cs="宋体"/>
          <w:kern w:val="0"/>
          <w:sz w:val="28"/>
          <w:szCs w:val="28"/>
        </w:rPr>
        <w:t>附</w:t>
      </w:r>
      <w:r>
        <w:rPr>
          <w:rFonts w:hint="eastAsia" w:ascii="宋体" w:hAnsi="宋体" w:cs="宋体"/>
          <w:sz w:val="28"/>
          <w:szCs w:val="28"/>
          <w:lang w:eastAsia="zh-CN"/>
        </w:rPr>
        <w:t>表</w:t>
      </w:r>
      <w:r>
        <w:rPr>
          <w:rFonts w:hint="eastAsia" w:ascii="宋体" w:hAnsi="宋体" w:eastAsia="宋体" w:cs="宋体"/>
          <w:sz w:val="28"/>
          <w:szCs w:val="28"/>
        </w:rPr>
        <w:t>：</w:t>
      </w:r>
      <w:r>
        <w:rPr>
          <w:rFonts w:hint="eastAsia" w:ascii="宋体" w:hAnsi="宋体" w:eastAsia="宋体" w:cs="宋体"/>
          <w:kern w:val="0"/>
          <w:sz w:val="28"/>
          <w:szCs w:val="28"/>
        </w:rPr>
        <w:t>维保项目清单</w:t>
      </w:r>
      <w:r>
        <w:rPr>
          <w:rFonts w:hint="eastAsia" w:ascii="宋体" w:hAnsi="宋体" w:eastAsia="宋体" w:cs="宋体"/>
          <w:sz w:val="28"/>
          <w:szCs w:val="28"/>
        </w:rPr>
        <w:t>（按甲方电梯实际项目及参数为准）</w:t>
      </w:r>
    </w:p>
    <w:tbl>
      <w:tblPr>
        <w:tblStyle w:val="6"/>
        <w:tblW w:w="9017" w:type="dxa"/>
        <w:tblInd w:w="103" w:type="dxa"/>
        <w:tblLayout w:type="fixed"/>
        <w:tblCellMar>
          <w:top w:w="0" w:type="dxa"/>
          <w:left w:w="108" w:type="dxa"/>
          <w:bottom w:w="0" w:type="dxa"/>
          <w:right w:w="108" w:type="dxa"/>
        </w:tblCellMar>
      </w:tblPr>
      <w:tblGrid>
        <w:gridCol w:w="683"/>
        <w:gridCol w:w="774"/>
        <w:gridCol w:w="1066"/>
        <w:gridCol w:w="5677"/>
        <w:gridCol w:w="817"/>
      </w:tblGrid>
      <w:tr>
        <w:tblPrEx>
          <w:tblCellMar>
            <w:top w:w="0" w:type="dxa"/>
            <w:left w:w="108" w:type="dxa"/>
            <w:bottom w:w="0" w:type="dxa"/>
            <w:right w:w="108" w:type="dxa"/>
          </w:tblCellMar>
        </w:tblPrEx>
        <w:trPr>
          <w:trHeight w:val="357" w:hRule="atLeast"/>
        </w:trPr>
        <w:tc>
          <w:tcPr>
            <w:tcW w:w="683" w:type="dxa"/>
            <w:tcBorders>
              <w:top w:val="single" w:color="000000" w:sz="12" w:space="0"/>
              <w:left w:val="single" w:color="000000" w:sz="8" w:space="0"/>
              <w:bottom w:val="single" w:color="000000" w:sz="12"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774" w:type="dxa"/>
            <w:tcBorders>
              <w:top w:val="single" w:color="000000" w:sz="12" w:space="0"/>
              <w:left w:val="single" w:color="000000" w:sz="8" w:space="0"/>
              <w:bottom w:val="single" w:color="000000" w:sz="12"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项类</w:t>
            </w:r>
          </w:p>
        </w:tc>
        <w:tc>
          <w:tcPr>
            <w:tcW w:w="1066" w:type="dxa"/>
            <w:tcBorders>
              <w:top w:val="single" w:color="000000" w:sz="12" w:space="0"/>
              <w:left w:val="single" w:color="000000" w:sz="8" w:space="0"/>
              <w:bottom w:val="single" w:color="000000" w:sz="12"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项目内容</w:t>
            </w:r>
          </w:p>
        </w:tc>
        <w:tc>
          <w:tcPr>
            <w:tcW w:w="5677" w:type="dxa"/>
            <w:tcBorders>
              <w:top w:val="single" w:color="000000" w:sz="12" w:space="0"/>
              <w:left w:val="single" w:color="000000" w:sz="8" w:space="0"/>
              <w:bottom w:val="single" w:color="000000" w:sz="12"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维护保养基本要求</w:t>
            </w:r>
          </w:p>
        </w:tc>
        <w:tc>
          <w:tcPr>
            <w:tcW w:w="817" w:type="dxa"/>
            <w:tcBorders>
              <w:top w:val="single" w:color="000000" w:sz="12" w:space="0"/>
              <w:left w:val="single" w:color="000000" w:sz="8" w:space="0"/>
              <w:bottom w:val="single" w:color="000000" w:sz="12"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周期</w:t>
            </w:r>
          </w:p>
        </w:tc>
      </w:tr>
      <w:tr>
        <w:tblPrEx>
          <w:tblCellMar>
            <w:top w:w="0" w:type="dxa"/>
            <w:left w:w="108" w:type="dxa"/>
            <w:bottom w:w="0" w:type="dxa"/>
            <w:right w:w="108" w:type="dxa"/>
          </w:tblCellMar>
        </w:tblPrEx>
        <w:trPr>
          <w:trHeight w:val="719" w:hRule="atLeast"/>
        </w:trPr>
        <w:tc>
          <w:tcPr>
            <w:tcW w:w="683" w:type="dxa"/>
            <w:tcBorders>
              <w:top w:val="single" w:color="000000" w:sz="12"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74" w:type="dxa"/>
            <w:vMerge w:val="restart"/>
            <w:tcBorders>
              <w:top w:val="single" w:color="000000" w:sz="12"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w:t>
            </w: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资料</w:t>
            </w:r>
          </w:p>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检查</w:t>
            </w:r>
          </w:p>
        </w:tc>
        <w:tc>
          <w:tcPr>
            <w:tcW w:w="1066" w:type="dxa"/>
            <w:tcBorders>
              <w:top w:val="single" w:color="000000" w:sz="12"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设备铭牌 </w:t>
            </w:r>
          </w:p>
        </w:tc>
        <w:tc>
          <w:tcPr>
            <w:tcW w:w="5677" w:type="dxa"/>
            <w:tcBorders>
              <w:top w:val="single" w:color="000000" w:sz="12"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在轿厢内显著位置处必须固定有设备铭牌，铭牌内容至少应有额定载重量或额定载客数。 </w:t>
            </w:r>
          </w:p>
        </w:tc>
        <w:tc>
          <w:tcPr>
            <w:tcW w:w="817" w:type="dxa"/>
            <w:tcBorders>
              <w:top w:val="single" w:color="000000" w:sz="12"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9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合格标志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电梯《安全检验合格》标志应固定在轿厢内明显的位置上。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《安全检验合格》标志超过有效期的电梯不得使用。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719"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规章制度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操作规章、应急措施和救援预案、电梯钥匙使用管理等安全运行管理制度应张贴或悬挂在机房或控制柜明显处。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安全标识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标识醒目、清晰，意思表达准确易懂。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乘客须知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内容必须完整、清晰，并在轿厢内明显地方公布。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774" w:type="dxa"/>
            <w:vMerge w:val="continue"/>
            <w:tcBorders>
              <w:top w:val="single" w:color="000000" w:sz="12"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运营记录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应有运行、检查、维护保养、修理、改造情况及故障处理结果记录。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5"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774" w:type="dxa"/>
            <w:vMerge w:val="restart"/>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二</w:t>
            </w:r>
          </w:p>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整机</w:t>
            </w: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环境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全面清洁。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9</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连接件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螺栓应固定无松动。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销轴应有防止脱落的措施，润滑应良好，不应有轴向移动。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铆钉不应有松动现象。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55"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轴端卡板不应有松动及脱槽现象。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13</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轴承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无异常响声，无振动，润滑良好。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1108"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14</w:t>
            </w:r>
          </w:p>
        </w:tc>
        <w:tc>
          <w:tcPr>
            <w:tcW w:w="774" w:type="dxa"/>
            <w:vMerge w:val="continue"/>
            <w:tcBorders>
              <w:top w:val="single" w:color="000000" w:sz="8" w:space="0"/>
              <w:left w:val="single" w:color="000000" w:sz="8"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旋转部件防护 </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在机房（机器设备间）内的曳引轮、滑轮、链轮、限速器，在井道内的曳引轮、滑轮、链轮、限速器及张紧轮、补偿绳张紧轮，在轿厢上的滑轮、链轮等与钢丝绳、链条形成传动的旋转部件的防护装置完好无变形。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15</w:t>
            </w:r>
          </w:p>
        </w:tc>
        <w:tc>
          <w:tcPr>
            <w:tcW w:w="774" w:type="dxa"/>
            <w:vMerge w:val="restart"/>
            <w:tcBorders>
              <w:top w:val="single" w:color="000000" w:sz="8" w:space="0"/>
              <w:left w:val="single" w:color="000000" w:sz="8"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三</w:t>
            </w: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房机</w:t>
            </w:r>
          </w:p>
          <w:p>
            <w:pPr>
              <w:pStyle w:val="9"/>
              <w:spacing w:line="360" w:lineRule="auto"/>
              <w:jc w:val="center"/>
              <w:rPr>
                <w:rFonts w:hint="eastAsia" w:ascii="宋体" w:hAnsi="宋体" w:eastAsia="宋体" w:cs="宋体"/>
                <w:color w:val="auto"/>
                <w:sz w:val="21"/>
                <w:szCs w:val="21"/>
              </w:rPr>
            </w:pPr>
          </w:p>
        </w:tc>
        <w:tc>
          <w:tcPr>
            <w:tcW w:w="1066"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机房（机器设备间）</w:t>
            </w:r>
          </w:p>
        </w:tc>
        <w:tc>
          <w:tcPr>
            <w:tcW w:w="567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机房（机器设备间）应当专用，不得用于电梯以外的其他用途。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5"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16</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nil"/>
              <w:left w:val="single" w:color="auto" w:sz="4" w:space="0"/>
              <w:bottom w:val="single" w:color="000000" w:sz="8"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环境 </w:t>
            </w: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机房及通道清洁无杂物，门窗完好。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17</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nil"/>
              <w:left w:val="single" w:color="auto" w:sz="4" w:space="0"/>
              <w:bottom w:val="single" w:color="000000" w:sz="8"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机房通风应良好，机房内的环境温度应保持在 5 ~40℃之间。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18</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auto" w:sz="4" w:space="0"/>
              <w:bottom w:val="single" w:color="000000" w:sz="8"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机房照明 </w:t>
            </w: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机房应当设置永久性电气照明，照度应当足够。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19</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auto" w:sz="4" w:space="0"/>
              <w:bottom w:val="single" w:color="000000" w:sz="8"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通道照明 </w:t>
            </w: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通道应当设置永久性电气照明，照度应当足够。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5"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20</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nil"/>
              <w:left w:val="single" w:color="auto" w:sz="4" w:space="0"/>
              <w:bottom w:val="single" w:color="000000" w:sz="8"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通道门 </w:t>
            </w: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门应当装有带钥匙的锁，并且可以从机房内不用钥匙打开。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nil"/>
              <w:left w:val="single" w:color="auto" w:sz="4" w:space="0"/>
              <w:bottom w:val="single" w:color="000000" w:sz="8"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门外侧应当标明“机房重地，闲人免进”，或有其它类似警示标志。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22</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8" w:space="0"/>
              <w:left w:val="single" w:color="auto" w:sz="4" w:space="0"/>
              <w:bottom w:val="single" w:color="000000" w:sz="8"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控制柜 </w:t>
            </w: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每台电梯的断相或错相保护装置可靠有效。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23</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auto" w:sz="4" w:space="0"/>
              <w:bottom w:val="single" w:color="000000" w:sz="8"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各仪表显示清楚、正确。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55"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24</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auto" w:sz="4" w:space="0"/>
              <w:bottom w:val="single" w:color="000000" w:sz="8"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各接线紧固、整齐、线号齐全清晰。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81" w:hRule="atLeast"/>
        </w:trPr>
        <w:tc>
          <w:tcPr>
            <w:tcW w:w="683"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25</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auto" w:sz="4" w:space="0"/>
              <w:bottom w:val="single" w:color="000000" w:sz="8"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auto" w:sz="4" w:space="0"/>
              <w:bottom w:val="single" w:color="000000" w:sz="8"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接触器和继电器的触点接触良好。 </w:t>
            </w:r>
          </w:p>
        </w:tc>
        <w:tc>
          <w:tcPr>
            <w:tcW w:w="817" w:type="dxa"/>
            <w:tcBorders>
              <w:top w:val="single" w:color="000000" w:sz="8" w:space="0"/>
              <w:left w:val="single" w:color="000000" w:sz="8"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57" w:hRule="atLeast"/>
        </w:trPr>
        <w:tc>
          <w:tcPr>
            <w:tcW w:w="683" w:type="dxa"/>
            <w:tcBorders>
              <w:top w:val="single" w:color="000000" w:sz="8" w:space="0"/>
              <w:left w:val="single" w:color="000000" w:sz="8" w:space="0"/>
              <w:bottom w:val="single" w:color="auto"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26</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auto" w:sz="4" w:space="0"/>
              <w:bottom w:val="single" w:color="auto" w:sz="4" w:space="0"/>
              <w:right w:val="single" w:color="000000" w:sz="8"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驱动主机 </w:t>
            </w:r>
          </w:p>
        </w:tc>
        <w:tc>
          <w:tcPr>
            <w:tcW w:w="5677" w:type="dxa"/>
            <w:tcBorders>
              <w:top w:val="single" w:color="000000" w:sz="8" w:space="0"/>
              <w:left w:val="single" w:color="000000" w:sz="8" w:space="0"/>
              <w:bottom w:val="single" w:color="auto" w:sz="4" w:space="0"/>
              <w:right w:val="single" w:color="000000" w:sz="8"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工作时应当无异常噪声和振动。 </w:t>
            </w:r>
          </w:p>
        </w:tc>
        <w:tc>
          <w:tcPr>
            <w:tcW w:w="817" w:type="dxa"/>
            <w:tcBorders>
              <w:top w:val="single" w:color="000000" w:sz="8" w:space="0"/>
              <w:left w:val="single" w:color="000000" w:sz="8" w:space="0"/>
              <w:bottom w:val="single" w:color="auto"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1" w:hRule="atLeast"/>
        </w:trPr>
        <w:tc>
          <w:tcPr>
            <w:tcW w:w="683" w:type="dxa"/>
            <w:tcBorders>
              <w:top w:val="single" w:color="auto"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27</w:t>
            </w:r>
          </w:p>
        </w:tc>
        <w:tc>
          <w:tcPr>
            <w:tcW w:w="774" w:type="dxa"/>
            <w:vMerge w:val="continue"/>
            <w:tcBorders>
              <w:left w:val="single" w:color="000000" w:sz="8" w:space="0"/>
              <w:right w:val="single" w:color="auto" w:sz="4" w:space="0"/>
            </w:tcBorders>
            <w:noWrap w:val="0"/>
            <w:vAlign w:val="center"/>
          </w:tcPr>
          <w:p>
            <w:pPr>
              <w:pStyle w:val="9"/>
              <w:spacing w:line="360" w:lineRule="auto"/>
              <w:jc w:val="center"/>
              <w:rPr>
                <w:rFonts w:hint="eastAsia" w:ascii="宋体" w:hAnsi="宋体" w:eastAsia="宋体" w:cs="宋体"/>
                <w:color w:val="auto"/>
                <w:sz w:val="21"/>
                <w:szCs w:val="21"/>
              </w:rPr>
            </w:pPr>
          </w:p>
        </w:tc>
        <w:tc>
          <w:tcPr>
            <w:tcW w:w="1066" w:type="dxa"/>
            <w:vMerge w:val="restart"/>
            <w:tcBorders>
              <w:top w:val="single" w:color="auto"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驱动主机</w:t>
            </w:r>
          </w:p>
        </w:tc>
        <w:tc>
          <w:tcPr>
            <w:tcW w:w="5677" w:type="dxa"/>
            <w:tcBorders>
              <w:top w:val="single" w:color="auto"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曳引轮轮槽应清洁，无严重油腻。 </w:t>
            </w:r>
          </w:p>
        </w:tc>
        <w:tc>
          <w:tcPr>
            <w:tcW w:w="817" w:type="dxa"/>
            <w:tcBorders>
              <w:top w:val="single" w:color="auto"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09"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28</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12"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曳引轮轮槽磨损量不超过制造单位要求。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29</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12"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减速机油量适宜，除蜗杆伸出端外均无渗漏。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30</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12"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按制造单位要求适时更换减速箱内齿轮油，保证油质符合要求。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31</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000000" w:sz="6" w:space="0"/>
              <w:bottom w:val="single" w:color="auto"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制动装置</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各销轴部位润滑良好，动作灵活可靠，保持有足够的制动力。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32</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auto"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制动器打开时，闸瓦与制动轮不应发生摩擦。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33</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auto"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检测开关应工作可靠有效。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09"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34</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auto" w:sz="4" w:space="0"/>
              <w:left w:val="single" w:color="000000" w:sz="6" w:space="0"/>
              <w:bottom w:val="single" w:color="000000"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制动装置</w:t>
            </w:r>
          </w:p>
        </w:tc>
        <w:tc>
          <w:tcPr>
            <w:tcW w:w="5677"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制动衬磨损均匀，磨损量不应大于电梯制造单位的规定值。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35</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auto" w:sz="4" w:space="0"/>
              <w:left w:val="single" w:color="000000" w:sz="6" w:space="0"/>
              <w:bottom w:val="single" w:color="000000"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可拆卸的制动器铁芯（柱塞）应按制造单位要求进行清洁、润滑。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紧急操作装置</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对于可拆卸盘车手轮，如设置电气安全装置，该安全装置最迟在盘车手轮装上电梯驱动主机时应当动作。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37</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松闸扳手应涂成红色，盘车手轮应是无辐条的并且涂成黄色，可拆卸盘车手轮应放置在机房内容易接近的明显部位。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38</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在电梯驱动主机上接近盘车手轮处，应明显标出轿厢运行方向，如果手轮是不能拆卸的可以在手轮上标出。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39</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应当能够通过操纵手动松闸装置松开制动器，并且需要以一持续力保持其松开状态。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40</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如果依靠持续揿压按钮来控制轿厢运行，此按钮应有防止误操作的保护，按钮上或其近旁应标出相应的运行方向。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41</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一旦进入检修运行，紧急电动运行装置控制轿厢运行的功能由检修控制装置所取代，取代可靠有效。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42</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进行紧急电动运行操作时，应有平层标志或电子信号提示，易于观察到轿厢是否在开锁区。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43</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限速器</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销轴部位润滑良好、转动灵活，限速器轮槽和限速绳清洁无油腻。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44</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限速器夹绳钳口无严重磨损，应有足够夹持力。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898"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45</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限速器或者其他装置上应当设有在轿厢上行或者下行速度达到限速器动作速度之前动作的电气安全装置，以及验证限速器复位状态的电气安全装置，该电气安全装置应可靠有效。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29"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46</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限速器核验合格证书应在有效期内。如果限速器使用周期达到 2年或者动作出现异常，应当由经许可的电梯检验机构或者电梯生产单位对限速器进行动作速度校验，并且由该单位出具校验报告。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47</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编码器</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应清洁无尘，安装牢固。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left="-708" w:leftChars="-337" w:firstLine="619" w:firstLineChars="295"/>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48</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选层器</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动静触点清洁，无烧蚀。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49</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上行超速保护装置</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机械装置应动作灵活可靠，电气开关灵敏有效。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00"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50</w:t>
            </w:r>
          </w:p>
        </w:tc>
        <w:tc>
          <w:tcPr>
            <w:tcW w:w="774" w:type="dxa"/>
            <w:vMerge w:val="continue"/>
            <w:tcBorders>
              <w:left w:val="single" w:color="000000" w:sz="8"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接地连接</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所有电气设备及线管、线槽的外露可以导电部分应当与保护线（PE）可靠连接。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591" w:hRule="atLeast"/>
        </w:trPr>
        <w:tc>
          <w:tcPr>
            <w:tcW w:w="683" w:type="dxa"/>
            <w:tcBorders>
              <w:top w:val="single" w:color="000000" w:sz="4" w:space="0"/>
              <w:left w:val="single" w:color="000000" w:sz="8" w:space="0"/>
              <w:bottom w:val="single" w:color="auto"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51</w:t>
            </w:r>
          </w:p>
        </w:tc>
        <w:tc>
          <w:tcPr>
            <w:tcW w:w="774" w:type="dxa"/>
            <w:vMerge w:val="continue"/>
            <w:tcBorders>
              <w:left w:val="single" w:color="000000" w:sz="8"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000000" w:sz="6" w:space="0"/>
              <w:bottom w:val="single" w:color="auto"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电气绝缘</w:t>
            </w:r>
          </w:p>
        </w:tc>
        <w:tc>
          <w:tcPr>
            <w:tcW w:w="5677" w:type="dxa"/>
            <w:tcBorders>
              <w:top w:val="single" w:color="000000" w:sz="4" w:space="0"/>
              <w:left w:val="single" w:color="000000" w:sz="6" w:space="0"/>
              <w:bottom w:val="single" w:color="auto"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动力和电气安全装置电路对地的绝缘电阻≥0.50MΩ；照明电路和其他电路对地的绝缘电阻≥0.25MΩ。 </w:t>
            </w:r>
          </w:p>
        </w:tc>
        <w:tc>
          <w:tcPr>
            <w:tcW w:w="817" w:type="dxa"/>
            <w:tcBorders>
              <w:top w:val="single" w:color="000000" w:sz="4" w:space="0"/>
              <w:left w:val="single" w:color="000000" w:sz="6" w:space="0"/>
              <w:bottom w:val="single" w:color="auto" w:sz="4"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12" w:hRule="atLeast"/>
        </w:trPr>
        <w:tc>
          <w:tcPr>
            <w:tcW w:w="683" w:type="dxa"/>
            <w:tcBorders>
              <w:top w:val="single" w:color="auto"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52</w:t>
            </w:r>
          </w:p>
        </w:tc>
        <w:tc>
          <w:tcPr>
            <w:tcW w:w="774" w:type="dxa"/>
            <w:vMerge w:val="restart"/>
            <w:tcBorders>
              <w:top w:val="single" w:color="auto" w:sz="4" w:space="0"/>
              <w:left w:val="single" w:color="000000" w:sz="6" w:space="0"/>
              <w:bottom w:val="single" w:color="000000" w:sz="4"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四</w:t>
            </w:r>
          </w:p>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井道</w:t>
            </w:r>
          </w:p>
        </w:tc>
        <w:tc>
          <w:tcPr>
            <w:tcW w:w="1066" w:type="dxa"/>
            <w:vMerge w:val="restart"/>
            <w:tcBorders>
              <w:top w:val="single" w:color="auto"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检修门、井道安全门、检修活板门 </w:t>
            </w:r>
          </w:p>
        </w:tc>
        <w:tc>
          <w:tcPr>
            <w:tcW w:w="5677" w:type="dxa"/>
            <w:tcBorders>
              <w:top w:val="single" w:color="auto"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门上应当装设用钥匙开启的锁，当门开启后不用钥匙能够将其关闭和锁住，在门锁住后，不用钥匙能够从井道内将门打开。 </w:t>
            </w:r>
          </w:p>
        </w:tc>
        <w:tc>
          <w:tcPr>
            <w:tcW w:w="817" w:type="dxa"/>
            <w:tcBorders>
              <w:top w:val="single" w:color="auto"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53</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12"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设置验证门的关闭状态的电气安全装置应当可靠有效。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46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54</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限制开关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极限开关在轿厢或者对重接触缓冲器前起作用，并且在缓冲器被压缩期间保持其动作状态。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55</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限位开关、强迫换速开关应工作可靠有效。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56</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位置脉冲器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应工作可靠有效。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57</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nil"/>
              <w:left w:val="single" w:color="auto" w:sz="4" w:space="0"/>
              <w:bottom w:val="single" w:color="auto"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导轨 </w:t>
            </w:r>
          </w:p>
        </w:tc>
        <w:tc>
          <w:tcPr>
            <w:tcW w:w="5677"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应清洁，压板牢固。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58</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nil"/>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支架应牢固，无松动、变形。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59</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导靴上油杯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吸油毛毡齐全，油量适宜，油杯无渗漏。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60</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靴衬、滚轮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应无变形、脱落，磨损量不超过制造单位要求。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614"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61</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随行电缆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随行电缆应当避免与限速器绳、选层器钢带、限位与极限开关等装置干涉。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62</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当轿厢压实在缓冲器上时，电缆不得与地面和轿厢底边框接触。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63</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无扭曲、破损。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14"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64</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井道照明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当所有的门关闭时，在轿顶面以上和底坑地面以上 1m处应当具有足够照度。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1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65</w:t>
            </w:r>
          </w:p>
        </w:tc>
        <w:tc>
          <w:tcPr>
            <w:tcW w:w="774" w:type="dxa"/>
            <w:vMerge w:val="continue"/>
            <w:tcBorders>
              <w:top w:val="single" w:color="000000" w:sz="12" w:space="0"/>
              <w:left w:val="single" w:color="000000" w:sz="6" w:space="0"/>
              <w:bottom w:val="single" w:color="000000"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对重（平衡重）</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如果对重（平衡重）由重块组成，应当可靠固定。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66</w:t>
            </w:r>
          </w:p>
        </w:tc>
        <w:tc>
          <w:tcPr>
            <w:tcW w:w="774"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五</w:t>
            </w:r>
          </w:p>
          <w:p>
            <w:pPr>
              <w:pStyle w:val="9"/>
              <w:spacing w:line="360" w:lineRule="auto"/>
              <w:jc w:val="center"/>
              <w:rPr>
                <w:rFonts w:hint="eastAsia" w:ascii="宋体" w:hAnsi="宋体" w:eastAsia="宋体" w:cs="宋体"/>
                <w:sz w:val="21"/>
                <w:szCs w:val="21"/>
              </w:rPr>
            </w:pPr>
          </w:p>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底坑</w:t>
            </w:r>
          </w:p>
        </w:tc>
        <w:tc>
          <w:tcPr>
            <w:tcW w:w="1066"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底坑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底坑底部应当光滑平整，不得渗水、漏水。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14"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67</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停止装置动作可靠有效，该装置为双稳态、红色并标以“停止”字样，并且有防止误操作的保护。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68</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井道（底坑）灯开关动作可靠有效。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14"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69</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限速绳张紧装置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当限速器绳断裂或者过分伸长时，电气安全装置应当动作使电梯停止运转。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70</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张紧轮距底坑地面高度应符合电梯制造单位的规定值。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1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缓冲器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缓冲器应当固定可靠。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72</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对重装置的撞板与缓冲器顶面间的距离应符合 GB 10060的要求。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73</w:t>
            </w:r>
          </w:p>
        </w:tc>
        <w:tc>
          <w:tcPr>
            <w:tcW w:w="774"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000000" w:sz="6"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耗能型缓冲器液位应当正确，验证柱塞复位的电气安全装置可靠有效。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74</w:t>
            </w:r>
          </w:p>
        </w:tc>
        <w:tc>
          <w:tcPr>
            <w:tcW w:w="774" w:type="dxa"/>
            <w:vMerge w:val="restart"/>
            <w:tcBorders>
              <w:top w:val="single" w:color="000000" w:sz="4" w:space="0"/>
              <w:left w:val="single" w:color="000000" w:sz="6"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六</w:t>
            </w: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悬挂</w:t>
            </w:r>
          </w:p>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装置</w:t>
            </w:r>
          </w:p>
        </w:tc>
        <w:tc>
          <w:tcPr>
            <w:tcW w:w="1066" w:type="dxa"/>
            <w:vMerge w:val="restart"/>
            <w:tcBorders>
              <w:top w:val="single" w:color="000000" w:sz="4" w:space="0"/>
              <w:left w:val="single" w:color="auto" w:sz="4" w:space="0"/>
              <w:bottom w:val="single" w:color="000000"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悬挂钢丝绳 </w:t>
            </w: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应清洁，无严重油腻。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13"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75</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出现笼状畸变、绳芯挤出、扭结、部分压扁、弯折应当报废。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934"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76</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断丝分散出现在整条钢丝绳，任何一个捻距内单股的断丝数大于 4根；或者断丝集中在钢丝绳某一部位或一股，一个捻距内断丝总数大于 12根（对于股数为 6的钢丝绳）或者大于 16根（对于股数为 8的钢丝绳）应当报废。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16" w:hRule="atLeast"/>
        </w:trPr>
        <w:tc>
          <w:tcPr>
            <w:tcW w:w="683" w:type="dxa"/>
            <w:tcBorders>
              <w:top w:val="single" w:color="000000" w:sz="4" w:space="0"/>
              <w:left w:val="single" w:color="000000" w:sz="8" w:space="0"/>
              <w:bottom w:val="single" w:color="000000"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77</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000000"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000000"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磨损后的钢丝绳直径小于钢丝绳公称直径的90％应当报废。 </w:t>
            </w:r>
          </w:p>
        </w:tc>
        <w:tc>
          <w:tcPr>
            <w:tcW w:w="817" w:type="dxa"/>
            <w:tcBorders>
              <w:top w:val="single" w:color="000000" w:sz="4" w:space="0"/>
              <w:left w:val="single" w:color="000000" w:sz="6" w:space="0"/>
              <w:bottom w:val="single" w:color="000000"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614" w:hRule="atLeast"/>
        </w:trPr>
        <w:tc>
          <w:tcPr>
            <w:tcW w:w="683" w:type="dxa"/>
            <w:tcBorders>
              <w:top w:val="single" w:color="000000" w:sz="4" w:space="0"/>
              <w:left w:val="single" w:color="000000" w:sz="8" w:space="0"/>
              <w:bottom w:val="single" w:color="auto"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78</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4" w:space="0"/>
              <w:left w:val="single" w:color="auto" w:sz="4" w:space="0"/>
              <w:bottom w:val="single" w:color="auto" w:sz="4"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4" w:space="0"/>
              <w:left w:val="single" w:color="000000" w:sz="6" w:space="0"/>
              <w:bottom w:val="single" w:color="auto"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曳引绳张力与平均值偏差均不大于5%。曳引绳或者悬挂钢丝绳绳端固定应当可靠，弹簧、螺母、开口销部件无缺损。 </w:t>
            </w:r>
          </w:p>
        </w:tc>
        <w:tc>
          <w:tcPr>
            <w:tcW w:w="817" w:type="dxa"/>
            <w:tcBorders>
              <w:top w:val="single" w:color="000000" w:sz="4" w:space="0"/>
              <w:left w:val="single" w:color="000000" w:sz="6" w:space="0"/>
              <w:bottom w:val="single" w:color="auto"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13" w:hRule="atLeast"/>
        </w:trPr>
        <w:tc>
          <w:tcPr>
            <w:tcW w:w="683"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79</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补偿装置 </w:t>
            </w:r>
          </w:p>
        </w:tc>
        <w:tc>
          <w:tcPr>
            <w:tcW w:w="567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补偿绳（链）端固定应当可靠。 </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01" w:hRule="atLeast"/>
        </w:trPr>
        <w:tc>
          <w:tcPr>
            <w:tcW w:w="683"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80</w:t>
            </w:r>
          </w:p>
        </w:tc>
        <w:tc>
          <w:tcPr>
            <w:tcW w:w="774" w:type="dxa"/>
            <w:vMerge w:val="continue"/>
            <w:tcBorders>
              <w:left w:val="single" w:color="000000" w:sz="6"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检查补偿绳最小张紧位置的电气安全装置应当可靠有效。 </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08" w:hRule="atLeast"/>
        </w:trPr>
        <w:tc>
          <w:tcPr>
            <w:tcW w:w="683"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81</w:t>
            </w:r>
          </w:p>
        </w:tc>
        <w:tc>
          <w:tcPr>
            <w:tcW w:w="774" w:type="dxa"/>
            <w:vMerge w:val="continue"/>
            <w:tcBorders>
              <w:left w:val="single" w:color="000000" w:sz="6"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补偿装置 </w:t>
            </w:r>
          </w:p>
        </w:tc>
        <w:tc>
          <w:tcPr>
            <w:tcW w:w="567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防跳装置动作时，电气安全装置应当使电梯停止运行。 </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902" w:hRule="atLeast"/>
        </w:trPr>
        <w:tc>
          <w:tcPr>
            <w:tcW w:w="683" w:type="dxa"/>
            <w:tcBorders>
              <w:top w:val="single" w:color="auto" w:sz="4"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82</w:t>
            </w:r>
          </w:p>
        </w:tc>
        <w:tc>
          <w:tcPr>
            <w:tcW w:w="774" w:type="dxa"/>
            <w:vMerge w:val="continue"/>
            <w:tcBorders>
              <w:left w:val="single" w:color="000000" w:sz="6" w:space="0"/>
              <w:bottom w:val="single" w:color="000000" w:sz="8"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tcBorders>
              <w:top w:val="single" w:color="auto" w:sz="4"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松绳(链)保护 </w:t>
            </w:r>
          </w:p>
        </w:tc>
        <w:tc>
          <w:tcPr>
            <w:tcW w:w="5677" w:type="dxa"/>
            <w:tcBorders>
              <w:top w:val="single" w:color="auto" w:sz="4"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如果强制驱动电梯的轿厢悬挂在两根钢丝绳或者链条上，则应当设置检查绳（链）松弛的电气安全装置，当其中一根钢丝绳（链条）发生异常相对伸长时，电梯应当停止运行。 </w:t>
            </w:r>
          </w:p>
        </w:tc>
        <w:tc>
          <w:tcPr>
            <w:tcW w:w="817" w:type="dxa"/>
            <w:tcBorders>
              <w:top w:val="single" w:color="auto" w:sz="4"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2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83</w:t>
            </w:r>
          </w:p>
        </w:tc>
        <w:tc>
          <w:tcPr>
            <w:tcW w:w="774" w:type="dxa"/>
            <w:vMerge w:val="restart"/>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七</w:t>
            </w:r>
          </w:p>
          <w:p>
            <w:pPr>
              <w:pStyle w:val="9"/>
              <w:spacing w:line="360" w:lineRule="auto"/>
              <w:ind w:firstLine="114"/>
              <w:jc w:val="center"/>
              <w:rPr>
                <w:rFonts w:hint="eastAsia" w:ascii="宋体" w:hAnsi="宋体" w:eastAsia="宋体" w:cs="宋体"/>
                <w:color w:val="auto"/>
                <w:sz w:val="21"/>
                <w:szCs w:val="21"/>
              </w:rPr>
            </w:pPr>
            <w:r>
              <w:rPr>
                <w:rFonts w:hint="eastAsia" w:ascii="宋体" w:hAnsi="宋体" w:eastAsia="宋体" w:cs="宋体"/>
                <w:sz w:val="21"/>
                <w:szCs w:val="21"/>
              </w:rPr>
              <w:t>轿厢</w:t>
            </w: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轿顶环境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应清洁无杂物，防护栏牢固可靠，安全标志清晰。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84</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地坎护脚板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轿厢地坎护脚板应当固定可靠。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85</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轿顶(轿厢内)电</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检修运行控制装置功能应可靠有效。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86</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气装置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停止装置动作应可靠有效。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87</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安全窗（门）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验证锁紧的电气安全装置动作可靠有效。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88</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轿厢面积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轿厢超面积的载货电梯，必须满足 GB 7588-2003中 8.2.2的要求。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89</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轿厢显示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轿厢指令按钮齐全、有效，显示正确、清楚。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90</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轿厢照明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轿厢应当设置永久性电气照明，照度应当足够。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91</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轿厢风扇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风扇工作时应当无异常噪声和振动。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0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92</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紧急照明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正常照明电源中断时，能够自动接通紧急照明电源，该电源能够自动再充电，并且至少能够供 1W灯泡用电1h。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589"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93</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紧急报警装置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应能与救援服务持续对讲联系。紧急报警装置的供电来自前条所述的紧急照明电源或者等效电源。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883"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94</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超载保护装置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轿厢内的载荷超过110％倍额定载重量（超载量不少于75kg）时，能够防止电梯正常启动及再平层，并且轿内有音响或者发光信号提示，动力驱动的自动门完全打开，手动门保持在未锁状态。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95</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color w:val="auto"/>
                <w:sz w:val="21"/>
                <w:szCs w:val="21"/>
              </w:rPr>
            </w:pPr>
            <w:r>
              <w:rPr>
                <w:rFonts w:hint="eastAsia" w:ascii="宋体" w:hAnsi="宋体" w:eastAsia="宋体" w:cs="宋体"/>
                <w:sz w:val="21"/>
                <w:szCs w:val="21"/>
              </w:rPr>
              <w:t>安全钳</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安全钳应清洁，无严重油腻。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96</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安全钳钳座固定无松动，传动机构灵活，开关触点有效。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32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97</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安全钳楔块与导轨间隙均匀，动作一致。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60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98</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平层精度 </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电梯轿厢的平层准确度宜在±10 mm范围内。平层保持精度宜在±20 mm范围内。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589"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99</w:t>
            </w:r>
          </w:p>
        </w:tc>
        <w:tc>
          <w:tcPr>
            <w:tcW w:w="774" w:type="dxa"/>
            <w:vMerge w:val="restart"/>
            <w:tcBorders>
              <w:top w:val="single" w:color="000000" w:sz="8" w:space="0"/>
              <w:left w:val="single" w:color="000000" w:sz="6"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八</w:t>
            </w:r>
          </w:p>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轿</w:t>
            </w:r>
          </w:p>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(层)</w:t>
            </w:r>
          </w:p>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门</w:t>
            </w:r>
          </w:p>
          <w:p>
            <w:pPr>
              <w:pStyle w:val="9"/>
              <w:spacing w:line="360" w:lineRule="auto"/>
              <w:ind w:firstLine="114"/>
              <w:jc w:val="center"/>
              <w:rPr>
                <w:rFonts w:hint="eastAsia" w:ascii="宋体" w:hAnsi="宋体" w:eastAsia="宋体" w:cs="宋体"/>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color w:val="auto"/>
                <w:sz w:val="21"/>
                <w:szCs w:val="21"/>
              </w:rPr>
            </w:pPr>
            <w:r>
              <w:rPr>
                <w:rFonts w:hint="eastAsia" w:ascii="宋体" w:hAnsi="宋体" w:eastAsia="宋体" w:cs="宋体"/>
                <w:sz w:val="21"/>
                <w:szCs w:val="21"/>
              </w:rPr>
              <w:t>门间隙</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门扇之间及门扇与立柱、门楣和地坎之间的间隙，对于乘客电梯应不大于6mm；对于载货电梯应不大于8mm，使用过程中由于磨损，允许达到10mm。</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716"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100</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在水平移动门和折叠门主动门扇的开启方向，以 150N的人力施加在一个最不利的点，前条所述的间隙允许增大，但对于旁开门应不大于30mm，对于中分门其总和应不大于45mm。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半年</w:t>
            </w:r>
          </w:p>
        </w:tc>
      </w:tr>
      <w:tr>
        <w:tblPrEx>
          <w:tblCellMar>
            <w:top w:w="0" w:type="dxa"/>
            <w:left w:w="108" w:type="dxa"/>
            <w:bottom w:w="0" w:type="dxa"/>
            <w:right w:w="108" w:type="dxa"/>
          </w:tblCellMar>
        </w:tblPrEx>
        <w:trPr>
          <w:trHeight w:val="308"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101</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color w:val="auto"/>
                <w:sz w:val="21"/>
                <w:szCs w:val="21"/>
              </w:rPr>
            </w:pPr>
            <w:r>
              <w:rPr>
                <w:rFonts w:hint="eastAsia" w:ascii="宋体" w:hAnsi="宋体" w:eastAsia="宋体" w:cs="宋体"/>
                <w:sz w:val="21"/>
                <w:szCs w:val="21"/>
              </w:rPr>
              <w:t>玻璃门</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玻璃门上的供应商名称或者商标、玻璃的型式等永久性标记完好。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55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102</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玻璃门上的固定件，即使在玻璃下沉的情况下，应能够保证玻璃不会滑出。</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2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103</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有防止儿童的手被拖曳的措施。 </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05" w:hRule="atLeast"/>
        </w:trPr>
        <w:tc>
          <w:tcPr>
            <w:tcW w:w="683" w:type="dxa"/>
            <w:tcBorders>
              <w:top w:val="single" w:color="000000" w:sz="8" w:space="0"/>
              <w:left w:val="single" w:color="000000" w:sz="8" w:space="0"/>
              <w:bottom w:val="single" w:color="auto" w:sz="4" w:space="0"/>
              <w:right w:val="single" w:color="000000" w:sz="6"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000000" w:sz="8" w:space="0"/>
              <w:left w:val="single" w:color="000000" w:sz="8" w:space="0"/>
              <w:bottom w:val="single" w:color="auto" w:sz="4"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防止门夹人的保护装置 </w:t>
            </w:r>
          </w:p>
        </w:tc>
        <w:tc>
          <w:tcPr>
            <w:tcW w:w="5677" w:type="dxa"/>
            <w:tcBorders>
              <w:top w:val="single" w:color="000000" w:sz="8" w:space="0"/>
              <w:left w:val="single" w:color="000000" w:sz="6" w:space="0"/>
              <w:bottom w:val="single" w:color="auto" w:sz="4"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当人员通过层门入口被正在关闭的门扇撞击或者将被撞击时，该装置应当自动使门重新开启。 </w:t>
            </w:r>
          </w:p>
        </w:tc>
        <w:tc>
          <w:tcPr>
            <w:tcW w:w="817" w:type="dxa"/>
            <w:tcBorders>
              <w:top w:val="single" w:color="000000" w:sz="8" w:space="0"/>
              <w:left w:val="single" w:color="000000" w:sz="6" w:space="0"/>
              <w:bottom w:val="single" w:color="auto" w:sz="4"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454" w:hRule="atLeast"/>
        </w:trPr>
        <w:tc>
          <w:tcPr>
            <w:tcW w:w="683"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kern w:val="0"/>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门运行和导向 </w:t>
            </w:r>
          </w:p>
        </w:tc>
        <w:tc>
          <w:tcPr>
            <w:tcW w:w="567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 xml:space="preserve">层门和轿门运行正常，不得出现脱轨、机械卡阻或者在行程终端时错位，地坎清洁，导靴磨损量不超过制造单位要求。 </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37" w:hRule="atLeast"/>
        </w:trPr>
        <w:tc>
          <w:tcPr>
            <w:tcW w:w="683"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106</w:t>
            </w:r>
          </w:p>
        </w:tc>
        <w:tc>
          <w:tcPr>
            <w:tcW w:w="774" w:type="dxa"/>
            <w:vMerge w:val="continue"/>
            <w:tcBorders>
              <w:left w:val="single" w:color="000000" w:sz="6"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门系统传动装置</w:t>
            </w:r>
          </w:p>
        </w:tc>
        <w:tc>
          <w:tcPr>
            <w:tcW w:w="567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层门、轿门系统中传动钢丝绳、链条、胶带应按制造单位要求进行清洁和调整。</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季度</w:t>
            </w:r>
          </w:p>
        </w:tc>
      </w:tr>
      <w:tr>
        <w:tblPrEx>
          <w:tblCellMar>
            <w:top w:w="0" w:type="dxa"/>
            <w:left w:w="108" w:type="dxa"/>
            <w:bottom w:w="0" w:type="dxa"/>
            <w:right w:w="108" w:type="dxa"/>
          </w:tblCellMar>
        </w:tblPrEx>
        <w:trPr>
          <w:trHeight w:val="620" w:hRule="atLeast"/>
        </w:trPr>
        <w:tc>
          <w:tcPr>
            <w:tcW w:w="683" w:type="dxa"/>
            <w:tcBorders>
              <w:top w:val="single" w:color="auto" w:sz="4"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107</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auto" w:sz="4"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自动关门装置</w:t>
            </w:r>
          </w:p>
        </w:tc>
        <w:tc>
          <w:tcPr>
            <w:tcW w:w="5677" w:type="dxa"/>
            <w:tcBorders>
              <w:top w:val="single" w:color="auto" w:sz="4"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当轿厢在开锁区域之外时，如果层门开启（无论何种原因），自动关门装置应能确保该层门自动关闭。</w:t>
            </w:r>
          </w:p>
        </w:tc>
        <w:tc>
          <w:tcPr>
            <w:tcW w:w="817" w:type="dxa"/>
            <w:tcBorders>
              <w:top w:val="single" w:color="auto" w:sz="4"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42"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108</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自动关闭装置采用重块时，应当有防止重块坠落的措施。</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4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109</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紧急开锁装置</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每个层门均应当能够被一把符合要求的钥匙从外面开启。</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110</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紧急开锁后，在层门闭合时门锁装置不应当保持开锁位置。</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111</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门的锁紧</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轿厢应当在门的锁紧元件啮合不小于 7mm时才能启动。</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42"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112</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验证门锁紧的电气安全装置动作可靠有效。</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803"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113</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门的闭合</w:t>
            </w:r>
          </w:p>
        </w:tc>
        <w:tc>
          <w:tcPr>
            <w:tcW w:w="5677" w:type="dxa"/>
            <w:tcBorders>
              <w:top w:val="single" w:color="000000" w:sz="8" w:space="0"/>
              <w:left w:val="single" w:color="000000" w:sz="6" w:space="0"/>
              <w:bottom w:val="single" w:color="000000" w:sz="8" w:space="0"/>
              <w:right w:val="single" w:color="000000" w:sz="6" w:space="0"/>
            </w:tcBorders>
            <w:noWrap w:val="0"/>
            <w:vAlign w:val="top"/>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正常运行时应当不能打开层门和轿门，除非轿厢在该层门的开锁区域内停止或停站；如果一个层门或者轿门（或者多扇门中的任何一扇门）开着，在正常操作情况下，应当不能启动电梯或者不能保持继续运行。</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42"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114</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验证每个层门和轿门闭合的电气安全装置动作可靠有效。</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4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115</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轿门门刀与层门地坎，层门锁滚轮与轿厢地坎的间隙应在 5～10mm范围。</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116</w:t>
            </w:r>
          </w:p>
        </w:tc>
        <w:tc>
          <w:tcPr>
            <w:tcW w:w="774" w:type="dxa"/>
            <w:vMerge w:val="continue"/>
            <w:tcBorders>
              <w:left w:val="single" w:color="000000" w:sz="6"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电梯运行时，轿门门刀与层门地坎，层门锁滚轮与轿厢地坎不得互相碰擦。</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117</w:t>
            </w:r>
          </w:p>
        </w:tc>
        <w:tc>
          <w:tcPr>
            <w:tcW w:w="774" w:type="dxa"/>
            <w:vMerge w:val="continue"/>
            <w:tcBorders>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层站显示</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层站指令按钮齐全、有效，显示正确、清楚。</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半月</w:t>
            </w:r>
          </w:p>
        </w:tc>
      </w:tr>
      <w:tr>
        <w:tblPrEx>
          <w:tblCellMar>
            <w:top w:w="0" w:type="dxa"/>
            <w:left w:w="108" w:type="dxa"/>
            <w:bottom w:w="0" w:type="dxa"/>
            <w:right w:w="108" w:type="dxa"/>
          </w:tblCellMar>
        </w:tblPrEx>
        <w:trPr>
          <w:trHeight w:val="61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118</w:t>
            </w:r>
          </w:p>
        </w:tc>
        <w:tc>
          <w:tcPr>
            <w:tcW w:w="774" w:type="dxa"/>
            <w:vMerge w:val="restart"/>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九</w:t>
            </w:r>
          </w:p>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试</w:t>
            </w:r>
          </w:p>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验</w:t>
            </w: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轿厢上行超速保护装置试验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当轿厢上行速度失控时，轿厢上行超速保护装置应当动作，使轿厢制停或者至少使其速度降低至对重缓冲器的设计范围。</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2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119</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该装置动作时，应当使一个电气安全装置动作。</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42"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120</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耗能缓冲器试验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缓冲器动作后，回复至其正常伸长位置电梯才能正常运行。</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4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121</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缓冲器完全复位的最大时间限度为 120s。</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3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122</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限速器－安全钳动作试验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轿厢空载，以检修速度下行，进行轿厢限速器 -安全钳联动试验，限速器</w:t>
            </w:r>
            <w:r>
              <w:rPr>
                <w:rFonts w:hint="eastAsia" w:ascii="宋体" w:hAnsi="宋体" w:eastAsia="宋体" w:cs="宋体"/>
                <w:sz w:val="21"/>
                <w:szCs w:val="21"/>
              </w:rPr>
              <w:softHyphen/>
            </w:r>
            <w:r>
              <w:rPr>
                <w:rFonts w:hint="eastAsia" w:ascii="宋体" w:hAnsi="宋体" w:eastAsia="宋体" w:cs="宋体"/>
                <w:sz w:val="21"/>
                <w:szCs w:val="21"/>
              </w:rPr>
              <w:t>安全钳动作应当可靠。</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20"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123</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轿厢空载，以检修速度上行，进行对重 (平衡重 )限速器-安全钳联动试验，限速器－安全钳动作应当可靠。</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1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124</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空载曳引力试验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当对重压在缓冲器上而曳引机按电梯上行方向旋转时，应当不能提升空载轿厢。</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3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125</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空载上行制动试验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轿厢空载以正常运行速度上行时，切断电动机与制动器供电，轿厢应当被可靠制停，并且无明显变形和损坏。</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ind w:firstLine="114"/>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3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126</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运行试验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轿厢分别空载、满载，以正常运行速度上、下运行，呼梯、楼层显示等信号系统功能有效、指示正确、动作无误，轿厢平层良好，无异常现象发生。</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345"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127</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restart"/>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left"/>
              <w:rPr>
                <w:rFonts w:hint="eastAsia" w:ascii="宋体" w:hAnsi="宋体" w:eastAsia="宋体" w:cs="宋体"/>
                <w:sz w:val="21"/>
                <w:szCs w:val="21"/>
              </w:rPr>
            </w:pPr>
            <w:r>
              <w:rPr>
                <w:rFonts w:hint="eastAsia" w:ascii="宋体" w:hAnsi="宋体" w:eastAsia="宋体" w:cs="宋体"/>
                <w:sz w:val="21"/>
                <w:szCs w:val="21"/>
              </w:rPr>
              <w:t>消防返回功能试验</w:t>
            </w: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消防开关防护玻璃应当完好，“消防”字样清楚。</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37" w:hRule="atLeast"/>
        </w:trPr>
        <w:tc>
          <w:tcPr>
            <w:tcW w:w="683" w:type="dxa"/>
            <w:tcBorders>
              <w:top w:val="single" w:color="000000" w:sz="8" w:space="0"/>
              <w:left w:val="single" w:color="000000" w:sz="8" w:space="0"/>
              <w:bottom w:val="single" w:color="000000" w:sz="8" w:space="0"/>
              <w:right w:val="single" w:color="000000" w:sz="6" w:space="0"/>
            </w:tcBorders>
            <w:noWrap w:val="0"/>
            <w:vAlign w:val="center"/>
          </w:tcPr>
          <w:p>
            <w:pPr>
              <w:pStyle w:val="9"/>
              <w:spacing w:line="360" w:lineRule="auto"/>
              <w:jc w:val="center"/>
              <w:rPr>
                <w:rFonts w:hint="eastAsia" w:ascii="宋体" w:hAnsi="宋体" w:eastAsia="宋体" w:cs="宋体"/>
                <w:color w:val="auto"/>
                <w:sz w:val="21"/>
                <w:szCs w:val="21"/>
              </w:rPr>
            </w:pPr>
            <w:r>
              <w:rPr>
                <w:rFonts w:hint="eastAsia" w:ascii="宋体" w:hAnsi="宋体" w:eastAsia="宋体" w:cs="宋体"/>
                <w:sz w:val="21"/>
                <w:szCs w:val="21"/>
              </w:rPr>
              <w:t>128</w:t>
            </w:r>
          </w:p>
        </w:tc>
        <w:tc>
          <w:tcPr>
            <w:tcW w:w="774" w:type="dxa"/>
            <w:vMerge w:val="continue"/>
            <w:tcBorders>
              <w:top w:val="single" w:color="000000" w:sz="8" w:space="0"/>
              <w:left w:val="single" w:color="000000" w:sz="6" w:space="0"/>
              <w:bottom w:val="single" w:color="000000" w:sz="8" w:space="0"/>
              <w:right w:val="single" w:color="000000" w:sz="8" w:space="0"/>
            </w:tcBorders>
            <w:noWrap w:val="0"/>
            <w:vAlign w:val="center"/>
          </w:tcPr>
          <w:p>
            <w:pPr>
              <w:widowControl/>
              <w:spacing w:line="360" w:lineRule="auto"/>
              <w:jc w:val="center"/>
              <w:rPr>
                <w:rFonts w:hint="eastAsia" w:ascii="宋体" w:hAnsi="宋体" w:eastAsia="宋体" w:cs="宋体"/>
                <w:color w:val="000000"/>
                <w:kern w:val="0"/>
                <w:sz w:val="21"/>
                <w:szCs w:val="21"/>
              </w:rPr>
            </w:pPr>
          </w:p>
        </w:tc>
        <w:tc>
          <w:tcPr>
            <w:tcW w:w="1066" w:type="dxa"/>
            <w:vMerge w:val="continue"/>
            <w:tcBorders>
              <w:top w:val="single" w:color="000000" w:sz="8" w:space="0"/>
              <w:left w:val="single" w:color="000000" w:sz="8" w:space="0"/>
              <w:bottom w:val="single" w:color="000000" w:sz="8" w:space="0"/>
              <w:right w:val="single" w:color="000000" w:sz="6" w:space="0"/>
            </w:tcBorders>
            <w:noWrap w:val="0"/>
            <w:vAlign w:val="center"/>
          </w:tcPr>
          <w:p>
            <w:pPr>
              <w:widowControl/>
              <w:spacing w:line="360" w:lineRule="auto"/>
              <w:jc w:val="left"/>
              <w:rPr>
                <w:rFonts w:hint="eastAsia" w:ascii="宋体" w:hAnsi="宋体" w:eastAsia="宋体" w:cs="宋体"/>
                <w:color w:val="000000"/>
                <w:kern w:val="0"/>
                <w:sz w:val="21"/>
                <w:szCs w:val="21"/>
              </w:rPr>
            </w:pPr>
          </w:p>
        </w:tc>
        <w:tc>
          <w:tcPr>
            <w:tcW w:w="5677" w:type="dxa"/>
            <w:tcBorders>
              <w:top w:val="single" w:color="000000" w:sz="8" w:space="0"/>
              <w:left w:val="single" w:color="000000" w:sz="6" w:space="0"/>
              <w:bottom w:val="single" w:color="000000" w:sz="8" w:space="0"/>
              <w:right w:val="single" w:color="000000" w:sz="6" w:space="0"/>
            </w:tcBorders>
            <w:noWrap w:val="0"/>
            <w:vAlign w:val="center"/>
          </w:tcPr>
          <w:p>
            <w:pPr>
              <w:pStyle w:val="9"/>
              <w:spacing w:line="360" w:lineRule="auto"/>
              <w:jc w:val="both"/>
              <w:rPr>
                <w:rFonts w:hint="eastAsia" w:ascii="宋体" w:hAnsi="宋体" w:eastAsia="宋体" w:cs="宋体"/>
                <w:sz w:val="21"/>
                <w:szCs w:val="21"/>
              </w:rPr>
            </w:pPr>
            <w:r>
              <w:rPr>
                <w:rFonts w:hint="eastAsia" w:ascii="宋体" w:hAnsi="宋体" w:eastAsia="宋体" w:cs="宋体"/>
                <w:sz w:val="21"/>
                <w:szCs w:val="21"/>
              </w:rPr>
              <w:t>消防功能启动后，电梯不响应外呼和内选信号，轿厢直接返回指定撤离层，开门待命。</w:t>
            </w:r>
          </w:p>
        </w:tc>
        <w:tc>
          <w:tcPr>
            <w:tcW w:w="817" w:type="dxa"/>
            <w:tcBorders>
              <w:top w:val="single" w:color="000000" w:sz="8" w:space="0"/>
              <w:left w:val="single" w:color="000000" w:sz="6" w:space="0"/>
              <w:bottom w:val="single" w:color="000000" w:sz="8" w:space="0"/>
              <w:right w:val="single" w:color="000000" w:sz="8" w:space="0"/>
            </w:tcBorders>
            <w:noWrap w:val="0"/>
            <w:vAlign w:val="center"/>
          </w:tcPr>
          <w:p>
            <w:pPr>
              <w:pStyle w:val="9"/>
              <w:spacing w:line="360" w:lineRule="auto"/>
              <w:jc w:val="center"/>
              <w:rPr>
                <w:rFonts w:hint="eastAsia" w:ascii="宋体" w:hAnsi="宋体" w:eastAsia="宋体" w:cs="宋体"/>
                <w:sz w:val="21"/>
                <w:szCs w:val="21"/>
              </w:rPr>
            </w:pPr>
            <w:r>
              <w:rPr>
                <w:rFonts w:hint="eastAsia" w:ascii="宋体" w:hAnsi="宋体" w:eastAsia="宋体" w:cs="宋体"/>
                <w:sz w:val="21"/>
                <w:szCs w:val="21"/>
              </w:rPr>
              <w:t>一年</w:t>
            </w:r>
          </w:p>
        </w:tc>
      </w:tr>
      <w:tr>
        <w:tblPrEx>
          <w:tblCellMar>
            <w:top w:w="0" w:type="dxa"/>
            <w:left w:w="108" w:type="dxa"/>
            <w:bottom w:w="0" w:type="dxa"/>
            <w:right w:w="108" w:type="dxa"/>
          </w:tblCellMar>
        </w:tblPrEx>
        <w:trPr>
          <w:trHeight w:val="620" w:hRule="atLeast"/>
        </w:trPr>
        <w:tc>
          <w:tcPr>
            <w:tcW w:w="9017" w:type="dxa"/>
            <w:gridSpan w:val="5"/>
            <w:tcBorders>
              <w:top w:val="single" w:color="000000" w:sz="8" w:space="0"/>
              <w:left w:val="single" w:color="000000" w:sz="8" w:space="0"/>
              <w:bottom w:val="single" w:color="000000" w:sz="12" w:space="0"/>
              <w:right w:val="single" w:color="000000" w:sz="8" w:space="0"/>
            </w:tcBorders>
            <w:noWrap w:val="0"/>
            <w:vAlign w:val="top"/>
          </w:tcPr>
          <w:p>
            <w:pPr>
              <w:pStyle w:val="9"/>
              <w:spacing w:line="360" w:lineRule="auto"/>
              <w:ind w:firstLine="114"/>
              <w:jc w:val="both"/>
              <w:rPr>
                <w:rFonts w:hint="eastAsia" w:ascii="宋体" w:hAnsi="宋体" w:eastAsia="宋体" w:cs="宋体"/>
                <w:sz w:val="21"/>
                <w:szCs w:val="21"/>
              </w:rPr>
            </w:pPr>
            <w:r>
              <w:rPr>
                <w:rFonts w:hint="eastAsia" w:ascii="宋体" w:hAnsi="宋体" w:eastAsia="宋体" w:cs="宋体"/>
                <w:sz w:val="21"/>
                <w:szCs w:val="21"/>
              </w:rPr>
              <w:t>注：一年维护保养项目包括半年、季度和半月维护保养项目，半年维护保养项目包括季度、半月维护保养项目，季度维护保养项目包括半月维护保养项目。</w:t>
            </w:r>
          </w:p>
        </w:tc>
      </w:tr>
    </w:tbl>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2Zjk1OTYxYTM4MDNlNmJmMDhhMDA4ZGUwMTM1NjYifQ=="/>
  </w:docVars>
  <w:rsids>
    <w:rsidRoot w:val="00FB344D"/>
    <w:rsid w:val="00340E6B"/>
    <w:rsid w:val="0036724A"/>
    <w:rsid w:val="00373371"/>
    <w:rsid w:val="004D7490"/>
    <w:rsid w:val="007A4E77"/>
    <w:rsid w:val="008355A5"/>
    <w:rsid w:val="00A16669"/>
    <w:rsid w:val="00A37E2F"/>
    <w:rsid w:val="00B165CD"/>
    <w:rsid w:val="00B25B58"/>
    <w:rsid w:val="00B3025B"/>
    <w:rsid w:val="00BB751A"/>
    <w:rsid w:val="00EC49B0"/>
    <w:rsid w:val="00FB344D"/>
    <w:rsid w:val="01074800"/>
    <w:rsid w:val="01960F3A"/>
    <w:rsid w:val="01B76294"/>
    <w:rsid w:val="01C905AB"/>
    <w:rsid w:val="01CC5A39"/>
    <w:rsid w:val="01D75FF2"/>
    <w:rsid w:val="01EA5141"/>
    <w:rsid w:val="020B0006"/>
    <w:rsid w:val="021A0802"/>
    <w:rsid w:val="021D3A02"/>
    <w:rsid w:val="02642B12"/>
    <w:rsid w:val="027E4958"/>
    <w:rsid w:val="029469C3"/>
    <w:rsid w:val="029742ED"/>
    <w:rsid w:val="02A701CA"/>
    <w:rsid w:val="02D301E0"/>
    <w:rsid w:val="02E17875"/>
    <w:rsid w:val="02ED3B77"/>
    <w:rsid w:val="02FC00FB"/>
    <w:rsid w:val="030164F8"/>
    <w:rsid w:val="03223982"/>
    <w:rsid w:val="03265065"/>
    <w:rsid w:val="0363219B"/>
    <w:rsid w:val="037318F8"/>
    <w:rsid w:val="037A6458"/>
    <w:rsid w:val="03805B36"/>
    <w:rsid w:val="038769B2"/>
    <w:rsid w:val="03AF671A"/>
    <w:rsid w:val="03BB07AD"/>
    <w:rsid w:val="03CD063C"/>
    <w:rsid w:val="03CD42CA"/>
    <w:rsid w:val="03CF23CD"/>
    <w:rsid w:val="03F61A73"/>
    <w:rsid w:val="0401338C"/>
    <w:rsid w:val="04091905"/>
    <w:rsid w:val="042613F1"/>
    <w:rsid w:val="04546E14"/>
    <w:rsid w:val="04910AA6"/>
    <w:rsid w:val="04927E03"/>
    <w:rsid w:val="04A33EF2"/>
    <w:rsid w:val="04A8594E"/>
    <w:rsid w:val="04AC076F"/>
    <w:rsid w:val="04B8369E"/>
    <w:rsid w:val="04BD42F9"/>
    <w:rsid w:val="04C24A3F"/>
    <w:rsid w:val="04C75C7C"/>
    <w:rsid w:val="04CD724B"/>
    <w:rsid w:val="04FD2F02"/>
    <w:rsid w:val="05026D04"/>
    <w:rsid w:val="050D7B39"/>
    <w:rsid w:val="05115B7A"/>
    <w:rsid w:val="052B42AA"/>
    <w:rsid w:val="05730552"/>
    <w:rsid w:val="05873B3A"/>
    <w:rsid w:val="058959BC"/>
    <w:rsid w:val="05B37B00"/>
    <w:rsid w:val="05B91618"/>
    <w:rsid w:val="05F536C6"/>
    <w:rsid w:val="05FA12B3"/>
    <w:rsid w:val="06065EB6"/>
    <w:rsid w:val="063D1748"/>
    <w:rsid w:val="06554405"/>
    <w:rsid w:val="06571158"/>
    <w:rsid w:val="066D37DD"/>
    <w:rsid w:val="067350B8"/>
    <w:rsid w:val="067D4610"/>
    <w:rsid w:val="06B0604A"/>
    <w:rsid w:val="06D42F7E"/>
    <w:rsid w:val="06EF61A6"/>
    <w:rsid w:val="06F105F3"/>
    <w:rsid w:val="07262AC5"/>
    <w:rsid w:val="073237EE"/>
    <w:rsid w:val="073B046E"/>
    <w:rsid w:val="07456A8F"/>
    <w:rsid w:val="075D1D30"/>
    <w:rsid w:val="076D790C"/>
    <w:rsid w:val="077D7514"/>
    <w:rsid w:val="07913CD4"/>
    <w:rsid w:val="07AA7D8C"/>
    <w:rsid w:val="07D83708"/>
    <w:rsid w:val="07F059F9"/>
    <w:rsid w:val="07F54D57"/>
    <w:rsid w:val="081F4923"/>
    <w:rsid w:val="0838292E"/>
    <w:rsid w:val="08390B86"/>
    <w:rsid w:val="086D0FE0"/>
    <w:rsid w:val="087A6890"/>
    <w:rsid w:val="08A13B2D"/>
    <w:rsid w:val="08B57550"/>
    <w:rsid w:val="08BD19D1"/>
    <w:rsid w:val="08D9531E"/>
    <w:rsid w:val="08F8103B"/>
    <w:rsid w:val="0943334A"/>
    <w:rsid w:val="095D5A23"/>
    <w:rsid w:val="09656969"/>
    <w:rsid w:val="099223EE"/>
    <w:rsid w:val="09935A9A"/>
    <w:rsid w:val="099570A5"/>
    <w:rsid w:val="09A6108B"/>
    <w:rsid w:val="09CF0741"/>
    <w:rsid w:val="09D42DB5"/>
    <w:rsid w:val="09DE2317"/>
    <w:rsid w:val="09FC5B7D"/>
    <w:rsid w:val="0A243D8B"/>
    <w:rsid w:val="0A310218"/>
    <w:rsid w:val="0A635A51"/>
    <w:rsid w:val="0A635DED"/>
    <w:rsid w:val="0A8722FC"/>
    <w:rsid w:val="0A956CC4"/>
    <w:rsid w:val="0A9723EB"/>
    <w:rsid w:val="0AA818A0"/>
    <w:rsid w:val="0ABA2D8F"/>
    <w:rsid w:val="0ABD6AC8"/>
    <w:rsid w:val="0ACB67CD"/>
    <w:rsid w:val="0AE350CD"/>
    <w:rsid w:val="0AE96568"/>
    <w:rsid w:val="0B211C88"/>
    <w:rsid w:val="0B2166CD"/>
    <w:rsid w:val="0B2D523C"/>
    <w:rsid w:val="0B427965"/>
    <w:rsid w:val="0B522927"/>
    <w:rsid w:val="0B5A2E66"/>
    <w:rsid w:val="0B6145AF"/>
    <w:rsid w:val="0B67782E"/>
    <w:rsid w:val="0BBB33B4"/>
    <w:rsid w:val="0BEB3664"/>
    <w:rsid w:val="0BEC015E"/>
    <w:rsid w:val="0C3A36B9"/>
    <w:rsid w:val="0C4E6DB1"/>
    <w:rsid w:val="0C60455E"/>
    <w:rsid w:val="0C6E76D3"/>
    <w:rsid w:val="0C81471C"/>
    <w:rsid w:val="0CA13EFF"/>
    <w:rsid w:val="0CAB336A"/>
    <w:rsid w:val="0CAC0026"/>
    <w:rsid w:val="0CEF3CFC"/>
    <w:rsid w:val="0D000407"/>
    <w:rsid w:val="0D1802D7"/>
    <w:rsid w:val="0D316335"/>
    <w:rsid w:val="0D361969"/>
    <w:rsid w:val="0D602929"/>
    <w:rsid w:val="0D614481"/>
    <w:rsid w:val="0D804966"/>
    <w:rsid w:val="0DAB4639"/>
    <w:rsid w:val="0DB870A2"/>
    <w:rsid w:val="0DBE333F"/>
    <w:rsid w:val="0DD76CB8"/>
    <w:rsid w:val="0DDE4B11"/>
    <w:rsid w:val="0DDF4238"/>
    <w:rsid w:val="0E0E7951"/>
    <w:rsid w:val="0E1028D2"/>
    <w:rsid w:val="0E1556A3"/>
    <w:rsid w:val="0E223F19"/>
    <w:rsid w:val="0E253D20"/>
    <w:rsid w:val="0E316A65"/>
    <w:rsid w:val="0E4561E0"/>
    <w:rsid w:val="0E6F4242"/>
    <w:rsid w:val="0E7E3FA5"/>
    <w:rsid w:val="0E8C2A38"/>
    <w:rsid w:val="0ECC3BF0"/>
    <w:rsid w:val="0EE62176"/>
    <w:rsid w:val="0EE87DB1"/>
    <w:rsid w:val="0F0F79AC"/>
    <w:rsid w:val="0F2D37B6"/>
    <w:rsid w:val="0F5A2412"/>
    <w:rsid w:val="0F6E59DE"/>
    <w:rsid w:val="0FAC2769"/>
    <w:rsid w:val="0FD07B29"/>
    <w:rsid w:val="0FF27147"/>
    <w:rsid w:val="101F7E09"/>
    <w:rsid w:val="102F5DF1"/>
    <w:rsid w:val="10515EE7"/>
    <w:rsid w:val="10525957"/>
    <w:rsid w:val="10526345"/>
    <w:rsid w:val="105E7C3A"/>
    <w:rsid w:val="1070290E"/>
    <w:rsid w:val="10715280"/>
    <w:rsid w:val="108206BD"/>
    <w:rsid w:val="108948EE"/>
    <w:rsid w:val="10A133A0"/>
    <w:rsid w:val="10B55D84"/>
    <w:rsid w:val="1103428B"/>
    <w:rsid w:val="11087588"/>
    <w:rsid w:val="11177523"/>
    <w:rsid w:val="11182ABA"/>
    <w:rsid w:val="11557458"/>
    <w:rsid w:val="11790EAF"/>
    <w:rsid w:val="11972550"/>
    <w:rsid w:val="11B258F1"/>
    <w:rsid w:val="11CB18A8"/>
    <w:rsid w:val="11D2164F"/>
    <w:rsid w:val="11D745D9"/>
    <w:rsid w:val="11FB6672"/>
    <w:rsid w:val="12251DBE"/>
    <w:rsid w:val="12256D49"/>
    <w:rsid w:val="123A59DC"/>
    <w:rsid w:val="12525F91"/>
    <w:rsid w:val="126126D9"/>
    <w:rsid w:val="126A5030"/>
    <w:rsid w:val="126C1720"/>
    <w:rsid w:val="1278441B"/>
    <w:rsid w:val="127A2BF4"/>
    <w:rsid w:val="128703EF"/>
    <w:rsid w:val="12906E79"/>
    <w:rsid w:val="12A34286"/>
    <w:rsid w:val="12AD0215"/>
    <w:rsid w:val="12C822F6"/>
    <w:rsid w:val="12CB1D67"/>
    <w:rsid w:val="12D85351"/>
    <w:rsid w:val="12FB5F62"/>
    <w:rsid w:val="13110985"/>
    <w:rsid w:val="1333116F"/>
    <w:rsid w:val="134935AC"/>
    <w:rsid w:val="13886F20"/>
    <w:rsid w:val="13A12170"/>
    <w:rsid w:val="13BB3B89"/>
    <w:rsid w:val="13C77499"/>
    <w:rsid w:val="13C85394"/>
    <w:rsid w:val="13D62D03"/>
    <w:rsid w:val="13E768B8"/>
    <w:rsid w:val="13F710C1"/>
    <w:rsid w:val="14171BF6"/>
    <w:rsid w:val="141B5D90"/>
    <w:rsid w:val="14296A41"/>
    <w:rsid w:val="14AD13A4"/>
    <w:rsid w:val="14E34390"/>
    <w:rsid w:val="14E94D4A"/>
    <w:rsid w:val="1517436A"/>
    <w:rsid w:val="156F4B30"/>
    <w:rsid w:val="15701C8A"/>
    <w:rsid w:val="158A6A06"/>
    <w:rsid w:val="15AD2C44"/>
    <w:rsid w:val="15B82983"/>
    <w:rsid w:val="15C430F6"/>
    <w:rsid w:val="15D220B9"/>
    <w:rsid w:val="15D76E8B"/>
    <w:rsid w:val="15E44014"/>
    <w:rsid w:val="16017797"/>
    <w:rsid w:val="161B47F5"/>
    <w:rsid w:val="162E4F6A"/>
    <w:rsid w:val="16335003"/>
    <w:rsid w:val="16404BB8"/>
    <w:rsid w:val="16783385"/>
    <w:rsid w:val="167A3FF8"/>
    <w:rsid w:val="169C34E7"/>
    <w:rsid w:val="16B86A94"/>
    <w:rsid w:val="16D05188"/>
    <w:rsid w:val="16D828BE"/>
    <w:rsid w:val="16DB135B"/>
    <w:rsid w:val="17070A56"/>
    <w:rsid w:val="1713097B"/>
    <w:rsid w:val="176D2EA1"/>
    <w:rsid w:val="17736325"/>
    <w:rsid w:val="17E376BD"/>
    <w:rsid w:val="18130FB0"/>
    <w:rsid w:val="182F4B9F"/>
    <w:rsid w:val="184C7583"/>
    <w:rsid w:val="18901E49"/>
    <w:rsid w:val="18CB3982"/>
    <w:rsid w:val="19013BB3"/>
    <w:rsid w:val="19052613"/>
    <w:rsid w:val="190F6DE4"/>
    <w:rsid w:val="19366B32"/>
    <w:rsid w:val="19407427"/>
    <w:rsid w:val="19454F52"/>
    <w:rsid w:val="1951238B"/>
    <w:rsid w:val="19743AAC"/>
    <w:rsid w:val="19973B8B"/>
    <w:rsid w:val="19A0553B"/>
    <w:rsid w:val="19CA1A1D"/>
    <w:rsid w:val="19E60760"/>
    <w:rsid w:val="19E91065"/>
    <w:rsid w:val="19E9212D"/>
    <w:rsid w:val="1A2169EE"/>
    <w:rsid w:val="1A284409"/>
    <w:rsid w:val="1A287FFA"/>
    <w:rsid w:val="1A32245D"/>
    <w:rsid w:val="1A7260E2"/>
    <w:rsid w:val="1A8C3FF8"/>
    <w:rsid w:val="1A9B5F39"/>
    <w:rsid w:val="1AC604D8"/>
    <w:rsid w:val="1AC605BA"/>
    <w:rsid w:val="1AED2155"/>
    <w:rsid w:val="1B0246CA"/>
    <w:rsid w:val="1B3930BD"/>
    <w:rsid w:val="1B623FFA"/>
    <w:rsid w:val="1B6A4BE6"/>
    <w:rsid w:val="1B807F7D"/>
    <w:rsid w:val="1B865D1C"/>
    <w:rsid w:val="1B966A0D"/>
    <w:rsid w:val="1BAC6C32"/>
    <w:rsid w:val="1BC12B81"/>
    <w:rsid w:val="1BDB73A1"/>
    <w:rsid w:val="1C00514A"/>
    <w:rsid w:val="1C0414B4"/>
    <w:rsid w:val="1C1725D3"/>
    <w:rsid w:val="1C241989"/>
    <w:rsid w:val="1C2B0826"/>
    <w:rsid w:val="1C3935C8"/>
    <w:rsid w:val="1C414524"/>
    <w:rsid w:val="1C5A2183"/>
    <w:rsid w:val="1C5B395C"/>
    <w:rsid w:val="1C5C5A0D"/>
    <w:rsid w:val="1C5C76B2"/>
    <w:rsid w:val="1C64542F"/>
    <w:rsid w:val="1C663B38"/>
    <w:rsid w:val="1C6C0D9A"/>
    <w:rsid w:val="1C7471DD"/>
    <w:rsid w:val="1C885B8C"/>
    <w:rsid w:val="1CB70DBF"/>
    <w:rsid w:val="1CB97D46"/>
    <w:rsid w:val="1CCA28B5"/>
    <w:rsid w:val="1CFA1B12"/>
    <w:rsid w:val="1D0412D3"/>
    <w:rsid w:val="1D351C7F"/>
    <w:rsid w:val="1D4B5618"/>
    <w:rsid w:val="1D891735"/>
    <w:rsid w:val="1DB251BC"/>
    <w:rsid w:val="1DD02818"/>
    <w:rsid w:val="1DE21117"/>
    <w:rsid w:val="1E2E442D"/>
    <w:rsid w:val="1E320391"/>
    <w:rsid w:val="1E4A66F6"/>
    <w:rsid w:val="1E5A1BE6"/>
    <w:rsid w:val="1E5D05FC"/>
    <w:rsid w:val="1E6F2E35"/>
    <w:rsid w:val="1E7440DC"/>
    <w:rsid w:val="1E7F49A8"/>
    <w:rsid w:val="1E815DD3"/>
    <w:rsid w:val="1EA41C23"/>
    <w:rsid w:val="1ECC6ADF"/>
    <w:rsid w:val="1ECF4C5C"/>
    <w:rsid w:val="1ED212C3"/>
    <w:rsid w:val="1EDA4414"/>
    <w:rsid w:val="1EE30D98"/>
    <w:rsid w:val="1EF34DFD"/>
    <w:rsid w:val="1EF82C80"/>
    <w:rsid w:val="1F4F7B3A"/>
    <w:rsid w:val="1F8D37F8"/>
    <w:rsid w:val="1F8D741C"/>
    <w:rsid w:val="1FAC7DD2"/>
    <w:rsid w:val="1FAD3C44"/>
    <w:rsid w:val="2001181B"/>
    <w:rsid w:val="2013718B"/>
    <w:rsid w:val="20231A6B"/>
    <w:rsid w:val="20290813"/>
    <w:rsid w:val="203E5979"/>
    <w:rsid w:val="203F0D9C"/>
    <w:rsid w:val="206672ED"/>
    <w:rsid w:val="210B768E"/>
    <w:rsid w:val="21957A78"/>
    <w:rsid w:val="219E13D5"/>
    <w:rsid w:val="21E159C4"/>
    <w:rsid w:val="21EF2980"/>
    <w:rsid w:val="21F9311D"/>
    <w:rsid w:val="22162E50"/>
    <w:rsid w:val="222D61E9"/>
    <w:rsid w:val="22330F8A"/>
    <w:rsid w:val="22361730"/>
    <w:rsid w:val="223F66CF"/>
    <w:rsid w:val="22482E8D"/>
    <w:rsid w:val="22592678"/>
    <w:rsid w:val="22702B44"/>
    <w:rsid w:val="22777818"/>
    <w:rsid w:val="228E7B16"/>
    <w:rsid w:val="22E24798"/>
    <w:rsid w:val="22E64352"/>
    <w:rsid w:val="22F60C4A"/>
    <w:rsid w:val="22FE6A62"/>
    <w:rsid w:val="2308504E"/>
    <w:rsid w:val="230F7F43"/>
    <w:rsid w:val="23707E38"/>
    <w:rsid w:val="238208B8"/>
    <w:rsid w:val="238A2FB4"/>
    <w:rsid w:val="238B6591"/>
    <w:rsid w:val="23A17AC7"/>
    <w:rsid w:val="23CA0536"/>
    <w:rsid w:val="23FD7659"/>
    <w:rsid w:val="241F3C13"/>
    <w:rsid w:val="24D77557"/>
    <w:rsid w:val="24EF08AD"/>
    <w:rsid w:val="25001956"/>
    <w:rsid w:val="252B5DE7"/>
    <w:rsid w:val="25392275"/>
    <w:rsid w:val="253F00C3"/>
    <w:rsid w:val="25A26ACE"/>
    <w:rsid w:val="25BB3C27"/>
    <w:rsid w:val="25CF4F69"/>
    <w:rsid w:val="25ED178D"/>
    <w:rsid w:val="2611652D"/>
    <w:rsid w:val="2672178F"/>
    <w:rsid w:val="26723EB0"/>
    <w:rsid w:val="2687387D"/>
    <w:rsid w:val="26965EFE"/>
    <w:rsid w:val="26B25EFB"/>
    <w:rsid w:val="26BD532D"/>
    <w:rsid w:val="26DF05C4"/>
    <w:rsid w:val="270D1588"/>
    <w:rsid w:val="27280C57"/>
    <w:rsid w:val="27341B03"/>
    <w:rsid w:val="274D2DA6"/>
    <w:rsid w:val="27515BEE"/>
    <w:rsid w:val="275E52CA"/>
    <w:rsid w:val="27760A2D"/>
    <w:rsid w:val="27894E9D"/>
    <w:rsid w:val="278B68DC"/>
    <w:rsid w:val="278E3BC3"/>
    <w:rsid w:val="27A81F05"/>
    <w:rsid w:val="27B115C3"/>
    <w:rsid w:val="27B204E7"/>
    <w:rsid w:val="27B37F80"/>
    <w:rsid w:val="27D7190E"/>
    <w:rsid w:val="27E042EE"/>
    <w:rsid w:val="2804281E"/>
    <w:rsid w:val="28097DFF"/>
    <w:rsid w:val="288631C7"/>
    <w:rsid w:val="288C0F74"/>
    <w:rsid w:val="28A869B8"/>
    <w:rsid w:val="28BE4A51"/>
    <w:rsid w:val="28CA45A2"/>
    <w:rsid w:val="28CF1101"/>
    <w:rsid w:val="28F702EA"/>
    <w:rsid w:val="292716B6"/>
    <w:rsid w:val="292D617A"/>
    <w:rsid w:val="295951B8"/>
    <w:rsid w:val="2961698A"/>
    <w:rsid w:val="296B15B6"/>
    <w:rsid w:val="29741420"/>
    <w:rsid w:val="297B542D"/>
    <w:rsid w:val="29812F2D"/>
    <w:rsid w:val="29997E9C"/>
    <w:rsid w:val="29BE1463"/>
    <w:rsid w:val="29E235E7"/>
    <w:rsid w:val="29F56B63"/>
    <w:rsid w:val="2A0D7E3F"/>
    <w:rsid w:val="2A5C4167"/>
    <w:rsid w:val="2A6B10C1"/>
    <w:rsid w:val="2AA213C6"/>
    <w:rsid w:val="2AA431E8"/>
    <w:rsid w:val="2ABB2645"/>
    <w:rsid w:val="2AEE2E32"/>
    <w:rsid w:val="2B015C5C"/>
    <w:rsid w:val="2B087C97"/>
    <w:rsid w:val="2B164062"/>
    <w:rsid w:val="2B2E6318"/>
    <w:rsid w:val="2B4205DD"/>
    <w:rsid w:val="2B4C7875"/>
    <w:rsid w:val="2B5003AD"/>
    <w:rsid w:val="2BA12E85"/>
    <w:rsid w:val="2BAB0466"/>
    <w:rsid w:val="2BB002E7"/>
    <w:rsid w:val="2BBB2545"/>
    <w:rsid w:val="2BBE121D"/>
    <w:rsid w:val="2BDE74E8"/>
    <w:rsid w:val="2C052F7B"/>
    <w:rsid w:val="2C162F30"/>
    <w:rsid w:val="2C174C9F"/>
    <w:rsid w:val="2C390951"/>
    <w:rsid w:val="2C4261EE"/>
    <w:rsid w:val="2C6515FD"/>
    <w:rsid w:val="2C660C4A"/>
    <w:rsid w:val="2C6E460D"/>
    <w:rsid w:val="2C784AB6"/>
    <w:rsid w:val="2C8613F5"/>
    <w:rsid w:val="2C9E40F1"/>
    <w:rsid w:val="2CAC43D0"/>
    <w:rsid w:val="2CB40D7A"/>
    <w:rsid w:val="2CB8508F"/>
    <w:rsid w:val="2CC16F03"/>
    <w:rsid w:val="2CCB605D"/>
    <w:rsid w:val="2D06717A"/>
    <w:rsid w:val="2D29634A"/>
    <w:rsid w:val="2D3F00FF"/>
    <w:rsid w:val="2D44112B"/>
    <w:rsid w:val="2D6934BB"/>
    <w:rsid w:val="2D72746C"/>
    <w:rsid w:val="2D756C8B"/>
    <w:rsid w:val="2D893EFE"/>
    <w:rsid w:val="2DB43C3A"/>
    <w:rsid w:val="2DC25B98"/>
    <w:rsid w:val="2DCE5000"/>
    <w:rsid w:val="2DDE75C9"/>
    <w:rsid w:val="2E046CF5"/>
    <w:rsid w:val="2E0D5A67"/>
    <w:rsid w:val="2E0F430E"/>
    <w:rsid w:val="2E0F5E2C"/>
    <w:rsid w:val="2E10630C"/>
    <w:rsid w:val="2E3D47B7"/>
    <w:rsid w:val="2E63305B"/>
    <w:rsid w:val="2E9A7AFB"/>
    <w:rsid w:val="2EA2724C"/>
    <w:rsid w:val="2EB00E99"/>
    <w:rsid w:val="2EE11AFA"/>
    <w:rsid w:val="2EEE4E04"/>
    <w:rsid w:val="2EFC55B0"/>
    <w:rsid w:val="2F233C42"/>
    <w:rsid w:val="2F370601"/>
    <w:rsid w:val="2F496038"/>
    <w:rsid w:val="2F5F034A"/>
    <w:rsid w:val="2F8D7317"/>
    <w:rsid w:val="2FC14BF9"/>
    <w:rsid w:val="2FE02B0F"/>
    <w:rsid w:val="2FE850DB"/>
    <w:rsid w:val="2FFA0B97"/>
    <w:rsid w:val="30015F14"/>
    <w:rsid w:val="3029353E"/>
    <w:rsid w:val="30552FF3"/>
    <w:rsid w:val="305E1D7E"/>
    <w:rsid w:val="30675F43"/>
    <w:rsid w:val="308F1283"/>
    <w:rsid w:val="30BF0D6E"/>
    <w:rsid w:val="30C54410"/>
    <w:rsid w:val="30CF4A9E"/>
    <w:rsid w:val="30F631D9"/>
    <w:rsid w:val="31313878"/>
    <w:rsid w:val="317269CE"/>
    <w:rsid w:val="31736A1E"/>
    <w:rsid w:val="317C79DD"/>
    <w:rsid w:val="3185353E"/>
    <w:rsid w:val="318844BF"/>
    <w:rsid w:val="318B2AAA"/>
    <w:rsid w:val="31AB2E8C"/>
    <w:rsid w:val="31BE7FD4"/>
    <w:rsid w:val="31CA0427"/>
    <w:rsid w:val="31E52878"/>
    <w:rsid w:val="320A76D0"/>
    <w:rsid w:val="322853B8"/>
    <w:rsid w:val="324C2D58"/>
    <w:rsid w:val="32520802"/>
    <w:rsid w:val="325212B4"/>
    <w:rsid w:val="328762E6"/>
    <w:rsid w:val="329C1DA0"/>
    <w:rsid w:val="32CA3862"/>
    <w:rsid w:val="32E03C73"/>
    <w:rsid w:val="32E23355"/>
    <w:rsid w:val="335B72DD"/>
    <w:rsid w:val="33704429"/>
    <w:rsid w:val="33837C5E"/>
    <w:rsid w:val="33864171"/>
    <w:rsid w:val="338C52F5"/>
    <w:rsid w:val="33C234D3"/>
    <w:rsid w:val="33CA536C"/>
    <w:rsid w:val="33EA33B7"/>
    <w:rsid w:val="33ED56C2"/>
    <w:rsid w:val="33F6288B"/>
    <w:rsid w:val="341E27FA"/>
    <w:rsid w:val="34330403"/>
    <w:rsid w:val="343B2752"/>
    <w:rsid w:val="34497C1C"/>
    <w:rsid w:val="3454008C"/>
    <w:rsid w:val="34B3703B"/>
    <w:rsid w:val="34B5412B"/>
    <w:rsid w:val="34B700E0"/>
    <w:rsid w:val="34C340C3"/>
    <w:rsid w:val="34DC11F1"/>
    <w:rsid w:val="34DE6667"/>
    <w:rsid w:val="34F37AC8"/>
    <w:rsid w:val="34FB1F56"/>
    <w:rsid w:val="353708F4"/>
    <w:rsid w:val="353856A1"/>
    <w:rsid w:val="353C56D9"/>
    <w:rsid w:val="35433FAD"/>
    <w:rsid w:val="357C69C5"/>
    <w:rsid w:val="357D0BA3"/>
    <w:rsid w:val="35C67122"/>
    <w:rsid w:val="35C97924"/>
    <w:rsid w:val="35F53768"/>
    <w:rsid w:val="3622425C"/>
    <w:rsid w:val="3635620E"/>
    <w:rsid w:val="364331FB"/>
    <w:rsid w:val="36482123"/>
    <w:rsid w:val="3675766A"/>
    <w:rsid w:val="3676323D"/>
    <w:rsid w:val="36857EB9"/>
    <w:rsid w:val="36A63458"/>
    <w:rsid w:val="36C45A79"/>
    <w:rsid w:val="36DD1186"/>
    <w:rsid w:val="36F057D9"/>
    <w:rsid w:val="36F8184A"/>
    <w:rsid w:val="371A5345"/>
    <w:rsid w:val="37720C39"/>
    <w:rsid w:val="3786768E"/>
    <w:rsid w:val="3787045F"/>
    <w:rsid w:val="37D15C2D"/>
    <w:rsid w:val="37DA46AA"/>
    <w:rsid w:val="37F96A31"/>
    <w:rsid w:val="38062BB3"/>
    <w:rsid w:val="385D6ABC"/>
    <w:rsid w:val="387B2353"/>
    <w:rsid w:val="38804FE5"/>
    <w:rsid w:val="388652B5"/>
    <w:rsid w:val="389E6984"/>
    <w:rsid w:val="38C52BF1"/>
    <w:rsid w:val="38DF273A"/>
    <w:rsid w:val="38F72235"/>
    <w:rsid w:val="38FF3D07"/>
    <w:rsid w:val="391F4E13"/>
    <w:rsid w:val="39216BB8"/>
    <w:rsid w:val="39251F3A"/>
    <w:rsid w:val="392962BB"/>
    <w:rsid w:val="393642BA"/>
    <w:rsid w:val="394B6A8B"/>
    <w:rsid w:val="394D5467"/>
    <w:rsid w:val="394E0DE2"/>
    <w:rsid w:val="39524225"/>
    <w:rsid w:val="39584CA3"/>
    <w:rsid w:val="399F600B"/>
    <w:rsid w:val="39A31907"/>
    <w:rsid w:val="3A15751F"/>
    <w:rsid w:val="3A2A4B52"/>
    <w:rsid w:val="3A675747"/>
    <w:rsid w:val="3A855989"/>
    <w:rsid w:val="3A895919"/>
    <w:rsid w:val="3AC92606"/>
    <w:rsid w:val="3AD60877"/>
    <w:rsid w:val="3AE474F2"/>
    <w:rsid w:val="3AFE111C"/>
    <w:rsid w:val="3B2947DE"/>
    <w:rsid w:val="3B9502DB"/>
    <w:rsid w:val="3BAB78F2"/>
    <w:rsid w:val="3C2E7ADF"/>
    <w:rsid w:val="3C2F38A9"/>
    <w:rsid w:val="3C364F1C"/>
    <w:rsid w:val="3C3818D8"/>
    <w:rsid w:val="3C3C07A3"/>
    <w:rsid w:val="3C487089"/>
    <w:rsid w:val="3CA17D19"/>
    <w:rsid w:val="3CA3056C"/>
    <w:rsid w:val="3CCB09B2"/>
    <w:rsid w:val="3CEB09B4"/>
    <w:rsid w:val="3CF6193C"/>
    <w:rsid w:val="3D0B0D4E"/>
    <w:rsid w:val="3D0B2646"/>
    <w:rsid w:val="3D0F741B"/>
    <w:rsid w:val="3D1145FD"/>
    <w:rsid w:val="3D3F5427"/>
    <w:rsid w:val="3D5E4336"/>
    <w:rsid w:val="3D8266A7"/>
    <w:rsid w:val="3DA01C12"/>
    <w:rsid w:val="3DA57156"/>
    <w:rsid w:val="3DB270CE"/>
    <w:rsid w:val="3DBD6831"/>
    <w:rsid w:val="3DD45058"/>
    <w:rsid w:val="3DF67635"/>
    <w:rsid w:val="3DFB3C9C"/>
    <w:rsid w:val="3E170389"/>
    <w:rsid w:val="3E237357"/>
    <w:rsid w:val="3E241B93"/>
    <w:rsid w:val="3E2B2259"/>
    <w:rsid w:val="3E4278C9"/>
    <w:rsid w:val="3E5021F2"/>
    <w:rsid w:val="3E861EFD"/>
    <w:rsid w:val="3E952D9D"/>
    <w:rsid w:val="3EA737DA"/>
    <w:rsid w:val="3EA8707C"/>
    <w:rsid w:val="3EAD76CF"/>
    <w:rsid w:val="3EC82125"/>
    <w:rsid w:val="3EDC75A2"/>
    <w:rsid w:val="3EEC2458"/>
    <w:rsid w:val="3EED0C93"/>
    <w:rsid w:val="3EED7309"/>
    <w:rsid w:val="3F057925"/>
    <w:rsid w:val="3F830E79"/>
    <w:rsid w:val="3F88669D"/>
    <w:rsid w:val="3F8B3F7A"/>
    <w:rsid w:val="3FA60433"/>
    <w:rsid w:val="3FAF1F07"/>
    <w:rsid w:val="3FD34491"/>
    <w:rsid w:val="3FD62A1D"/>
    <w:rsid w:val="400C004F"/>
    <w:rsid w:val="40377EF2"/>
    <w:rsid w:val="407922EA"/>
    <w:rsid w:val="407C4EBA"/>
    <w:rsid w:val="4087744D"/>
    <w:rsid w:val="40C34034"/>
    <w:rsid w:val="40C51B96"/>
    <w:rsid w:val="40E80E09"/>
    <w:rsid w:val="40E93C60"/>
    <w:rsid w:val="40FF4464"/>
    <w:rsid w:val="41141949"/>
    <w:rsid w:val="41370E0F"/>
    <w:rsid w:val="414171A3"/>
    <w:rsid w:val="416B4CA5"/>
    <w:rsid w:val="41891ECA"/>
    <w:rsid w:val="418C4DE4"/>
    <w:rsid w:val="41A2580F"/>
    <w:rsid w:val="41B60BE5"/>
    <w:rsid w:val="41CB1943"/>
    <w:rsid w:val="42042D71"/>
    <w:rsid w:val="42527E84"/>
    <w:rsid w:val="429328D5"/>
    <w:rsid w:val="42C81221"/>
    <w:rsid w:val="42CA206B"/>
    <w:rsid w:val="42CC4F4A"/>
    <w:rsid w:val="4302413D"/>
    <w:rsid w:val="431771BE"/>
    <w:rsid w:val="433225C4"/>
    <w:rsid w:val="436E1E94"/>
    <w:rsid w:val="439233E5"/>
    <w:rsid w:val="43C2629C"/>
    <w:rsid w:val="43CD170B"/>
    <w:rsid w:val="43EE414A"/>
    <w:rsid w:val="43EE7E60"/>
    <w:rsid w:val="43F5343B"/>
    <w:rsid w:val="43FB5FFB"/>
    <w:rsid w:val="44171257"/>
    <w:rsid w:val="44496950"/>
    <w:rsid w:val="4463465F"/>
    <w:rsid w:val="447454D6"/>
    <w:rsid w:val="447F704F"/>
    <w:rsid w:val="44A3135E"/>
    <w:rsid w:val="44AE2939"/>
    <w:rsid w:val="44D665AA"/>
    <w:rsid w:val="45025A30"/>
    <w:rsid w:val="45110D04"/>
    <w:rsid w:val="45114802"/>
    <w:rsid w:val="451455EF"/>
    <w:rsid w:val="45295155"/>
    <w:rsid w:val="45305977"/>
    <w:rsid w:val="45392C5B"/>
    <w:rsid w:val="45445504"/>
    <w:rsid w:val="45530ADA"/>
    <w:rsid w:val="455C7CE2"/>
    <w:rsid w:val="45654B5B"/>
    <w:rsid w:val="456A2F98"/>
    <w:rsid w:val="456F7063"/>
    <w:rsid w:val="4570713F"/>
    <w:rsid w:val="457578F0"/>
    <w:rsid w:val="458310D8"/>
    <w:rsid w:val="45AE0C74"/>
    <w:rsid w:val="45BA30C4"/>
    <w:rsid w:val="45EB1F62"/>
    <w:rsid w:val="45ED2F8F"/>
    <w:rsid w:val="4603055C"/>
    <w:rsid w:val="465E384B"/>
    <w:rsid w:val="46B12E07"/>
    <w:rsid w:val="46D2306B"/>
    <w:rsid w:val="46E47284"/>
    <w:rsid w:val="46E97174"/>
    <w:rsid w:val="47351B98"/>
    <w:rsid w:val="474A4B84"/>
    <w:rsid w:val="475C4772"/>
    <w:rsid w:val="478314F4"/>
    <w:rsid w:val="47C21913"/>
    <w:rsid w:val="47CB7F72"/>
    <w:rsid w:val="48325D99"/>
    <w:rsid w:val="48374DA9"/>
    <w:rsid w:val="484F0EB2"/>
    <w:rsid w:val="489A38AF"/>
    <w:rsid w:val="48AB640D"/>
    <w:rsid w:val="48B53790"/>
    <w:rsid w:val="48C41EC1"/>
    <w:rsid w:val="48E26B67"/>
    <w:rsid w:val="48E3085E"/>
    <w:rsid w:val="48F17B88"/>
    <w:rsid w:val="491D7E81"/>
    <w:rsid w:val="49290217"/>
    <w:rsid w:val="493A3969"/>
    <w:rsid w:val="4949717F"/>
    <w:rsid w:val="494D5284"/>
    <w:rsid w:val="49854CFE"/>
    <w:rsid w:val="499405C3"/>
    <w:rsid w:val="499807C7"/>
    <w:rsid w:val="49AE0092"/>
    <w:rsid w:val="49C03467"/>
    <w:rsid w:val="49CC52AC"/>
    <w:rsid w:val="49D501BF"/>
    <w:rsid w:val="49E97626"/>
    <w:rsid w:val="4A094E4F"/>
    <w:rsid w:val="4A190F85"/>
    <w:rsid w:val="4A392AB2"/>
    <w:rsid w:val="4A3B10DC"/>
    <w:rsid w:val="4A422BAB"/>
    <w:rsid w:val="4A473120"/>
    <w:rsid w:val="4A587702"/>
    <w:rsid w:val="4A7A4406"/>
    <w:rsid w:val="4A9142B2"/>
    <w:rsid w:val="4AB746B8"/>
    <w:rsid w:val="4ABC6CC8"/>
    <w:rsid w:val="4AC47DBC"/>
    <w:rsid w:val="4AC9097F"/>
    <w:rsid w:val="4ACB602F"/>
    <w:rsid w:val="4ADC27CD"/>
    <w:rsid w:val="4AE61D84"/>
    <w:rsid w:val="4B2C07BC"/>
    <w:rsid w:val="4B6E01F3"/>
    <w:rsid w:val="4B731BD9"/>
    <w:rsid w:val="4BA52850"/>
    <w:rsid w:val="4BB4157A"/>
    <w:rsid w:val="4BC05813"/>
    <w:rsid w:val="4BC555FC"/>
    <w:rsid w:val="4BFA3A02"/>
    <w:rsid w:val="4C0A6B50"/>
    <w:rsid w:val="4C134CD0"/>
    <w:rsid w:val="4C392FD4"/>
    <w:rsid w:val="4C490E86"/>
    <w:rsid w:val="4C507EC9"/>
    <w:rsid w:val="4C5F0F44"/>
    <w:rsid w:val="4C65733E"/>
    <w:rsid w:val="4C75312E"/>
    <w:rsid w:val="4C7715F1"/>
    <w:rsid w:val="4C9E7DA7"/>
    <w:rsid w:val="4CB37884"/>
    <w:rsid w:val="4CCC28E5"/>
    <w:rsid w:val="4CD6420B"/>
    <w:rsid w:val="4CD82EBC"/>
    <w:rsid w:val="4CDC63C7"/>
    <w:rsid w:val="4CED6CC7"/>
    <w:rsid w:val="4CF90501"/>
    <w:rsid w:val="4D085B7F"/>
    <w:rsid w:val="4D300278"/>
    <w:rsid w:val="4D441488"/>
    <w:rsid w:val="4D467F8F"/>
    <w:rsid w:val="4D7104FF"/>
    <w:rsid w:val="4D7A3749"/>
    <w:rsid w:val="4D8D1C5C"/>
    <w:rsid w:val="4DDA1D45"/>
    <w:rsid w:val="4DF07B00"/>
    <w:rsid w:val="4E07158A"/>
    <w:rsid w:val="4E1226D4"/>
    <w:rsid w:val="4E1D4534"/>
    <w:rsid w:val="4E322238"/>
    <w:rsid w:val="4E3B4E53"/>
    <w:rsid w:val="4E52714A"/>
    <w:rsid w:val="4E640377"/>
    <w:rsid w:val="4E8F61D3"/>
    <w:rsid w:val="4E984BC4"/>
    <w:rsid w:val="4EAE089A"/>
    <w:rsid w:val="4EC043B7"/>
    <w:rsid w:val="4EC541D2"/>
    <w:rsid w:val="4EE56C43"/>
    <w:rsid w:val="4F0117D1"/>
    <w:rsid w:val="4F1E781E"/>
    <w:rsid w:val="4F316623"/>
    <w:rsid w:val="4F351D26"/>
    <w:rsid w:val="4F3E3CD1"/>
    <w:rsid w:val="4F571662"/>
    <w:rsid w:val="4F6809EE"/>
    <w:rsid w:val="4FA23F82"/>
    <w:rsid w:val="4FA46EC6"/>
    <w:rsid w:val="4FAD1A9C"/>
    <w:rsid w:val="4FBC5DDC"/>
    <w:rsid w:val="4FBD5366"/>
    <w:rsid w:val="4FD77626"/>
    <w:rsid w:val="4FF06F68"/>
    <w:rsid w:val="500A27A5"/>
    <w:rsid w:val="50463207"/>
    <w:rsid w:val="505B2236"/>
    <w:rsid w:val="505B54C7"/>
    <w:rsid w:val="505C2A6C"/>
    <w:rsid w:val="505F2CE5"/>
    <w:rsid w:val="50665220"/>
    <w:rsid w:val="50A702BD"/>
    <w:rsid w:val="50E46195"/>
    <w:rsid w:val="50F16B82"/>
    <w:rsid w:val="50F41EF5"/>
    <w:rsid w:val="50F614A4"/>
    <w:rsid w:val="50F96612"/>
    <w:rsid w:val="512C38EF"/>
    <w:rsid w:val="5130503F"/>
    <w:rsid w:val="513420E5"/>
    <w:rsid w:val="51705A3B"/>
    <w:rsid w:val="51A50C86"/>
    <w:rsid w:val="51AD31A7"/>
    <w:rsid w:val="51B204E8"/>
    <w:rsid w:val="5206413D"/>
    <w:rsid w:val="52077F03"/>
    <w:rsid w:val="520B4562"/>
    <w:rsid w:val="52261F9E"/>
    <w:rsid w:val="524F0B7F"/>
    <w:rsid w:val="52522CDC"/>
    <w:rsid w:val="52676FC5"/>
    <w:rsid w:val="529D209C"/>
    <w:rsid w:val="52A47FA0"/>
    <w:rsid w:val="52C90A6C"/>
    <w:rsid w:val="52D63AC7"/>
    <w:rsid w:val="52F90C73"/>
    <w:rsid w:val="530879E0"/>
    <w:rsid w:val="530A586A"/>
    <w:rsid w:val="535B2573"/>
    <w:rsid w:val="537E4ACF"/>
    <w:rsid w:val="538E0D4A"/>
    <w:rsid w:val="539167B3"/>
    <w:rsid w:val="53BB550D"/>
    <w:rsid w:val="53BC6A7D"/>
    <w:rsid w:val="53E725D8"/>
    <w:rsid w:val="5432600B"/>
    <w:rsid w:val="54525755"/>
    <w:rsid w:val="545A40F1"/>
    <w:rsid w:val="54794922"/>
    <w:rsid w:val="549F5FA0"/>
    <w:rsid w:val="54A062DC"/>
    <w:rsid w:val="54CB4D3F"/>
    <w:rsid w:val="54D3155E"/>
    <w:rsid w:val="54E61485"/>
    <w:rsid w:val="55065CD5"/>
    <w:rsid w:val="550851BB"/>
    <w:rsid w:val="551C72C3"/>
    <w:rsid w:val="5527078C"/>
    <w:rsid w:val="556E260E"/>
    <w:rsid w:val="558D0799"/>
    <w:rsid w:val="558D73B4"/>
    <w:rsid w:val="560311F1"/>
    <w:rsid w:val="56260D2A"/>
    <w:rsid w:val="56515935"/>
    <w:rsid w:val="56527F5C"/>
    <w:rsid w:val="5689686F"/>
    <w:rsid w:val="56B21B27"/>
    <w:rsid w:val="56B936D3"/>
    <w:rsid w:val="56BF437B"/>
    <w:rsid w:val="56C429FF"/>
    <w:rsid w:val="56F02B65"/>
    <w:rsid w:val="570509C2"/>
    <w:rsid w:val="57146F14"/>
    <w:rsid w:val="571F3527"/>
    <w:rsid w:val="572742D1"/>
    <w:rsid w:val="57351607"/>
    <w:rsid w:val="573B05B3"/>
    <w:rsid w:val="573B2C25"/>
    <w:rsid w:val="575C73CC"/>
    <w:rsid w:val="57604042"/>
    <w:rsid w:val="577B5273"/>
    <w:rsid w:val="57FB429A"/>
    <w:rsid w:val="58122A7B"/>
    <w:rsid w:val="58256742"/>
    <w:rsid w:val="5876263E"/>
    <w:rsid w:val="5880261F"/>
    <w:rsid w:val="58C44502"/>
    <w:rsid w:val="58CF0A58"/>
    <w:rsid w:val="59174B7B"/>
    <w:rsid w:val="59357C97"/>
    <w:rsid w:val="59482B85"/>
    <w:rsid w:val="595047A2"/>
    <w:rsid w:val="597B3BCF"/>
    <w:rsid w:val="59892E04"/>
    <w:rsid w:val="598F129F"/>
    <w:rsid w:val="59991FC2"/>
    <w:rsid w:val="59C95281"/>
    <w:rsid w:val="5A371BF3"/>
    <w:rsid w:val="5AEE2B7E"/>
    <w:rsid w:val="5AFE0BAB"/>
    <w:rsid w:val="5B142FB9"/>
    <w:rsid w:val="5B2167CE"/>
    <w:rsid w:val="5B220E3A"/>
    <w:rsid w:val="5B721434"/>
    <w:rsid w:val="5B92022D"/>
    <w:rsid w:val="5BA4275B"/>
    <w:rsid w:val="5BA5189B"/>
    <w:rsid w:val="5BBD77B9"/>
    <w:rsid w:val="5C2B354B"/>
    <w:rsid w:val="5C3D7E5B"/>
    <w:rsid w:val="5C8A3199"/>
    <w:rsid w:val="5C900182"/>
    <w:rsid w:val="5CB13C0D"/>
    <w:rsid w:val="5CD926B4"/>
    <w:rsid w:val="5CF9227F"/>
    <w:rsid w:val="5D0B4027"/>
    <w:rsid w:val="5D183820"/>
    <w:rsid w:val="5D401526"/>
    <w:rsid w:val="5D8C1126"/>
    <w:rsid w:val="5DB42421"/>
    <w:rsid w:val="5DB72EDF"/>
    <w:rsid w:val="5DED5BEE"/>
    <w:rsid w:val="5DEF0926"/>
    <w:rsid w:val="5DFB060A"/>
    <w:rsid w:val="5E194994"/>
    <w:rsid w:val="5E2936E8"/>
    <w:rsid w:val="5E306DD7"/>
    <w:rsid w:val="5E335CAA"/>
    <w:rsid w:val="5E3451B6"/>
    <w:rsid w:val="5E486A66"/>
    <w:rsid w:val="5E803A2A"/>
    <w:rsid w:val="5E896581"/>
    <w:rsid w:val="5E975989"/>
    <w:rsid w:val="5EEA2C9F"/>
    <w:rsid w:val="5EFE350C"/>
    <w:rsid w:val="5F107D03"/>
    <w:rsid w:val="5F114701"/>
    <w:rsid w:val="5F1F29C4"/>
    <w:rsid w:val="5F49423B"/>
    <w:rsid w:val="5F7D123B"/>
    <w:rsid w:val="5F8D570E"/>
    <w:rsid w:val="5FA227C2"/>
    <w:rsid w:val="5FE004DB"/>
    <w:rsid w:val="5FEF6905"/>
    <w:rsid w:val="600A6B28"/>
    <w:rsid w:val="602E541B"/>
    <w:rsid w:val="604A3592"/>
    <w:rsid w:val="608725FF"/>
    <w:rsid w:val="60B972CC"/>
    <w:rsid w:val="60CA5BDE"/>
    <w:rsid w:val="60E757FD"/>
    <w:rsid w:val="60F44A14"/>
    <w:rsid w:val="6123430F"/>
    <w:rsid w:val="613855C2"/>
    <w:rsid w:val="616E0C11"/>
    <w:rsid w:val="617B7B50"/>
    <w:rsid w:val="617F38EC"/>
    <w:rsid w:val="619459D0"/>
    <w:rsid w:val="61AE2ADB"/>
    <w:rsid w:val="61B741C2"/>
    <w:rsid w:val="623B4CFC"/>
    <w:rsid w:val="62494B5A"/>
    <w:rsid w:val="62B91506"/>
    <w:rsid w:val="62C64755"/>
    <w:rsid w:val="62E80AA3"/>
    <w:rsid w:val="62EE1728"/>
    <w:rsid w:val="62F472CF"/>
    <w:rsid w:val="633027BE"/>
    <w:rsid w:val="63306DE1"/>
    <w:rsid w:val="63687DD1"/>
    <w:rsid w:val="6381454A"/>
    <w:rsid w:val="63A204C5"/>
    <w:rsid w:val="63AD163A"/>
    <w:rsid w:val="63AD799A"/>
    <w:rsid w:val="63CB057C"/>
    <w:rsid w:val="63D33AB1"/>
    <w:rsid w:val="64381BF8"/>
    <w:rsid w:val="645A1E6F"/>
    <w:rsid w:val="64603142"/>
    <w:rsid w:val="649F67E0"/>
    <w:rsid w:val="64FC3FED"/>
    <w:rsid w:val="652D5652"/>
    <w:rsid w:val="6541579F"/>
    <w:rsid w:val="654324F0"/>
    <w:rsid w:val="65495793"/>
    <w:rsid w:val="656217D1"/>
    <w:rsid w:val="6573238E"/>
    <w:rsid w:val="657840FB"/>
    <w:rsid w:val="658416F6"/>
    <w:rsid w:val="65896228"/>
    <w:rsid w:val="65A82FED"/>
    <w:rsid w:val="65B70156"/>
    <w:rsid w:val="65C97A86"/>
    <w:rsid w:val="65DF1780"/>
    <w:rsid w:val="65E40AA5"/>
    <w:rsid w:val="65EB2344"/>
    <w:rsid w:val="66442EB0"/>
    <w:rsid w:val="66603EC0"/>
    <w:rsid w:val="666A2C29"/>
    <w:rsid w:val="66A21DB5"/>
    <w:rsid w:val="66A41522"/>
    <w:rsid w:val="66A80564"/>
    <w:rsid w:val="66E76D8B"/>
    <w:rsid w:val="670F3887"/>
    <w:rsid w:val="67297BBC"/>
    <w:rsid w:val="67451760"/>
    <w:rsid w:val="675D6732"/>
    <w:rsid w:val="676B78A0"/>
    <w:rsid w:val="676D2D2B"/>
    <w:rsid w:val="677F15C8"/>
    <w:rsid w:val="678D1ECF"/>
    <w:rsid w:val="67B67AEF"/>
    <w:rsid w:val="67C64CED"/>
    <w:rsid w:val="67E74B24"/>
    <w:rsid w:val="67E76B87"/>
    <w:rsid w:val="67FA6702"/>
    <w:rsid w:val="68010A19"/>
    <w:rsid w:val="68175D76"/>
    <w:rsid w:val="68224EAB"/>
    <w:rsid w:val="685178D4"/>
    <w:rsid w:val="685D3D92"/>
    <w:rsid w:val="688D5D32"/>
    <w:rsid w:val="68935471"/>
    <w:rsid w:val="68AB572C"/>
    <w:rsid w:val="68AF3026"/>
    <w:rsid w:val="68C230AD"/>
    <w:rsid w:val="68D55D54"/>
    <w:rsid w:val="68DD06E9"/>
    <w:rsid w:val="68F872A8"/>
    <w:rsid w:val="68FA5987"/>
    <w:rsid w:val="69011BD6"/>
    <w:rsid w:val="691649C0"/>
    <w:rsid w:val="691A625D"/>
    <w:rsid w:val="692F5F21"/>
    <w:rsid w:val="693D6593"/>
    <w:rsid w:val="694202A3"/>
    <w:rsid w:val="694A3E0F"/>
    <w:rsid w:val="69556CCA"/>
    <w:rsid w:val="695B22D6"/>
    <w:rsid w:val="699A3D6D"/>
    <w:rsid w:val="69AD2591"/>
    <w:rsid w:val="69B93A4F"/>
    <w:rsid w:val="69CF04AD"/>
    <w:rsid w:val="69EC5C14"/>
    <w:rsid w:val="6A0A1D03"/>
    <w:rsid w:val="6A256C9B"/>
    <w:rsid w:val="6A347161"/>
    <w:rsid w:val="6A4472E6"/>
    <w:rsid w:val="6A67674F"/>
    <w:rsid w:val="6A9C425B"/>
    <w:rsid w:val="6AB12A4F"/>
    <w:rsid w:val="6ACF2FB5"/>
    <w:rsid w:val="6ADC32F2"/>
    <w:rsid w:val="6B01485E"/>
    <w:rsid w:val="6B08397E"/>
    <w:rsid w:val="6B0918DE"/>
    <w:rsid w:val="6B137ADF"/>
    <w:rsid w:val="6B2F05D3"/>
    <w:rsid w:val="6B4E6312"/>
    <w:rsid w:val="6B4F4513"/>
    <w:rsid w:val="6B7533A6"/>
    <w:rsid w:val="6B846646"/>
    <w:rsid w:val="6BA05D78"/>
    <w:rsid w:val="6BC7479F"/>
    <w:rsid w:val="6BD8407D"/>
    <w:rsid w:val="6C170F31"/>
    <w:rsid w:val="6C1C6479"/>
    <w:rsid w:val="6C340CA3"/>
    <w:rsid w:val="6C36696F"/>
    <w:rsid w:val="6C474680"/>
    <w:rsid w:val="6C5866AF"/>
    <w:rsid w:val="6CB2382E"/>
    <w:rsid w:val="6CF45CC9"/>
    <w:rsid w:val="6CFD07C9"/>
    <w:rsid w:val="6D13653E"/>
    <w:rsid w:val="6D234898"/>
    <w:rsid w:val="6D4E08AD"/>
    <w:rsid w:val="6D9214CC"/>
    <w:rsid w:val="6DD20064"/>
    <w:rsid w:val="6DE334DF"/>
    <w:rsid w:val="6E1D5070"/>
    <w:rsid w:val="6E227291"/>
    <w:rsid w:val="6E4907AC"/>
    <w:rsid w:val="6EDC06C3"/>
    <w:rsid w:val="6EEC678C"/>
    <w:rsid w:val="6EF159D6"/>
    <w:rsid w:val="6EF83960"/>
    <w:rsid w:val="6F3754C7"/>
    <w:rsid w:val="6F603616"/>
    <w:rsid w:val="6F607BDC"/>
    <w:rsid w:val="6F914359"/>
    <w:rsid w:val="6FBA71E1"/>
    <w:rsid w:val="6FF91022"/>
    <w:rsid w:val="70161822"/>
    <w:rsid w:val="70266AFF"/>
    <w:rsid w:val="704C307F"/>
    <w:rsid w:val="705F01D1"/>
    <w:rsid w:val="70600E9A"/>
    <w:rsid w:val="706D476D"/>
    <w:rsid w:val="70725E31"/>
    <w:rsid w:val="707F6ED4"/>
    <w:rsid w:val="70975FDE"/>
    <w:rsid w:val="70BB4473"/>
    <w:rsid w:val="70C71B69"/>
    <w:rsid w:val="70E658CD"/>
    <w:rsid w:val="7132451D"/>
    <w:rsid w:val="714916EC"/>
    <w:rsid w:val="71533853"/>
    <w:rsid w:val="7160558A"/>
    <w:rsid w:val="71682A70"/>
    <w:rsid w:val="71A223B6"/>
    <w:rsid w:val="71A867ED"/>
    <w:rsid w:val="71BE471A"/>
    <w:rsid w:val="72245C23"/>
    <w:rsid w:val="724029DA"/>
    <w:rsid w:val="726C6561"/>
    <w:rsid w:val="72831F4A"/>
    <w:rsid w:val="72894EAD"/>
    <w:rsid w:val="728D7A8D"/>
    <w:rsid w:val="728F1168"/>
    <w:rsid w:val="7293523D"/>
    <w:rsid w:val="729739E5"/>
    <w:rsid w:val="72B45317"/>
    <w:rsid w:val="72EA2900"/>
    <w:rsid w:val="7309791C"/>
    <w:rsid w:val="730E3C16"/>
    <w:rsid w:val="731274E6"/>
    <w:rsid w:val="73450512"/>
    <w:rsid w:val="736B30B8"/>
    <w:rsid w:val="737E0A90"/>
    <w:rsid w:val="73942A32"/>
    <w:rsid w:val="739C6C30"/>
    <w:rsid w:val="73B227E0"/>
    <w:rsid w:val="740523BF"/>
    <w:rsid w:val="741169CE"/>
    <w:rsid w:val="746A515B"/>
    <w:rsid w:val="7472402C"/>
    <w:rsid w:val="749840C7"/>
    <w:rsid w:val="749C05B5"/>
    <w:rsid w:val="74B54F63"/>
    <w:rsid w:val="74C23EC7"/>
    <w:rsid w:val="74D45071"/>
    <w:rsid w:val="75054CE4"/>
    <w:rsid w:val="75100236"/>
    <w:rsid w:val="75183863"/>
    <w:rsid w:val="752D7FBF"/>
    <w:rsid w:val="753A4E5E"/>
    <w:rsid w:val="7547367D"/>
    <w:rsid w:val="75C03AED"/>
    <w:rsid w:val="75E011AB"/>
    <w:rsid w:val="761E3C7E"/>
    <w:rsid w:val="765438F1"/>
    <w:rsid w:val="76550171"/>
    <w:rsid w:val="765B5D61"/>
    <w:rsid w:val="76632818"/>
    <w:rsid w:val="768326A2"/>
    <w:rsid w:val="76991A03"/>
    <w:rsid w:val="769A232E"/>
    <w:rsid w:val="76A501F9"/>
    <w:rsid w:val="76CD1A6E"/>
    <w:rsid w:val="76CE5962"/>
    <w:rsid w:val="76E450FC"/>
    <w:rsid w:val="772E455B"/>
    <w:rsid w:val="7738621F"/>
    <w:rsid w:val="774F6E7D"/>
    <w:rsid w:val="77545454"/>
    <w:rsid w:val="77637D6F"/>
    <w:rsid w:val="77642EC2"/>
    <w:rsid w:val="776A69F2"/>
    <w:rsid w:val="777B55F2"/>
    <w:rsid w:val="77974266"/>
    <w:rsid w:val="77A01459"/>
    <w:rsid w:val="77E4296F"/>
    <w:rsid w:val="780F1381"/>
    <w:rsid w:val="78183032"/>
    <w:rsid w:val="78191C1C"/>
    <w:rsid w:val="78575D57"/>
    <w:rsid w:val="78AE57B7"/>
    <w:rsid w:val="78AF71C8"/>
    <w:rsid w:val="78C56918"/>
    <w:rsid w:val="78D80434"/>
    <w:rsid w:val="78E67306"/>
    <w:rsid w:val="78EF346D"/>
    <w:rsid w:val="794B7976"/>
    <w:rsid w:val="79650A77"/>
    <w:rsid w:val="797E504E"/>
    <w:rsid w:val="797F519C"/>
    <w:rsid w:val="79811102"/>
    <w:rsid w:val="79A679DE"/>
    <w:rsid w:val="79B3181D"/>
    <w:rsid w:val="79CF7ECB"/>
    <w:rsid w:val="79F06200"/>
    <w:rsid w:val="79FC5B13"/>
    <w:rsid w:val="7A046365"/>
    <w:rsid w:val="7A3F6734"/>
    <w:rsid w:val="7A454A0E"/>
    <w:rsid w:val="7A5E34A3"/>
    <w:rsid w:val="7A6276F9"/>
    <w:rsid w:val="7A7A4A97"/>
    <w:rsid w:val="7A7B4C63"/>
    <w:rsid w:val="7A9739A5"/>
    <w:rsid w:val="7AA91D97"/>
    <w:rsid w:val="7AAD2107"/>
    <w:rsid w:val="7ABC7782"/>
    <w:rsid w:val="7AE1087E"/>
    <w:rsid w:val="7AE33D79"/>
    <w:rsid w:val="7B124561"/>
    <w:rsid w:val="7B1B6A33"/>
    <w:rsid w:val="7B2C6A6D"/>
    <w:rsid w:val="7B346DCA"/>
    <w:rsid w:val="7B3D3EAE"/>
    <w:rsid w:val="7B4453C0"/>
    <w:rsid w:val="7B5A368B"/>
    <w:rsid w:val="7B7D0AE2"/>
    <w:rsid w:val="7BA6735A"/>
    <w:rsid w:val="7BC52EFA"/>
    <w:rsid w:val="7BC604FB"/>
    <w:rsid w:val="7BC617B1"/>
    <w:rsid w:val="7BE60893"/>
    <w:rsid w:val="7C312782"/>
    <w:rsid w:val="7C313612"/>
    <w:rsid w:val="7C435861"/>
    <w:rsid w:val="7C4E7242"/>
    <w:rsid w:val="7C560A3E"/>
    <w:rsid w:val="7C633528"/>
    <w:rsid w:val="7C8534D9"/>
    <w:rsid w:val="7C8F3EC1"/>
    <w:rsid w:val="7C9827A5"/>
    <w:rsid w:val="7CCB7649"/>
    <w:rsid w:val="7CD40F1D"/>
    <w:rsid w:val="7CDC7263"/>
    <w:rsid w:val="7CF627B2"/>
    <w:rsid w:val="7D21104E"/>
    <w:rsid w:val="7D405453"/>
    <w:rsid w:val="7D4B3E63"/>
    <w:rsid w:val="7D520DA4"/>
    <w:rsid w:val="7D6E3664"/>
    <w:rsid w:val="7D92751E"/>
    <w:rsid w:val="7D9538B6"/>
    <w:rsid w:val="7DA72B32"/>
    <w:rsid w:val="7DBB3555"/>
    <w:rsid w:val="7DCB3D1F"/>
    <w:rsid w:val="7DFA4E28"/>
    <w:rsid w:val="7E471419"/>
    <w:rsid w:val="7E481700"/>
    <w:rsid w:val="7E537017"/>
    <w:rsid w:val="7E661907"/>
    <w:rsid w:val="7E834346"/>
    <w:rsid w:val="7E867F0C"/>
    <w:rsid w:val="7E8A0E26"/>
    <w:rsid w:val="7E8F6C54"/>
    <w:rsid w:val="7EAA1B0E"/>
    <w:rsid w:val="7EB44A66"/>
    <w:rsid w:val="7EDF7592"/>
    <w:rsid w:val="7EE15719"/>
    <w:rsid w:val="7EEA74C5"/>
    <w:rsid w:val="7EEC05B9"/>
    <w:rsid w:val="7F081BB8"/>
    <w:rsid w:val="7F1B5D4A"/>
    <w:rsid w:val="7F273E59"/>
    <w:rsid w:val="7F46712B"/>
    <w:rsid w:val="7F6839F6"/>
    <w:rsid w:val="7FA038E1"/>
    <w:rsid w:val="7FE90F5C"/>
    <w:rsid w:val="7FF22ED2"/>
    <w:rsid w:val="7FF242C0"/>
    <w:rsid w:val="7FFA5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3"/>
    <w:basedOn w:val="1"/>
    <w:next w:val="5"/>
    <w:qFormat/>
    <w:uiPriority w:val="0"/>
    <w:pPr>
      <w:tabs>
        <w:tab w:val="left" w:pos="851"/>
      </w:tabs>
      <w:autoSpaceDE w:val="0"/>
      <w:autoSpaceDN w:val="0"/>
      <w:adjustRightInd w:val="0"/>
      <w:snapToGrid w:val="0"/>
      <w:spacing w:line="360" w:lineRule="auto"/>
      <w:outlineLvl w:val="2"/>
    </w:pPr>
    <w:rPr>
      <w:rFonts w:ascii="宋体" w:cs="宋体"/>
      <w:kern w:val="0"/>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Normal Indent"/>
    <w:basedOn w:val="1"/>
    <w:qFormat/>
    <w:uiPriority w:val="0"/>
    <w:pPr>
      <w:ind w:firstLine="420" w:firstLineChars="200"/>
    </w:pPr>
  </w:style>
  <w:style w:type="paragraph" w:customStyle="1" w:styleId="8">
    <w:name w:val="目录 21"/>
    <w:basedOn w:val="1"/>
    <w:next w:val="1"/>
    <w:qFormat/>
    <w:uiPriority w:val="0"/>
    <w:pPr>
      <w:spacing w:before="100" w:beforeAutospacing="1" w:after="100" w:afterAutospacing="1"/>
      <w:ind w:left="420" w:leftChars="200"/>
    </w:pPr>
  </w:style>
  <w:style w:type="paragraph" w:customStyle="1" w:styleId="9">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2024-03-01T02:56:00Z</dcterms:created>
  <dc:creator>林秋霞</dc:creator>
  <cp:lastModifiedBy>邓勋科</cp:lastModifiedBy>
  <dcterms:modified xsi:type="dcterms:W3CDTF">2024-03-28T08:24:33Z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3A3F63835211440DAD395BF730BA9AB3_13</vt:lpwstr>
  </property>
</Properties>
</file>