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topLinePunct/>
        <w:autoSpaceDE/>
        <w:autoSpaceDN/>
        <w:spacing w:line="259" w:lineRule="auto"/>
        <w:rPr>
          <w:rFonts w:ascii="Times New Roman" w:hAnsi="Times New Roman" w:cs="Times New Roman"/>
          <w:kern w:val="21"/>
          <w:highlight w:val="none"/>
        </w:rPr>
      </w:pPr>
      <w:r>
        <w:rPr>
          <w:rFonts w:ascii="Times New Roman" w:hAnsi="Times New Roman" w:cs="Times New Roman"/>
          <w:kern w:val="21"/>
          <w:highlight w:val="none"/>
        </w:rPr>
        <w:drawing>
          <wp:anchor distT="0" distB="0" distL="114300" distR="114300" simplePos="0" relativeHeight="251659264" behindDoc="0" locked="0" layoutInCell="1" allowOverlap="1">
            <wp:simplePos x="0" y="0"/>
            <wp:positionH relativeFrom="page">
              <wp:posOffset>-27940</wp:posOffset>
            </wp:positionH>
            <wp:positionV relativeFrom="page">
              <wp:posOffset>-17145</wp:posOffset>
            </wp:positionV>
            <wp:extent cx="7635875" cy="2567940"/>
            <wp:effectExtent l="0" t="0" r="14605" b="7620"/>
            <wp:wrapNone/>
            <wp:docPr id="69" name="图片 6" descr="说明: 说明: 说明: 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 descr="说明: 说明: 说明: 模板-3"/>
                    <pic:cNvPicPr>
                      <a:picLocks noChangeAspect="1"/>
                    </pic:cNvPicPr>
                  </pic:nvPicPr>
                  <pic:blipFill>
                    <a:blip r:embed="rId9"/>
                    <a:srcRect b="75984"/>
                    <a:stretch>
                      <a:fillRect/>
                    </a:stretch>
                  </pic:blipFill>
                  <pic:spPr>
                    <a:xfrm>
                      <a:off x="0" y="0"/>
                      <a:ext cx="7635875" cy="2567940"/>
                    </a:xfrm>
                    <a:prstGeom prst="rect">
                      <a:avLst/>
                    </a:prstGeom>
                    <a:noFill/>
                    <a:ln>
                      <a:noFill/>
                    </a:ln>
                  </pic:spPr>
                </pic:pic>
              </a:graphicData>
            </a:graphic>
          </wp:anchor>
        </w:drawing>
      </w:r>
    </w:p>
    <w:p>
      <w:pPr>
        <w:pStyle w:val="4"/>
        <w:topLinePunct/>
        <w:autoSpaceDE/>
        <w:autoSpaceDN/>
        <w:spacing w:line="259" w:lineRule="auto"/>
        <w:rPr>
          <w:rFonts w:ascii="Times New Roman" w:hAnsi="Times New Roman" w:cs="Times New Roman"/>
          <w:kern w:val="21"/>
          <w:highlight w:val="none"/>
        </w:rPr>
      </w:pPr>
    </w:p>
    <w:p>
      <w:pPr>
        <w:pStyle w:val="4"/>
        <w:topLinePunct/>
        <w:autoSpaceDE/>
        <w:autoSpaceDN/>
        <w:spacing w:line="260" w:lineRule="auto"/>
        <w:rPr>
          <w:rFonts w:ascii="Times New Roman" w:hAnsi="Times New Roman" w:cs="Times New Roman"/>
          <w:kern w:val="21"/>
          <w:highlight w:val="none"/>
        </w:rPr>
      </w:pPr>
    </w:p>
    <w:p>
      <w:pPr>
        <w:pStyle w:val="4"/>
        <w:topLinePunct/>
        <w:autoSpaceDE/>
        <w:autoSpaceDN/>
        <w:spacing w:line="260" w:lineRule="auto"/>
        <w:rPr>
          <w:rFonts w:ascii="Times New Roman" w:hAnsi="Times New Roman" w:cs="Times New Roman"/>
          <w:kern w:val="21"/>
          <w:highlight w:val="none"/>
        </w:rPr>
      </w:pPr>
    </w:p>
    <w:p>
      <w:pPr>
        <w:pStyle w:val="4"/>
        <w:topLinePunct/>
        <w:autoSpaceDE/>
        <w:autoSpaceDN/>
        <w:spacing w:line="260" w:lineRule="auto"/>
        <w:rPr>
          <w:rFonts w:ascii="Times New Roman" w:hAnsi="Times New Roman" w:cs="Times New Roman"/>
          <w:kern w:val="21"/>
          <w:highlight w:val="none"/>
        </w:rPr>
      </w:pPr>
    </w:p>
    <w:p>
      <w:pPr>
        <w:pStyle w:val="4"/>
        <w:topLinePunct/>
        <w:autoSpaceDE/>
        <w:autoSpaceDN/>
        <w:spacing w:line="260" w:lineRule="auto"/>
        <w:rPr>
          <w:rFonts w:ascii="Times New Roman" w:hAnsi="Times New Roman" w:cs="Times New Roman"/>
          <w:kern w:val="21"/>
          <w:highlight w:val="none"/>
        </w:rPr>
      </w:pPr>
    </w:p>
    <w:p>
      <w:pPr>
        <w:pStyle w:val="4"/>
        <w:topLinePunct/>
        <w:autoSpaceDE/>
        <w:autoSpaceDN/>
        <w:spacing w:line="260" w:lineRule="auto"/>
        <w:rPr>
          <w:rFonts w:ascii="Times New Roman" w:hAnsi="Times New Roman" w:cs="Times New Roman"/>
          <w:kern w:val="21"/>
          <w:highlight w:val="none"/>
        </w:rPr>
      </w:pPr>
    </w:p>
    <w:p>
      <w:pPr>
        <w:pStyle w:val="4"/>
        <w:topLinePunct/>
        <w:autoSpaceDE/>
        <w:autoSpaceDN/>
        <w:spacing w:line="260" w:lineRule="auto"/>
        <w:rPr>
          <w:rFonts w:ascii="Times New Roman" w:hAnsi="Times New Roman" w:cs="Times New Roman"/>
          <w:kern w:val="21"/>
          <w:highlight w:val="none"/>
        </w:rPr>
      </w:pPr>
    </w:p>
    <w:p>
      <w:pPr>
        <w:topLinePunct/>
        <w:autoSpaceDE/>
        <w:autoSpaceDN/>
        <w:spacing w:before="149" w:line="1229" w:lineRule="exact"/>
        <w:ind w:left="2280"/>
        <w:rPr>
          <w:rFonts w:ascii="Times New Roman" w:hAnsi="Times New Roman" w:eastAsia="宋体" w:cs="Times New Roman"/>
          <w:b/>
          <w:bCs/>
          <w:kern w:val="21"/>
          <w:sz w:val="46"/>
          <w:szCs w:val="46"/>
          <w:highlight w:val="none"/>
        </w:rPr>
      </w:pPr>
    </w:p>
    <w:p>
      <w:pPr>
        <w:topLinePunct/>
        <w:autoSpaceDE/>
        <w:autoSpaceDN/>
        <w:spacing w:before="1" w:line="218" w:lineRule="auto"/>
        <w:jc w:val="left"/>
        <w:rPr>
          <w:rFonts w:hint="eastAsia" w:ascii="Times New Roman" w:hAnsi="Times New Roman" w:eastAsia="宋体" w:cs="Times New Roman"/>
          <w:b/>
          <w:bCs/>
          <w:kern w:val="21"/>
          <w:sz w:val="46"/>
          <w:szCs w:val="46"/>
          <w:highlight w:val="none"/>
          <w:lang w:eastAsia="zh-CN"/>
        </w:rPr>
      </w:pPr>
    </w:p>
    <w:p>
      <w:pPr>
        <w:topLinePunct/>
        <w:autoSpaceDE/>
        <w:autoSpaceDN/>
        <w:spacing w:before="1" w:line="218" w:lineRule="auto"/>
        <w:jc w:val="left"/>
        <w:rPr>
          <w:rFonts w:hint="eastAsia" w:ascii="Times New Roman" w:hAnsi="Times New Roman" w:eastAsia="宋体" w:cs="Times New Roman"/>
          <w:b/>
          <w:bCs/>
          <w:kern w:val="21"/>
          <w:sz w:val="46"/>
          <w:szCs w:val="46"/>
          <w:highlight w:val="none"/>
          <w:lang w:eastAsia="zh-CN"/>
        </w:rPr>
      </w:pPr>
    </w:p>
    <w:p>
      <w:pPr>
        <w:topLinePunct/>
        <w:autoSpaceDE/>
        <w:autoSpaceDN/>
        <w:spacing w:before="1" w:line="218" w:lineRule="auto"/>
        <w:jc w:val="left"/>
        <w:rPr>
          <w:rFonts w:hint="eastAsia" w:ascii="Times New Roman" w:hAnsi="Times New Roman" w:eastAsia="宋体" w:cs="Times New Roman"/>
          <w:b/>
          <w:bCs/>
          <w:kern w:val="21"/>
          <w:sz w:val="46"/>
          <w:szCs w:val="46"/>
          <w:highlight w:val="none"/>
          <w:lang w:eastAsia="zh-CN"/>
        </w:rPr>
      </w:pPr>
    </w:p>
    <w:p>
      <w:pPr>
        <w:topLinePunct/>
        <w:autoSpaceDE/>
        <w:autoSpaceDN/>
        <w:spacing w:before="1" w:line="360" w:lineRule="auto"/>
        <w:jc w:val="left"/>
        <w:rPr>
          <w:rFonts w:ascii="Times New Roman" w:hAnsi="Times New Roman" w:eastAsia="宋体" w:cs="Times New Roman"/>
          <w:b/>
          <w:bCs/>
          <w:kern w:val="21"/>
          <w:sz w:val="46"/>
          <w:szCs w:val="46"/>
          <w:highlight w:val="none"/>
          <w:lang w:eastAsia="zh-CN"/>
        </w:rPr>
      </w:pPr>
      <w:r>
        <w:rPr>
          <w:rFonts w:hint="eastAsia" w:ascii="Times New Roman" w:hAnsi="Times New Roman" w:eastAsia="宋体" w:cs="Times New Roman"/>
          <w:b/>
          <w:bCs/>
          <w:kern w:val="21"/>
          <w:sz w:val="46"/>
          <w:szCs w:val="46"/>
          <w:highlight w:val="none"/>
          <w:lang w:eastAsia="zh-CN"/>
        </w:rPr>
        <w:t>具有开关状态监测功能的10kV保护测控装置</w:t>
      </w:r>
    </w:p>
    <w:p>
      <w:pPr>
        <w:topLinePunct/>
        <w:autoSpaceDE/>
        <w:autoSpaceDN/>
        <w:spacing w:before="1" w:line="360" w:lineRule="auto"/>
        <w:ind w:left="2990"/>
        <w:jc w:val="left"/>
        <w:rPr>
          <w:rFonts w:ascii="Times New Roman" w:hAnsi="Times New Roman" w:eastAsia="宋体" w:cs="Times New Roman"/>
          <w:kern w:val="21"/>
          <w:sz w:val="46"/>
          <w:szCs w:val="46"/>
          <w:highlight w:val="none"/>
          <w:lang w:eastAsia="zh-CN"/>
        </w:rPr>
      </w:pPr>
      <w:r>
        <w:rPr>
          <w:rFonts w:ascii="Times New Roman" w:hAnsi="Times New Roman" w:eastAsia="宋体" w:cs="Times New Roman"/>
          <w:b/>
          <w:bCs/>
          <w:kern w:val="21"/>
          <w:sz w:val="46"/>
          <w:szCs w:val="46"/>
          <w:highlight w:val="none"/>
          <w:lang w:eastAsia="zh-CN"/>
        </w:rPr>
        <w:t>技术条件书</w:t>
      </w:r>
    </w:p>
    <w:p>
      <w:pPr>
        <w:pStyle w:val="4"/>
        <w:rPr>
          <w:highlight w:val="none"/>
          <w:lang w:eastAsia="zh-CN"/>
        </w:rPr>
      </w:pPr>
    </w:p>
    <w:p>
      <w:pPr>
        <w:pStyle w:val="4"/>
        <w:rPr>
          <w:highlight w:val="none"/>
          <w:lang w:eastAsia="zh-CN"/>
        </w:rPr>
      </w:pPr>
    </w:p>
    <w:p>
      <w:pPr>
        <w:pStyle w:val="4"/>
        <w:rPr>
          <w:highlight w:val="none"/>
          <w:lang w:eastAsia="zh-CN"/>
        </w:rPr>
      </w:pPr>
    </w:p>
    <w:p>
      <w:pPr>
        <w:pStyle w:val="4"/>
        <w:rPr>
          <w:highlight w:val="none"/>
          <w:lang w:eastAsia="zh-CN"/>
        </w:rPr>
      </w:pPr>
    </w:p>
    <w:p>
      <w:pPr>
        <w:pStyle w:val="4"/>
        <w:rPr>
          <w:highlight w:val="none"/>
          <w:lang w:eastAsia="zh-CN"/>
        </w:rPr>
      </w:pPr>
    </w:p>
    <w:p>
      <w:pPr>
        <w:pStyle w:val="4"/>
        <w:rPr>
          <w:highlight w:val="none"/>
          <w:lang w:eastAsia="zh-CN"/>
        </w:rPr>
      </w:pPr>
    </w:p>
    <w:p>
      <w:pPr>
        <w:pStyle w:val="4"/>
        <w:rPr>
          <w:highlight w:val="none"/>
          <w:lang w:eastAsia="zh-CN"/>
        </w:rPr>
      </w:pPr>
    </w:p>
    <w:p>
      <w:pPr>
        <w:pStyle w:val="4"/>
        <w:rPr>
          <w:highlight w:val="none"/>
          <w:lang w:eastAsia="zh-CN"/>
        </w:rPr>
      </w:pPr>
    </w:p>
    <w:p>
      <w:pPr>
        <w:pStyle w:val="4"/>
        <w:rPr>
          <w:highlight w:val="none"/>
          <w:lang w:eastAsia="zh-CN"/>
        </w:rPr>
      </w:pPr>
    </w:p>
    <w:p>
      <w:pPr>
        <w:topLinePunct/>
        <w:autoSpaceDE/>
        <w:autoSpaceDN/>
        <w:spacing w:before="133" w:line="709" w:lineRule="exact"/>
        <w:ind w:left="839"/>
        <w:rPr>
          <w:rFonts w:ascii="Times New Roman" w:hAnsi="Times New Roman" w:eastAsia="宋体" w:cs="Times New Roman"/>
          <w:kern w:val="21"/>
          <w:sz w:val="41"/>
          <w:szCs w:val="41"/>
          <w:highlight w:val="none"/>
          <w:lang w:eastAsia="zh-CN"/>
        </w:rPr>
      </w:pPr>
      <w:r>
        <w:rPr>
          <w:rFonts w:ascii="Times New Roman" w:hAnsi="Times New Roman" w:eastAsia="宋体" w:cs="Times New Roman"/>
          <w:b/>
          <w:bCs/>
          <w:kern w:val="21"/>
          <w:sz w:val="41"/>
          <w:szCs w:val="41"/>
          <w:highlight w:val="none"/>
          <w:lang w:eastAsia="zh-CN"/>
        </w:rPr>
        <w:t>广东电网有限责任公司广州供电局</w:t>
      </w:r>
    </w:p>
    <w:p>
      <w:pPr>
        <w:topLinePunct/>
        <w:autoSpaceDE/>
        <w:autoSpaceDN/>
        <w:spacing w:before="1" w:line="219" w:lineRule="auto"/>
        <w:ind w:left="3138"/>
        <w:rPr>
          <w:rFonts w:ascii="Times New Roman" w:hAnsi="Times New Roman" w:eastAsia="宋体" w:cs="Times New Roman"/>
          <w:kern w:val="21"/>
          <w:sz w:val="32"/>
          <w:szCs w:val="32"/>
          <w:highlight w:val="none"/>
          <w:lang w:eastAsia="zh-CN"/>
        </w:rPr>
        <w:sectPr>
          <w:pgSz w:w="11910" w:h="16850"/>
          <w:pgMar w:top="1432" w:right="226" w:bottom="0" w:left="1786" w:header="0" w:footer="0" w:gutter="0"/>
          <w:pgNumType w:fmt="decimal" w:start="1"/>
          <w:cols w:space="720" w:num="1"/>
        </w:sectPr>
      </w:pPr>
      <w:r>
        <w:rPr>
          <w:rFonts w:ascii="Times New Roman" w:hAnsi="Times New Roman" w:eastAsia="宋体" w:cs="Times New Roman"/>
          <w:b/>
          <w:bCs/>
          <w:kern w:val="21"/>
          <w:sz w:val="32"/>
          <w:szCs w:val="32"/>
          <w:highlight w:val="none"/>
          <w:lang w:eastAsia="zh-CN"/>
        </w:rPr>
        <w:t>2</w:t>
      </w:r>
      <w:r>
        <w:rPr>
          <w:rFonts w:ascii="Times New Roman" w:hAnsi="Times New Roman" w:eastAsia="宋体" w:cs="Times New Roman"/>
          <w:kern w:val="21"/>
          <w:sz w:val="32"/>
          <w:szCs w:val="32"/>
          <w:highlight w:val="none"/>
          <w:lang w:eastAsia="zh-CN"/>
        </w:rPr>
        <w:t xml:space="preserve"> </w:t>
      </w:r>
      <w:r>
        <w:rPr>
          <w:rFonts w:ascii="Times New Roman" w:hAnsi="Times New Roman" w:eastAsia="宋体" w:cs="Times New Roman"/>
          <w:b/>
          <w:bCs/>
          <w:kern w:val="21"/>
          <w:sz w:val="32"/>
          <w:szCs w:val="32"/>
          <w:highlight w:val="none"/>
          <w:lang w:eastAsia="zh-CN"/>
        </w:rPr>
        <w:t>0</w:t>
      </w:r>
      <w:r>
        <w:rPr>
          <w:rFonts w:ascii="Times New Roman" w:hAnsi="Times New Roman" w:eastAsia="宋体" w:cs="Times New Roman"/>
          <w:kern w:val="21"/>
          <w:sz w:val="32"/>
          <w:szCs w:val="32"/>
          <w:highlight w:val="none"/>
          <w:lang w:eastAsia="zh-CN"/>
        </w:rPr>
        <w:t xml:space="preserve"> </w:t>
      </w:r>
      <w:r>
        <w:rPr>
          <w:rFonts w:ascii="Times New Roman" w:hAnsi="Times New Roman" w:eastAsia="宋体" w:cs="Times New Roman"/>
          <w:b/>
          <w:bCs/>
          <w:kern w:val="21"/>
          <w:sz w:val="32"/>
          <w:szCs w:val="32"/>
          <w:highlight w:val="none"/>
          <w:lang w:eastAsia="zh-CN"/>
        </w:rPr>
        <w:t>2</w:t>
      </w:r>
      <w:r>
        <w:rPr>
          <w:rFonts w:ascii="Times New Roman" w:hAnsi="Times New Roman" w:eastAsia="宋体" w:cs="Times New Roman"/>
          <w:kern w:val="21"/>
          <w:sz w:val="32"/>
          <w:szCs w:val="32"/>
          <w:highlight w:val="none"/>
          <w:lang w:eastAsia="zh-CN"/>
        </w:rPr>
        <w:t xml:space="preserve"> </w:t>
      </w:r>
      <w:r>
        <w:rPr>
          <w:rFonts w:hint="eastAsia" w:ascii="Times New Roman" w:hAnsi="Times New Roman" w:eastAsia="宋体" w:cs="Times New Roman"/>
          <w:b/>
          <w:bCs/>
          <w:kern w:val="21"/>
          <w:sz w:val="32"/>
          <w:szCs w:val="32"/>
          <w:highlight w:val="none"/>
          <w:lang w:eastAsia="zh-CN"/>
        </w:rPr>
        <w:t>4</w:t>
      </w:r>
      <w:r>
        <w:rPr>
          <w:rFonts w:ascii="Times New Roman" w:hAnsi="Times New Roman" w:eastAsia="宋体" w:cs="Times New Roman"/>
          <w:kern w:val="21"/>
          <w:sz w:val="32"/>
          <w:szCs w:val="32"/>
          <w:highlight w:val="none"/>
          <w:lang w:eastAsia="zh-CN"/>
        </w:rPr>
        <w:t xml:space="preserve"> </w:t>
      </w:r>
      <w:r>
        <w:rPr>
          <w:rFonts w:ascii="Times New Roman" w:hAnsi="Times New Roman" w:eastAsia="宋体" w:cs="Times New Roman"/>
          <w:b/>
          <w:bCs/>
          <w:kern w:val="21"/>
          <w:sz w:val="32"/>
          <w:szCs w:val="32"/>
          <w:highlight w:val="none"/>
          <w:lang w:eastAsia="zh-CN"/>
        </w:rPr>
        <w:t>年</w:t>
      </w:r>
      <w:r>
        <w:rPr>
          <w:rFonts w:hint="eastAsia" w:ascii="Times New Roman" w:hAnsi="Times New Roman" w:eastAsia="宋体" w:cs="Times New Roman"/>
          <w:b/>
          <w:bCs/>
          <w:kern w:val="21"/>
          <w:sz w:val="32"/>
          <w:szCs w:val="32"/>
          <w:highlight w:val="none"/>
          <w:lang w:eastAsia="zh-CN"/>
        </w:rPr>
        <w:t>03</w:t>
      </w:r>
      <w:r>
        <w:rPr>
          <w:rFonts w:ascii="Times New Roman" w:hAnsi="Times New Roman" w:eastAsia="宋体" w:cs="Times New Roman"/>
          <w:b/>
          <w:bCs/>
          <w:kern w:val="21"/>
          <w:sz w:val="32"/>
          <w:szCs w:val="32"/>
          <w:highlight w:val="none"/>
          <w:lang w:eastAsia="zh-CN"/>
        </w:rPr>
        <w:t>月</w:t>
      </w:r>
    </w:p>
    <w:sdt>
      <w:sdtPr>
        <w:rPr>
          <w:rFonts w:hint="eastAsia" w:ascii="黑体" w:hAnsi="黑体" w:eastAsia="黑体" w:cs="黑体"/>
          <w:snapToGrid w:val="0"/>
          <w:color w:val="000000"/>
          <w:sz w:val="28"/>
          <w:szCs w:val="28"/>
          <w:highlight w:val="none"/>
          <w:lang w:val="en-US" w:eastAsia="en-US" w:bidi="ar-SA"/>
        </w:rPr>
        <w:id w:val="147463193"/>
        <w15:color w:val="DBDBDB"/>
        <w:docPartObj>
          <w:docPartGallery w:val="Table of Contents"/>
          <w:docPartUnique/>
        </w:docPartObj>
      </w:sdtPr>
      <w:sdtEndPr>
        <w:rPr>
          <w:rFonts w:hint="eastAsia" w:ascii="Times New Roman" w:hAnsi="Times New Roman" w:eastAsia="Arial" w:cs="Times New Roman"/>
          <w:snapToGrid w:val="0"/>
          <w:color w:val="000000"/>
          <w:kern w:val="21"/>
          <w:sz w:val="21"/>
          <w:szCs w:val="21"/>
          <w:highlight w:val="none"/>
          <w:lang w:val="en-US" w:eastAsia="zh-CN" w:bidi="ar-SA"/>
        </w:rPr>
      </w:sdtEndPr>
      <w:sdtContent>
        <w:p>
          <w:pPr>
            <w:spacing w:before="0" w:beforeLines="0" w:after="0" w:afterLines="0" w:line="480" w:lineRule="auto"/>
            <w:ind w:left="0" w:leftChars="0" w:right="0" w:rightChars="0" w:firstLine="0" w:firstLineChars="0"/>
            <w:jc w:val="center"/>
            <w:rPr>
              <w:rFonts w:hint="eastAsia" w:ascii="黑体" w:hAnsi="黑体" w:eastAsia="黑体" w:cs="黑体"/>
              <w:sz w:val="28"/>
              <w:szCs w:val="28"/>
              <w:highlight w:val="none"/>
            </w:rPr>
          </w:pPr>
          <w:r>
            <w:rPr>
              <w:rFonts w:hint="eastAsia" w:ascii="黑体" w:hAnsi="黑体" w:eastAsia="黑体" w:cs="黑体"/>
              <w:sz w:val="28"/>
              <w:szCs w:val="28"/>
              <w:highlight w:val="none"/>
            </w:rPr>
            <w:t>目录</w:t>
          </w:r>
        </w:p>
        <w:p>
          <w:pPr>
            <w:pStyle w:val="13"/>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TOC \o "1-1" \h \u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_Toc27858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rPr>
            <w:t>1</w:t>
          </w:r>
          <w:r>
            <w:rPr>
              <w:rFonts w:hint="eastAsia" w:ascii="黑体" w:hAnsi="黑体" w:eastAsia="黑体" w:cs="黑体"/>
              <w:sz w:val="28"/>
              <w:szCs w:val="28"/>
              <w:highlight w:val="none"/>
              <w:lang w:eastAsia="zh-CN"/>
            </w:rPr>
            <w:t xml:space="preserve">  </w:t>
          </w:r>
          <w:r>
            <w:rPr>
              <w:rFonts w:hint="eastAsia" w:ascii="黑体" w:hAnsi="黑体" w:eastAsia="黑体" w:cs="黑体"/>
              <w:sz w:val="28"/>
              <w:szCs w:val="28"/>
              <w:highlight w:val="none"/>
            </w:rPr>
            <w:t>总则</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1</w:t>
          </w:r>
          <w:r>
            <w:rPr>
              <w:rFonts w:hint="eastAsia" w:ascii="黑体" w:hAnsi="黑体" w:eastAsia="黑体" w:cs="黑体"/>
              <w:kern w:val="21"/>
              <w:sz w:val="28"/>
              <w:szCs w:val="28"/>
              <w:highlight w:val="none"/>
              <w:lang w:eastAsia="zh-CN"/>
            </w:rPr>
            <w:fldChar w:fldCharType="end"/>
          </w:r>
        </w:p>
        <w:p>
          <w:pPr>
            <w:pStyle w:val="13"/>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_Toc32091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lang w:eastAsia="zh-CN"/>
            </w:rPr>
            <w:t>2  工作范围</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1</w:t>
          </w:r>
          <w:r>
            <w:rPr>
              <w:rFonts w:hint="eastAsia" w:ascii="黑体" w:hAnsi="黑体" w:eastAsia="黑体" w:cs="黑体"/>
              <w:kern w:val="21"/>
              <w:sz w:val="28"/>
              <w:szCs w:val="28"/>
              <w:highlight w:val="none"/>
              <w:lang w:eastAsia="zh-CN"/>
            </w:rPr>
            <w:fldChar w:fldCharType="end"/>
          </w:r>
        </w:p>
        <w:p>
          <w:pPr>
            <w:pStyle w:val="13"/>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_Toc905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lang w:eastAsia="zh-CN"/>
            </w:rPr>
            <w:t>3  应遵循的主要标准</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3</w:t>
          </w:r>
          <w:r>
            <w:rPr>
              <w:rFonts w:hint="eastAsia" w:ascii="黑体" w:hAnsi="黑体" w:eastAsia="黑体" w:cs="黑体"/>
              <w:kern w:val="21"/>
              <w:sz w:val="28"/>
              <w:szCs w:val="28"/>
              <w:highlight w:val="none"/>
              <w:lang w:eastAsia="zh-CN"/>
            </w:rPr>
            <w:fldChar w:fldCharType="end"/>
          </w:r>
        </w:p>
        <w:p>
          <w:pPr>
            <w:pStyle w:val="13"/>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_Toc14522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lang w:eastAsia="zh-CN"/>
            </w:rPr>
            <w:t>4  质量保证</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4</w:t>
          </w:r>
          <w:r>
            <w:rPr>
              <w:rFonts w:hint="eastAsia" w:ascii="黑体" w:hAnsi="黑体" w:eastAsia="黑体" w:cs="黑体"/>
              <w:kern w:val="21"/>
              <w:sz w:val="28"/>
              <w:szCs w:val="28"/>
              <w:highlight w:val="none"/>
              <w:lang w:eastAsia="zh-CN"/>
            </w:rPr>
            <w:fldChar w:fldCharType="end"/>
          </w:r>
        </w:p>
        <w:p>
          <w:pPr>
            <w:pStyle w:val="13"/>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_Toc24670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lang w:val="en-US" w:eastAsia="zh-CN"/>
            </w:rPr>
            <w:t>5</w:t>
          </w:r>
          <w:r>
            <w:rPr>
              <w:rFonts w:hint="eastAsia" w:ascii="黑体" w:hAnsi="黑体" w:eastAsia="黑体" w:cs="黑体"/>
              <w:sz w:val="28"/>
              <w:szCs w:val="28"/>
              <w:highlight w:val="none"/>
              <w:lang w:eastAsia="zh-CN"/>
            </w:rPr>
            <w:t xml:space="preserve">  包装、运输和储存</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5</w:t>
          </w:r>
          <w:r>
            <w:rPr>
              <w:rFonts w:hint="eastAsia" w:ascii="黑体" w:hAnsi="黑体" w:eastAsia="黑体" w:cs="黑体"/>
              <w:kern w:val="21"/>
              <w:sz w:val="28"/>
              <w:szCs w:val="28"/>
              <w:highlight w:val="none"/>
              <w:lang w:eastAsia="zh-CN"/>
            </w:rPr>
            <w:fldChar w:fldCharType="end"/>
          </w:r>
        </w:p>
        <w:p>
          <w:pPr>
            <w:pStyle w:val="13"/>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_Toc10235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lang w:val="en-US" w:eastAsia="zh-CN"/>
            </w:rPr>
            <w:t>6、双方工作安排</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5</w:t>
          </w:r>
          <w:r>
            <w:rPr>
              <w:rFonts w:hint="eastAsia" w:ascii="黑体" w:hAnsi="黑体" w:eastAsia="黑体" w:cs="黑体"/>
              <w:kern w:val="21"/>
              <w:sz w:val="28"/>
              <w:szCs w:val="28"/>
              <w:highlight w:val="none"/>
              <w:lang w:eastAsia="zh-CN"/>
            </w:rPr>
            <w:fldChar w:fldCharType="end"/>
          </w:r>
        </w:p>
        <w:p>
          <w:pPr>
            <w:pStyle w:val="13"/>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_Toc6391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lang w:val="en-US" w:eastAsia="zh-CN"/>
            </w:rPr>
            <w:t>7</w:t>
          </w:r>
          <w:r>
            <w:rPr>
              <w:rFonts w:hint="eastAsia" w:ascii="黑体" w:hAnsi="黑体" w:eastAsia="黑体" w:cs="黑体"/>
              <w:sz w:val="28"/>
              <w:szCs w:val="28"/>
              <w:highlight w:val="none"/>
              <w:lang w:eastAsia="zh-CN"/>
            </w:rPr>
            <w:t xml:space="preserve">  备品备件及专用工具</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5</w:t>
          </w:r>
          <w:r>
            <w:rPr>
              <w:rFonts w:hint="eastAsia" w:ascii="黑体" w:hAnsi="黑体" w:eastAsia="黑体" w:cs="黑体"/>
              <w:kern w:val="21"/>
              <w:sz w:val="28"/>
              <w:szCs w:val="28"/>
              <w:highlight w:val="none"/>
              <w:lang w:eastAsia="zh-CN"/>
            </w:rPr>
            <w:fldChar w:fldCharType="end"/>
          </w:r>
        </w:p>
        <w:p>
          <w:pPr>
            <w:pStyle w:val="13"/>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_Toc9278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lang w:eastAsia="zh-CN"/>
            </w:rPr>
            <w:t>8  投标方应填写主要部件来源、规范一览表</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6</w:t>
          </w:r>
          <w:r>
            <w:rPr>
              <w:rFonts w:hint="eastAsia" w:ascii="黑体" w:hAnsi="黑体" w:eastAsia="黑体" w:cs="黑体"/>
              <w:kern w:val="21"/>
              <w:sz w:val="28"/>
              <w:szCs w:val="28"/>
              <w:highlight w:val="none"/>
              <w:lang w:eastAsia="zh-CN"/>
            </w:rPr>
            <w:fldChar w:fldCharType="end"/>
          </w:r>
        </w:p>
        <w:p>
          <w:pPr>
            <w:pStyle w:val="13"/>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_Toc1704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lang w:eastAsia="zh-CN"/>
            </w:rPr>
            <w:t>9</w:t>
          </w:r>
          <w:r>
            <w:rPr>
              <w:rFonts w:hint="eastAsia" w:ascii="黑体" w:hAnsi="黑体" w:eastAsia="黑体" w:cs="黑体"/>
              <w:sz w:val="28"/>
              <w:szCs w:val="28"/>
              <w:highlight w:val="none"/>
              <w:lang w:val="en-US" w:eastAsia="zh-CN"/>
            </w:rPr>
            <w:t xml:space="preserve">  </w:t>
          </w:r>
          <w:r>
            <w:rPr>
              <w:rFonts w:hint="eastAsia" w:ascii="黑体" w:hAnsi="黑体" w:eastAsia="黑体" w:cs="黑体"/>
              <w:sz w:val="28"/>
              <w:szCs w:val="28"/>
              <w:highlight w:val="none"/>
              <w:lang w:eastAsia="zh-CN"/>
            </w:rPr>
            <w:t>技术标书评价依据</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6</w:t>
          </w:r>
          <w:r>
            <w:rPr>
              <w:rFonts w:hint="eastAsia" w:ascii="黑体" w:hAnsi="黑体" w:eastAsia="黑体" w:cs="黑体"/>
              <w:kern w:val="21"/>
              <w:sz w:val="28"/>
              <w:szCs w:val="28"/>
              <w:highlight w:val="none"/>
              <w:lang w:eastAsia="zh-CN"/>
            </w:rPr>
            <w:fldChar w:fldCharType="end"/>
          </w:r>
        </w:p>
        <w:p>
          <w:pPr>
            <w:pStyle w:val="13"/>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_Toc13789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lang w:eastAsia="zh-CN"/>
            </w:rPr>
            <w:t>10</w:t>
          </w:r>
          <w:r>
            <w:rPr>
              <w:rFonts w:hint="eastAsia" w:ascii="黑体" w:hAnsi="黑体" w:eastAsia="黑体" w:cs="黑体"/>
              <w:sz w:val="28"/>
              <w:szCs w:val="28"/>
              <w:highlight w:val="none"/>
              <w:lang w:val="en-US" w:eastAsia="zh-CN"/>
            </w:rPr>
            <w:t xml:space="preserve"> </w:t>
          </w:r>
          <w:r>
            <w:rPr>
              <w:rFonts w:hint="eastAsia" w:ascii="黑体" w:hAnsi="黑体" w:eastAsia="黑体" w:cs="黑体"/>
              <w:sz w:val="28"/>
              <w:szCs w:val="28"/>
              <w:highlight w:val="none"/>
              <w:lang w:eastAsia="zh-CN"/>
            </w:rPr>
            <w:t>技术应答及技术差异表</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6</w:t>
          </w:r>
          <w:r>
            <w:rPr>
              <w:rFonts w:hint="eastAsia" w:ascii="黑体" w:hAnsi="黑体" w:eastAsia="黑体" w:cs="黑体"/>
              <w:kern w:val="21"/>
              <w:sz w:val="28"/>
              <w:szCs w:val="28"/>
              <w:highlight w:val="none"/>
              <w:lang w:eastAsia="zh-CN"/>
            </w:rPr>
            <w:fldChar w:fldCharType="end"/>
          </w:r>
        </w:p>
        <w:p>
          <w:pPr>
            <w:pStyle w:val="13"/>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_Toc15189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sz w:val="28"/>
              <w:szCs w:val="28"/>
              <w:highlight w:val="none"/>
              <w:lang w:eastAsia="zh-CN"/>
            </w:rPr>
            <w:t>11</w:t>
          </w:r>
          <w:r>
            <w:rPr>
              <w:rFonts w:hint="eastAsia" w:ascii="黑体" w:hAnsi="黑体" w:eastAsia="黑体" w:cs="黑体"/>
              <w:sz w:val="28"/>
              <w:szCs w:val="28"/>
              <w:highlight w:val="none"/>
              <w:lang w:val="en-US" w:eastAsia="zh-CN"/>
            </w:rPr>
            <w:t xml:space="preserve"> </w:t>
          </w:r>
          <w:r>
            <w:rPr>
              <w:rFonts w:hint="eastAsia" w:ascii="黑体" w:hAnsi="黑体" w:eastAsia="黑体" w:cs="黑体"/>
              <w:sz w:val="28"/>
              <w:szCs w:val="28"/>
              <w:highlight w:val="none"/>
              <w:lang w:eastAsia="zh-CN"/>
            </w:rPr>
            <w:t>其它</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6</w:t>
          </w:r>
          <w:r>
            <w:rPr>
              <w:rFonts w:hint="eastAsia" w:ascii="黑体" w:hAnsi="黑体" w:eastAsia="黑体" w:cs="黑体"/>
              <w:kern w:val="21"/>
              <w:sz w:val="28"/>
              <w:szCs w:val="28"/>
              <w:highlight w:val="none"/>
              <w:lang w:eastAsia="zh-CN"/>
            </w:rPr>
            <w:fldChar w:fldCharType="end"/>
          </w:r>
        </w:p>
        <w:p>
          <w:pPr>
            <w:pStyle w:val="13"/>
            <w:tabs>
              <w:tab w:val="right" w:leader="dot" w:pos="8310"/>
            </w:tabs>
            <w:spacing w:line="480" w:lineRule="auto"/>
            <w:rPr>
              <w:rFonts w:hint="eastAsia" w:ascii="黑体" w:hAnsi="黑体" w:eastAsia="黑体" w:cs="黑体"/>
              <w:sz w:val="28"/>
              <w:szCs w:val="28"/>
              <w:highlight w:val="none"/>
            </w:rPr>
          </w:pPr>
          <w:r>
            <w:rPr>
              <w:rFonts w:hint="eastAsia" w:ascii="黑体" w:hAnsi="黑体" w:eastAsia="黑体" w:cs="黑体"/>
              <w:kern w:val="21"/>
              <w:sz w:val="28"/>
              <w:szCs w:val="28"/>
              <w:highlight w:val="none"/>
              <w:lang w:eastAsia="zh-CN"/>
            </w:rPr>
            <w:fldChar w:fldCharType="begin"/>
          </w:r>
          <w:r>
            <w:rPr>
              <w:rFonts w:hint="eastAsia" w:ascii="黑体" w:hAnsi="黑体" w:eastAsia="黑体" w:cs="黑体"/>
              <w:kern w:val="21"/>
              <w:sz w:val="28"/>
              <w:szCs w:val="28"/>
              <w:highlight w:val="none"/>
              <w:lang w:eastAsia="zh-CN"/>
            </w:rPr>
            <w:instrText xml:space="preserve"> HYPERLINK \l _Toc28247 </w:instrText>
          </w:r>
          <w:r>
            <w:rPr>
              <w:rFonts w:hint="eastAsia" w:ascii="黑体" w:hAnsi="黑体" w:eastAsia="黑体" w:cs="黑体"/>
              <w:kern w:val="21"/>
              <w:sz w:val="28"/>
              <w:szCs w:val="28"/>
              <w:highlight w:val="none"/>
              <w:lang w:eastAsia="zh-CN"/>
            </w:rPr>
            <w:fldChar w:fldCharType="separate"/>
          </w:r>
          <w:r>
            <w:rPr>
              <w:rFonts w:hint="eastAsia" w:ascii="黑体" w:hAnsi="黑体" w:eastAsia="黑体" w:cs="黑体"/>
              <w:bCs/>
              <w:sz w:val="28"/>
              <w:szCs w:val="28"/>
              <w:highlight w:val="none"/>
              <w:lang w:val="en-US" w:eastAsia="zh-CN"/>
            </w:rPr>
            <w:t>附表1 技术差异表</w:t>
          </w:r>
          <w:r>
            <w:rPr>
              <w:rFonts w:hint="eastAsia" w:ascii="黑体" w:hAnsi="黑体" w:eastAsia="黑体" w:cs="黑体"/>
              <w:sz w:val="28"/>
              <w:szCs w:val="28"/>
              <w:highlight w:val="none"/>
            </w:rPr>
            <w:tab/>
          </w:r>
          <w:r>
            <w:rPr>
              <w:rFonts w:hint="eastAsia" w:ascii="黑体" w:hAnsi="黑体" w:eastAsia="黑体" w:cs="黑体"/>
              <w:sz w:val="28"/>
              <w:szCs w:val="28"/>
              <w:highlight w:val="none"/>
              <w:lang w:val="en-US" w:eastAsia="zh-CN"/>
            </w:rPr>
            <w:t>7</w:t>
          </w:r>
          <w:r>
            <w:rPr>
              <w:rFonts w:hint="eastAsia" w:ascii="黑体" w:hAnsi="黑体" w:eastAsia="黑体" w:cs="黑体"/>
              <w:kern w:val="21"/>
              <w:sz w:val="28"/>
              <w:szCs w:val="28"/>
              <w:highlight w:val="none"/>
              <w:lang w:eastAsia="zh-CN"/>
            </w:rPr>
            <w:fldChar w:fldCharType="end"/>
          </w:r>
        </w:p>
        <w:p>
          <w:pPr>
            <w:pStyle w:val="4"/>
            <w:topLinePunct/>
            <w:autoSpaceDE/>
            <w:autoSpaceDN/>
            <w:spacing w:line="480" w:lineRule="auto"/>
            <w:rPr>
              <w:rFonts w:ascii="Times New Roman" w:hAnsi="Times New Roman" w:cs="Times New Roman"/>
              <w:kern w:val="21"/>
              <w:highlight w:val="none"/>
              <w:lang w:eastAsia="zh-CN"/>
            </w:rPr>
          </w:pPr>
          <w:r>
            <w:rPr>
              <w:rFonts w:hint="eastAsia" w:ascii="黑体" w:hAnsi="黑体" w:eastAsia="黑体" w:cs="黑体"/>
              <w:kern w:val="21"/>
              <w:sz w:val="28"/>
              <w:szCs w:val="28"/>
              <w:highlight w:val="none"/>
              <w:lang w:eastAsia="zh-CN"/>
            </w:rPr>
            <w:fldChar w:fldCharType="end"/>
          </w:r>
        </w:p>
      </w:sdtContent>
    </w:sdt>
    <w:p>
      <w:pPr>
        <w:pStyle w:val="2"/>
        <w:rPr>
          <w:rFonts w:hint="eastAsia"/>
          <w:highlight w:val="none"/>
          <w:lang w:eastAsia="zh-CN"/>
        </w:rPr>
      </w:pPr>
      <w:bookmarkStart w:id="0" w:name="_Toc27858"/>
    </w:p>
    <w:p>
      <w:pPr>
        <w:rPr>
          <w:rFonts w:hint="eastAsia"/>
          <w:highlight w:val="none"/>
          <w:lang w:eastAsia="zh-CN"/>
        </w:rPr>
      </w:pPr>
    </w:p>
    <w:p>
      <w:pPr>
        <w:rPr>
          <w:rFonts w:hint="eastAsia"/>
          <w:highlight w:val="none"/>
          <w:lang w:eastAsia="zh-CN"/>
        </w:rPr>
      </w:pPr>
    </w:p>
    <w:p>
      <w:pPr>
        <w:pStyle w:val="2"/>
        <w:rPr>
          <w:highlight w:val="none"/>
        </w:rPr>
        <w:sectPr>
          <w:footerReference r:id="rId5" w:type="first"/>
          <w:headerReference r:id="rId3" w:type="default"/>
          <w:footerReference r:id="rId4" w:type="default"/>
          <w:pgSz w:w="11910" w:h="16850"/>
          <w:pgMar w:top="1440" w:right="1800" w:bottom="1440" w:left="1800" w:header="0" w:footer="1292" w:gutter="0"/>
          <w:pgNumType w:fmt="decimal"/>
          <w:cols w:space="720" w:num="1"/>
          <w:titlePg/>
        </w:sectPr>
      </w:pPr>
    </w:p>
    <w:p>
      <w:pPr>
        <w:pStyle w:val="2"/>
        <w:rPr>
          <w:highlight w:val="none"/>
        </w:rPr>
      </w:pPr>
      <w:r>
        <w:rPr>
          <w:highlight w:val="none"/>
        </w:rPr>
        <w:t>1</w:t>
      </w:r>
      <w:r>
        <w:rPr>
          <w:rFonts w:hint="eastAsia"/>
          <w:highlight w:val="none"/>
          <w:lang w:eastAsia="zh-CN"/>
        </w:rPr>
        <w:t xml:space="preserve">  </w:t>
      </w:r>
      <w:r>
        <w:rPr>
          <w:highlight w:val="none"/>
        </w:rPr>
        <w:t>总则</w:t>
      </w:r>
      <w:bookmarkEnd w:id="0"/>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本招标技术文件适用于</w:t>
      </w:r>
      <w:r>
        <w:rPr>
          <w:rFonts w:hint="eastAsia" w:ascii="Times New Roman" w:hAnsi="Times New Roman" w:eastAsia="宋体" w:cs="Times New Roman"/>
          <w:kern w:val="21"/>
          <w:highlight w:val="none"/>
          <w:lang w:eastAsia="zh-CN"/>
        </w:rPr>
        <w:t>具有开关状态监测功能的10kV保护测控装置</w:t>
      </w:r>
      <w:r>
        <w:rPr>
          <w:rFonts w:ascii="Times New Roman" w:hAnsi="Times New Roman" w:eastAsia="宋体" w:cs="Times New Roman"/>
          <w:kern w:val="21"/>
          <w:highlight w:val="none"/>
          <w:lang w:eastAsia="zh-CN"/>
        </w:rPr>
        <w:t>的订货。它提出了</w:t>
      </w:r>
      <w:r>
        <w:rPr>
          <w:rFonts w:hint="eastAsia" w:ascii="Times New Roman" w:hAnsi="Times New Roman" w:eastAsia="宋体" w:cs="Times New Roman"/>
          <w:kern w:val="21"/>
          <w:highlight w:val="none"/>
          <w:lang w:eastAsia="zh-CN"/>
        </w:rPr>
        <w:t>具有开关状态监测功能的10kV保护测控装置</w:t>
      </w:r>
      <w:r>
        <w:rPr>
          <w:rFonts w:ascii="Times New Roman" w:hAnsi="Times New Roman" w:eastAsia="宋体" w:cs="Times New Roman"/>
          <w:kern w:val="21"/>
          <w:highlight w:val="none"/>
          <w:lang w:eastAsia="zh-CN"/>
        </w:rPr>
        <w:t>的功能、性能、结构、安装等方面的技术要求</w:t>
      </w:r>
      <w:r>
        <w:rPr>
          <w:rFonts w:hint="eastAsia" w:ascii="Times New Roman" w:hAnsi="Times New Roman" w:eastAsia="宋体" w:cs="Times New Roman"/>
          <w:kern w:val="21"/>
          <w:highlight w:val="none"/>
          <w:lang w:eastAsia="zh-CN"/>
        </w:rPr>
        <w:t>。</w:t>
      </w:r>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本招标技术文件提出的是最低限度的技术要求，并未对一切技术细节做出规定， 也未充分引述有关标准和规范的条文，投标方应提供符合本规范书和工业标准的优质产品。凡本技术条件中未规定，但在相关设备的国家标准或</w:t>
      </w:r>
      <w:r>
        <w:rPr>
          <w:rFonts w:ascii="Times New Roman" w:hAnsi="Times New Roman" w:eastAsia="Times New Roman" w:cs="Times New Roman"/>
          <w:kern w:val="21"/>
          <w:highlight w:val="none"/>
          <w:lang w:eastAsia="zh-CN"/>
        </w:rPr>
        <w:t xml:space="preserve">IEC </w:t>
      </w:r>
      <w:r>
        <w:rPr>
          <w:rFonts w:ascii="Times New Roman" w:hAnsi="Times New Roman" w:eastAsia="宋体" w:cs="Times New Roman"/>
          <w:kern w:val="21"/>
          <w:highlight w:val="none"/>
          <w:lang w:eastAsia="zh-CN"/>
        </w:rPr>
        <w:t>标准中有规定的规范条文，投标 方应按相应标准的条文进行设备设计、制造、试验和安装。对国家有关安全、环保等强制性标准，必须满足其要求。</w:t>
      </w:r>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如果投标方没有以书面形式对本招标技术文件的条文提出异议，则意味着投标方提供的设备完全符合本招标技术文件的要求。如有异议，不管是多么微小，都应在报价书中以</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对招标技术文件的意见和同招标技术文件的差异</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为标题的专门章节中加以详细描述。</w:t>
      </w:r>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eastAsia="zh-CN"/>
        </w:rPr>
        <w:t>本招标技术文件所使用的标准如遇与招标方所执行的标准不一致时，按照较高标准执行。</w:t>
      </w:r>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本技术条件书经招、投标双方确认后作为订货合同的技术附件，与合同正文具有同等法律效力。</w:t>
      </w:r>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本招标技术文件未尽事宜，由招、投标双方协商确定。</w:t>
      </w:r>
    </w:p>
    <w:p>
      <w:pPr>
        <w:numPr>
          <w:ilvl w:val="1"/>
          <w:numId w:val="1"/>
        </w:numPr>
        <w:kinsoku/>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投标方在应标技术文件中应如实反映应标产品与本招标技术文件的技术差异。如果投标方没有提出技术差异，而在执行合同的过程中，招标方发现投标方提供的产品与其应标招标技术文件的条文存在差异，招标方有权利要求退货，并将对下一年度的评标工作有不同程度的影响。</w:t>
      </w:r>
    </w:p>
    <w:p>
      <w:pPr>
        <w:numPr>
          <w:ilvl w:val="1"/>
          <w:numId w:val="1"/>
        </w:numPr>
        <w:kinsoku/>
        <w:topLinePunct/>
        <w:autoSpaceDE/>
        <w:autoSpaceDN/>
        <w:spacing w:line="360" w:lineRule="auto"/>
        <w:ind w:firstLine="420" w:firstLineChars="200"/>
        <w:jc w:val="both"/>
        <w:rPr>
          <w:rFonts w:hint="eastAsia" w:eastAsia="宋体"/>
          <w:highlight w:val="none"/>
          <w:lang w:eastAsia="zh-CN"/>
        </w:rPr>
      </w:pPr>
      <w:r>
        <w:rPr>
          <w:rFonts w:ascii="Times New Roman" w:hAnsi="Times New Roman" w:eastAsia="宋体" w:cs="Times New Roman"/>
          <w:kern w:val="21"/>
          <w:highlight w:val="none"/>
          <w:lang w:eastAsia="zh-CN"/>
        </w:rPr>
        <w:t>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numPr>
          <w:ilvl w:val="0"/>
          <w:numId w:val="0"/>
        </w:numPr>
        <w:kinsoku/>
        <w:topLinePunct/>
        <w:autoSpaceDE/>
        <w:autoSpaceDN/>
        <w:spacing w:line="360" w:lineRule="auto"/>
        <w:jc w:val="both"/>
        <w:rPr>
          <w:rFonts w:ascii="Times New Roman" w:hAnsi="Times New Roman" w:eastAsia="宋体" w:cs="Times New Roman"/>
          <w:kern w:val="21"/>
          <w:highlight w:val="none"/>
          <w:lang w:eastAsia="zh-CN"/>
        </w:rPr>
      </w:pPr>
    </w:p>
    <w:p>
      <w:pPr>
        <w:numPr>
          <w:ilvl w:val="0"/>
          <w:numId w:val="0"/>
        </w:numPr>
        <w:kinsoku/>
        <w:topLinePunct/>
        <w:autoSpaceDE/>
        <w:autoSpaceDN/>
        <w:spacing w:line="360" w:lineRule="auto"/>
        <w:jc w:val="both"/>
        <w:rPr>
          <w:rFonts w:ascii="Times New Roman" w:hAnsi="Times New Roman" w:eastAsia="宋体" w:cs="Times New Roman"/>
          <w:kern w:val="21"/>
          <w:highlight w:val="none"/>
          <w:lang w:eastAsia="zh-CN"/>
        </w:rPr>
      </w:pPr>
    </w:p>
    <w:p>
      <w:pPr>
        <w:pStyle w:val="2"/>
        <w:rPr>
          <w:rFonts w:hint="eastAsia"/>
          <w:highlight w:val="none"/>
          <w:lang w:val="en-US" w:eastAsia="zh-CN"/>
        </w:rPr>
      </w:pPr>
      <w:r>
        <w:rPr>
          <w:rFonts w:hint="eastAsia"/>
          <w:highlight w:val="none"/>
          <w:lang w:val="en-US" w:eastAsia="zh-CN"/>
        </w:rPr>
        <w:t>2</w:t>
      </w:r>
      <w:r>
        <w:rPr>
          <w:rFonts w:hint="eastAsia"/>
          <w:highlight w:val="none"/>
          <w:lang w:eastAsia="zh-CN"/>
        </w:rPr>
        <w:t xml:space="preserve">  </w:t>
      </w:r>
      <w:r>
        <w:rPr>
          <w:rFonts w:hint="eastAsia"/>
          <w:highlight w:val="none"/>
          <w:lang w:val="en-US" w:eastAsia="zh-CN"/>
        </w:rPr>
        <w:t>工作范围</w:t>
      </w:r>
    </w:p>
    <w:p>
      <w:pPr>
        <w:topLinePunct/>
        <w:autoSpaceDE/>
        <w:autoSpaceDN/>
        <w:spacing w:line="360" w:lineRule="auto"/>
        <w:outlineLvl w:val="0"/>
        <w:rPr>
          <w:rFonts w:hint="eastAsia" w:ascii="Times New Roman" w:hAnsi="Times New Roman" w:eastAsia="宋体" w:cs="Times New Roman"/>
          <w:b/>
          <w:bCs/>
          <w:kern w:val="21"/>
          <w:sz w:val="24"/>
          <w:szCs w:val="24"/>
          <w:highlight w:val="none"/>
          <w:lang w:val="en-US" w:eastAsia="zh-CN"/>
        </w:rPr>
      </w:pPr>
      <w:r>
        <w:rPr>
          <w:rFonts w:ascii="Times New Roman" w:hAnsi="Times New Roman" w:eastAsia="宋体" w:cs="Times New Roman"/>
          <w:b/>
          <w:bCs/>
          <w:kern w:val="21"/>
          <w:sz w:val="24"/>
          <w:szCs w:val="24"/>
          <w:highlight w:val="none"/>
          <w:lang w:eastAsia="zh-CN"/>
        </w:rPr>
        <w:t>2.</w:t>
      </w:r>
      <w:r>
        <w:rPr>
          <w:rFonts w:hint="eastAsia" w:ascii="Times New Roman" w:hAnsi="Times New Roman" w:eastAsia="宋体" w:cs="Times New Roman"/>
          <w:b/>
          <w:bCs/>
          <w:kern w:val="21"/>
          <w:sz w:val="24"/>
          <w:szCs w:val="24"/>
          <w:highlight w:val="none"/>
          <w:lang w:val="en-US" w:eastAsia="zh-CN"/>
        </w:rPr>
        <w:t>1</w:t>
      </w:r>
      <w:r>
        <w:rPr>
          <w:rFonts w:ascii="Times New Roman" w:hAnsi="Times New Roman" w:eastAsia="宋体" w:cs="Times New Roman"/>
          <w:kern w:val="21"/>
          <w:sz w:val="24"/>
          <w:szCs w:val="24"/>
          <w:highlight w:val="none"/>
          <w:lang w:eastAsia="zh-CN"/>
        </w:rPr>
        <w:t xml:space="preserve"> </w:t>
      </w:r>
      <w:r>
        <w:rPr>
          <w:rFonts w:hint="eastAsia" w:ascii="Times New Roman" w:hAnsi="Times New Roman" w:eastAsia="宋体" w:cs="Times New Roman"/>
          <w:b/>
          <w:bCs/>
          <w:kern w:val="21"/>
          <w:sz w:val="24"/>
          <w:szCs w:val="24"/>
          <w:highlight w:val="none"/>
          <w:lang w:val="en-US" w:eastAsia="zh-CN"/>
        </w:rPr>
        <w:t>项目概况</w:t>
      </w:r>
    </w:p>
    <w:p>
      <w:pPr>
        <w:topLinePunct/>
        <w:autoSpaceDE/>
        <w:autoSpaceDN/>
        <w:spacing w:line="360" w:lineRule="auto"/>
        <w:ind w:firstLine="480" w:firstLineChars="200"/>
        <w:jc w:val="both"/>
        <w:rPr>
          <w:rFonts w:hint="eastAsia" w:ascii="Times New Roman" w:hAnsi="Times New Roman" w:eastAsia="宋体" w:cs="Times New Roman"/>
          <w:kern w:val="21"/>
          <w:highlight w:val="none"/>
          <w:lang w:eastAsia="zh-CN"/>
        </w:rPr>
        <w:sectPr>
          <w:footerReference r:id="rId7" w:type="first"/>
          <w:footerReference r:id="rId6" w:type="default"/>
          <w:pgSz w:w="11910" w:h="16850"/>
          <w:pgMar w:top="1440" w:right="1800" w:bottom="1440" w:left="1800" w:header="0" w:footer="1292" w:gutter="0"/>
          <w:pgNumType w:fmt="decimal" w:start="1"/>
          <w:cols w:space="720" w:num="1"/>
        </w:sectPr>
      </w:pPr>
      <w:r>
        <w:rPr>
          <w:rFonts w:hint="eastAsia" w:eastAsia="宋体"/>
          <w:sz w:val="24"/>
          <w:szCs w:val="32"/>
          <w:lang w:val="en-US" w:eastAsia="zh-CN"/>
        </w:rPr>
        <w:t>基于现有</w:t>
      </w:r>
      <w:r>
        <w:rPr>
          <w:rFonts w:hint="eastAsia"/>
          <w:sz w:val="24"/>
          <w:szCs w:val="32"/>
          <w:lang w:val="en-US" w:eastAsia="zh-CN"/>
        </w:rPr>
        <w:t>10kV保护测控装置采集到的信息，增加逻辑功能，实现</w:t>
      </w:r>
      <w:r>
        <w:rPr>
          <w:rFonts w:hint="eastAsia" w:ascii="宋体" w:hAnsi="宋体"/>
          <w:sz w:val="24"/>
        </w:rPr>
        <w:t>开关状态自动监测、开关动作异常判断及大电流告警功能</w:t>
      </w:r>
      <w:r>
        <w:rPr>
          <w:rFonts w:hint="eastAsia" w:ascii="宋体" w:hAnsi="宋体"/>
          <w:sz w:val="24"/>
          <w:lang w:eastAsia="zh-CN"/>
        </w:rPr>
        <w:t>。</w:t>
      </w:r>
    </w:p>
    <w:p>
      <w:pPr>
        <w:topLinePunct/>
        <w:autoSpaceDE/>
        <w:autoSpaceDN/>
        <w:spacing w:line="360" w:lineRule="auto"/>
        <w:outlineLvl w:val="0"/>
        <w:rPr>
          <w:rFonts w:ascii="Times New Roman" w:hAnsi="Times New Roman" w:eastAsia="宋体" w:cs="Times New Roman"/>
          <w:kern w:val="21"/>
          <w:sz w:val="24"/>
          <w:szCs w:val="24"/>
          <w:highlight w:val="none"/>
          <w:lang w:eastAsia="zh-CN"/>
        </w:rPr>
      </w:pPr>
      <w:bookmarkStart w:id="1" w:name="_Toc18511"/>
      <w:r>
        <w:rPr>
          <w:rFonts w:ascii="Times New Roman" w:hAnsi="Times New Roman" w:eastAsia="宋体" w:cs="Times New Roman"/>
          <w:b/>
          <w:bCs/>
          <w:kern w:val="21"/>
          <w:sz w:val="24"/>
          <w:szCs w:val="24"/>
          <w:highlight w:val="none"/>
          <w:lang w:eastAsia="zh-CN"/>
        </w:rPr>
        <w:t>2.</w:t>
      </w:r>
      <w:r>
        <w:rPr>
          <w:rFonts w:hint="eastAsia" w:ascii="Times New Roman" w:hAnsi="Times New Roman" w:eastAsia="宋体" w:cs="Times New Roman"/>
          <w:b/>
          <w:bCs/>
          <w:kern w:val="21"/>
          <w:sz w:val="24"/>
          <w:szCs w:val="24"/>
          <w:highlight w:val="none"/>
          <w:lang w:val="en-US" w:eastAsia="zh-CN"/>
        </w:rPr>
        <w:t>2</w:t>
      </w:r>
      <w:r>
        <w:rPr>
          <w:rFonts w:ascii="Times New Roman" w:hAnsi="Times New Roman" w:eastAsia="宋体" w:cs="Times New Roman"/>
          <w:kern w:val="21"/>
          <w:sz w:val="24"/>
          <w:szCs w:val="24"/>
          <w:highlight w:val="none"/>
          <w:lang w:eastAsia="zh-CN"/>
        </w:rPr>
        <w:t xml:space="preserve"> </w:t>
      </w:r>
      <w:r>
        <w:rPr>
          <w:rFonts w:ascii="Times New Roman" w:hAnsi="Times New Roman" w:eastAsia="宋体" w:cs="Times New Roman"/>
          <w:b/>
          <w:bCs/>
          <w:kern w:val="21"/>
          <w:sz w:val="24"/>
          <w:szCs w:val="24"/>
          <w:highlight w:val="none"/>
          <w:lang w:eastAsia="zh-CN"/>
        </w:rPr>
        <w:t>供货范围</w:t>
      </w:r>
      <w:bookmarkEnd w:id="1"/>
    </w:p>
    <w:p>
      <w:pPr>
        <w:topLinePunct/>
        <w:autoSpaceDE/>
        <w:autoSpaceDN/>
        <w:spacing w:line="360" w:lineRule="auto"/>
        <w:ind w:firstLine="420" w:firstLineChars="200"/>
        <w:jc w:val="both"/>
        <w:rPr>
          <w:rFonts w:hint="default" w:ascii="Times New Roman" w:hAnsi="Times New Roman" w:eastAsia="宋体" w:cs="Times New Roman"/>
          <w:kern w:val="21"/>
          <w:highlight w:val="none"/>
          <w:lang w:val="en-US" w:eastAsia="zh-CN"/>
        </w:rPr>
      </w:pPr>
      <w:r>
        <w:rPr>
          <w:rFonts w:ascii="Times New Roman" w:hAnsi="Times New Roman" w:eastAsia="宋体" w:cs="Times New Roman"/>
          <w:kern w:val="21"/>
          <w:highlight w:val="none"/>
          <w:lang w:eastAsia="zh-CN"/>
        </w:rPr>
        <w:t>本技术条件书要求采购的设备规范详见</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3.应遵循的主要标准</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 xml:space="preserve">。供货范围包括: </w:t>
      </w:r>
      <w:r>
        <w:rPr>
          <w:rFonts w:hint="eastAsia" w:ascii="Times New Roman" w:hAnsi="Times New Roman" w:eastAsia="宋体" w:cs="Times New Roman"/>
          <w:kern w:val="21"/>
          <w:highlight w:val="none"/>
          <w:lang w:eastAsia="zh-CN"/>
        </w:rPr>
        <w:t>(1)研发一套有开关状态自动监测、开关动作异常判断及大电流告警功能的10kV保护测控装置；(2)发表论文1篇。</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eastAsia="zh-CN"/>
        </w:rPr>
        <w:t>具体的供货范围详见下表:</w:t>
      </w:r>
    </w:p>
    <w:tbl>
      <w:tblPr>
        <w:tblStyle w:val="11"/>
        <w:tblW w:w="82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4"/>
        <w:gridCol w:w="1708"/>
        <w:gridCol w:w="3356"/>
        <w:gridCol w:w="679"/>
        <w:gridCol w:w="769"/>
        <w:gridCol w:w="109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674"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序号</w:t>
            </w:r>
          </w:p>
        </w:tc>
        <w:tc>
          <w:tcPr>
            <w:tcW w:w="1708"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名称</w:t>
            </w:r>
          </w:p>
        </w:tc>
        <w:tc>
          <w:tcPr>
            <w:tcW w:w="3356"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color w:val="auto"/>
                <w:kern w:val="21"/>
                <w:sz w:val="21"/>
                <w:szCs w:val="21"/>
                <w:highlight w:val="none"/>
              </w:rPr>
              <w:t>规格型号</w:t>
            </w:r>
          </w:p>
        </w:tc>
        <w:tc>
          <w:tcPr>
            <w:tcW w:w="67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单位</w:t>
            </w:r>
          </w:p>
        </w:tc>
        <w:tc>
          <w:tcPr>
            <w:tcW w:w="76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数量</w:t>
            </w:r>
          </w:p>
        </w:tc>
        <w:tc>
          <w:tcPr>
            <w:tcW w:w="1093"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538" w:hRule="atLeast"/>
        </w:trPr>
        <w:tc>
          <w:tcPr>
            <w:tcW w:w="674" w:type="dxa"/>
            <w:vAlign w:val="center"/>
          </w:tcPr>
          <w:p>
            <w:pPr>
              <w:topLinePunct/>
              <w:autoSpaceDE/>
              <w:autoSpaceDN/>
              <w:spacing w:line="360" w:lineRule="auto"/>
              <w:jc w:val="both"/>
              <w:rPr>
                <w:rFonts w:ascii="Times New Roman" w:hAnsi="Times New Roman" w:cs="Times New Roman"/>
                <w:kern w:val="21"/>
                <w:highlight w:val="none"/>
              </w:rPr>
            </w:pPr>
          </w:p>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1</w:t>
            </w:r>
          </w:p>
        </w:tc>
        <w:tc>
          <w:tcPr>
            <w:tcW w:w="1708" w:type="dxa"/>
            <w:vAlign w:val="center"/>
          </w:tcPr>
          <w:p>
            <w:pPr>
              <w:topLinePunct/>
              <w:autoSpaceDE/>
              <w:autoSpaceDN/>
              <w:spacing w:line="360" w:lineRule="auto"/>
              <w:jc w:val="center"/>
              <w:rPr>
                <w:rFonts w:ascii="Times New Roman" w:hAnsi="Times New Roman" w:eastAsia="宋体" w:cs="Times New Roman"/>
                <w:kern w:val="21"/>
                <w:highlight w:val="none"/>
                <w:lang w:eastAsia="zh-CN"/>
              </w:rPr>
            </w:pPr>
          </w:p>
          <w:p>
            <w:pPr>
              <w:topLinePunct/>
              <w:autoSpaceDE/>
              <w:autoSpaceDN/>
              <w:spacing w:line="360" w:lineRule="auto"/>
              <w:jc w:val="center"/>
              <w:rPr>
                <w:rFonts w:ascii="Times New Roman" w:hAnsi="Times New Roman" w:eastAsia="宋体" w:cs="Times New Roman"/>
                <w:kern w:val="21"/>
                <w:highlight w:val="none"/>
                <w:lang w:eastAsia="zh-CN"/>
              </w:rPr>
            </w:pPr>
            <w:r>
              <w:rPr>
                <w:rFonts w:hint="eastAsia" w:ascii="宋体" w:hAnsi="宋体"/>
                <w:vanish w:val="0"/>
                <w:sz w:val="24"/>
              </w:rPr>
              <w:t>具有开关状态监测功能的10kV保护测控装置</w:t>
            </w:r>
          </w:p>
        </w:tc>
        <w:tc>
          <w:tcPr>
            <w:tcW w:w="3356" w:type="dxa"/>
            <w:vAlign w:val="center"/>
          </w:tcPr>
          <w:p>
            <w:pPr>
              <w:topLinePunct/>
              <w:autoSpaceDE/>
              <w:autoSpaceDN/>
              <w:spacing w:line="360" w:lineRule="auto"/>
              <w:ind w:firstLine="420" w:firstLineChars="200"/>
              <w:jc w:val="both"/>
              <w:rPr>
                <w:rFonts w:hint="default"/>
                <w:highlight w:val="none"/>
                <w:lang w:val="en-US" w:eastAsia="zh-CN"/>
              </w:rPr>
            </w:pPr>
            <w:r>
              <w:rPr>
                <w:rFonts w:hint="default"/>
                <w:highlight w:val="none"/>
                <w:lang w:val="en-US" w:eastAsia="zh-CN"/>
              </w:rPr>
              <w:t>设计一种10kV保护测控装置具有开关状态自动监测、开关动作异常判断及大电流告警功能。通过采集到分合闸命令和断路器分合位，增加分合闸命令和断路器分合位时间逻辑分析功能，可自动分析断路器分合闸时间判断是否存在慢分、慢合或者拒动的异常情况，并发出告警信号。另一方面，利用采集到最大故障电流进行逻辑分析，增加电流超标时自动发出大电流告警的功能。在保护测控装置中新增加的功能，不影响测控原有的功能及回路。</w:t>
            </w:r>
          </w:p>
        </w:tc>
        <w:tc>
          <w:tcPr>
            <w:tcW w:w="67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套</w:t>
            </w:r>
          </w:p>
        </w:tc>
        <w:tc>
          <w:tcPr>
            <w:tcW w:w="76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lang w:eastAsia="zh-CN"/>
              </w:rPr>
            </w:pPr>
            <w:r>
              <w:rPr>
                <w:rFonts w:hint="eastAsia" w:ascii="Times New Roman" w:hAnsi="Times New Roman" w:cs="Times New Roman"/>
                <w:kern w:val="21"/>
                <w:sz w:val="21"/>
                <w:szCs w:val="21"/>
                <w:highlight w:val="none"/>
                <w:lang w:eastAsia="zh-CN"/>
              </w:rPr>
              <w:t>1</w:t>
            </w:r>
          </w:p>
        </w:tc>
        <w:tc>
          <w:tcPr>
            <w:tcW w:w="1093" w:type="dxa"/>
            <w:vAlign w:val="center"/>
          </w:tcPr>
          <w:p>
            <w:pPr>
              <w:topLinePunct/>
              <w:autoSpaceDE/>
              <w:autoSpaceDN/>
              <w:spacing w:line="360" w:lineRule="auto"/>
              <w:jc w:val="center"/>
              <w:rPr>
                <w:rFonts w:ascii="Times New Roman" w:hAnsi="Times New Roman" w:cs="Times New Roman"/>
                <w:kern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674" w:type="dxa"/>
            <w:vAlign w:val="center"/>
          </w:tcPr>
          <w:p>
            <w:pPr>
              <w:pStyle w:val="12"/>
              <w:topLinePunct/>
              <w:autoSpaceDE/>
              <w:autoSpaceDN/>
              <w:spacing w:line="360" w:lineRule="auto"/>
              <w:jc w:val="center"/>
              <w:rPr>
                <w:rFonts w:hint="eastAsia" w:ascii="Times New Roman" w:hAnsi="Times New Roman" w:eastAsia="宋体" w:cs="Times New Roman"/>
                <w:kern w:val="21"/>
                <w:sz w:val="21"/>
                <w:szCs w:val="21"/>
                <w:highlight w:val="none"/>
                <w:lang w:eastAsia="zh-CN"/>
              </w:rPr>
            </w:pPr>
            <w:r>
              <w:rPr>
                <w:rFonts w:hint="eastAsia" w:ascii="Times New Roman" w:hAnsi="Times New Roman" w:cs="Times New Roman"/>
                <w:kern w:val="21"/>
                <w:sz w:val="21"/>
                <w:szCs w:val="21"/>
                <w:highlight w:val="none"/>
                <w:lang w:val="en-US" w:eastAsia="zh-CN"/>
              </w:rPr>
              <w:t>2</w:t>
            </w:r>
          </w:p>
        </w:tc>
        <w:tc>
          <w:tcPr>
            <w:tcW w:w="1708"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其他</w:t>
            </w:r>
          </w:p>
        </w:tc>
        <w:tc>
          <w:tcPr>
            <w:tcW w:w="3356" w:type="dxa"/>
            <w:vAlign w:val="center"/>
          </w:tcPr>
          <w:p>
            <w:pPr>
              <w:topLinePunct/>
              <w:autoSpaceDE/>
              <w:autoSpaceDN/>
              <w:spacing w:line="360" w:lineRule="auto"/>
              <w:jc w:val="center"/>
              <w:rPr>
                <w:rFonts w:ascii="Times New Roman" w:hAnsi="Times New Roman" w:cs="Times New Roman"/>
                <w:kern w:val="21"/>
                <w:highlight w:val="none"/>
              </w:rPr>
            </w:pPr>
          </w:p>
        </w:tc>
        <w:tc>
          <w:tcPr>
            <w:tcW w:w="679" w:type="dxa"/>
            <w:vAlign w:val="center"/>
          </w:tcPr>
          <w:p>
            <w:pPr>
              <w:topLinePunct/>
              <w:autoSpaceDE/>
              <w:autoSpaceDN/>
              <w:spacing w:line="360" w:lineRule="auto"/>
              <w:jc w:val="center"/>
              <w:rPr>
                <w:rFonts w:ascii="Times New Roman" w:hAnsi="Times New Roman" w:cs="Times New Roman"/>
                <w:kern w:val="21"/>
                <w:highlight w:val="none"/>
              </w:rPr>
            </w:pPr>
          </w:p>
        </w:tc>
        <w:tc>
          <w:tcPr>
            <w:tcW w:w="769" w:type="dxa"/>
            <w:vAlign w:val="center"/>
          </w:tcPr>
          <w:p>
            <w:pPr>
              <w:topLinePunct/>
              <w:autoSpaceDE/>
              <w:autoSpaceDN/>
              <w:spacing w:line="360" w:lineRule="auto"/>
              <w:jc w:val="center"/>
              <w:rPr>
                <w:rFonts w:ascii="Times New Roman" w:hAnsi="Times New Roman" w:cs="Times New Roman"/>
                <w:kern w:val="21"/>
                <w:highlight w:val="none"/>
              </w:rPr>
            </w:pPr>
          </w:p>
        </w:tc>
        <w:tc>
          <w:tcPr>
            <w:tcW w:w="1093" w:type="dxa"/>
            <w:vAlign w:val="center"/>
          </w:tcPr>
          <w:p>
            <w:pPr>
              <w:topLinePunct/>
              <w:autoSpaceDE/>
              <w:autoSpaceDN/>
              <w:spacing w:line="360" w:lineRule="auto"/>
              <w:jc w:val="center"/>
              <w:rPr>
                <w:rFonts w:ascii="Times New Roman" w:hAnsi="Times New Roman" w:cs="Times New Roman"/>
                <w:kern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674"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hint="eastAsia" w:ascii="Times New Roman" w:hAnsi="Times New Roman" w:cs="Times New Roman"/>
                <w:kern w:val="21"/>
                <w:sz w:val="21"/>
                <w:szCs w:val="21"/>
                <w:highlight w:val="none"/>
                <w:lang w:val="en-US" w:eastAsia="zh-CN"/>
              </w:rPr>
              <w:t>2</w:t>
            </w:r>
            <w:r>
              <w:rPr>
                <w:rFonts w:ascii="Times New Roman" w:hAnsi="Times New Roman" w:cs="Times New Roman"/>
                <w:kern w:val="21"/>
                <w:sz w:val="21"/>
                <w:szCs w:val="21"/>
                <w:highlight w:val="none"/>
              </w:rPr>
              <w:t>.1</w:t>
            </w:r>
          </w:p>
        </w:tc>
        <w:tc>
          <w:tcPr>
            <w:tcW w:w="1708"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安装、调试</w:t>
            </w:r>
          </w:p>
        </w:tc>
        <w:tc>
          <w:tcPr>
            <w:tcW w:w="3356" w:type="dxa"/>
            <w:vAlign w:val="center"/>
          </w:tcPr>
          <w:p>
            <w:pPr>
              <w:topLinePunct/>
              <w:autoSpaceDE/>
              <w:autoSpaceDN/>
              <w:spacing w:line="360" w:lineRule="auto"/>
              <w:jc w:val="center"/>
              <w:rPr>
                <w:rFonts w:ascii="Times New Roman" w:hAnsi="Times New Roman" w:cs="Times New Roman"/>
                <w:kern w:val="21"/>
                <w:highlight w:val="none"/>
              </w:rPr>
            </w:pPr>
          </w:p>
        </w:tc>
        <w:tc>
          <w:tcPr>
            <w:tcW w:w="67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套</w:t>
            </w:r>
          </w:p>
        </w:tc>
        <w:tc>
          <w:tcPr>
            <w:tcW w:w="76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1</w:t>
            </w:r>
          </w:p>
        </w:tc>
        <w:tc>
          <w:tcPr>
            <w:tcW w:w="1093" w:type="dxa"/>
            <w:vAlign w:val="center"/>
          </w:tcPr>
          <w:p>
            <w:pPr>
              <w:topLinePunct/>
              <w:autoSpaceDE/>
              <w:autoSpaceDN/>
              <w:spacing w:line="360" w:lineRule="auto"/>
              <w:jc w:val="center"/>
              <w:rPr>
                <w:rFonts w:ascii="Times New Roman" w:hAnsi="Times New Roman" w:cs="Times New Roman"/>
                <w:kern w:val="21"/>
                <w:highlight w:val="none"/>
              </w:rPr>
            </w:pPr>
          </w:p>
        </w:tc>
      </w:tr>
    </w:tbl>
    <w:p>
      <w:pPr>
        <w:pStyle w:val="4"/>
        <w:topLinePunct/>
        <w:autoSpaceDE/>
        <w:autoSpaceDN/>
        <w:spacing w:line="360" w:lineRule="auto"/>
        <w:rPr>
          <w:rFonts w:ascii="Times New Roman" w:hAnsi="Times New Roman" w:cs="Times New Roman"/>
          <w:kern w:val="21"/>
          <w:highlight w:val="none"/>
        </w:rPr>
      </w:pPr>
    </w:p>
    <w:p>
      <w:pPr>
        <w:topLinePunct/>
        <w:autoSpaceDE/>
        <w:autoSpaceDN/>
        <w:spacing w:line="360" w:lineRule="auto"/>
        <w:outlineLvl w:val="0"/>
        <w:rPr>
          <w:rFonts w:ascii="Times New Roman" w:hAnsi="Times New Roman" w:eastAsia="宋体" w:cs="Times New Roman"/>
          <w:b/>
          <w:bCs/>
          <w:kern w:val="21"/>
          <w:sz w:val="24"/>
          <w:szCs w:val="24"/>
          <w:highlight w:val="none"/>
        </w:rPr>
      </w:pPr>
      <w:bookmarkStart w:id="2" w:name="_Toc8467"/>
      <w:r>
        <w:rPr>
          <w:rFonts w:ascii="Times New Roman" w:hAnsi="Times New Roman" w:eastAsia="宋体" w:cs="Times New Roman"/>
          <w:b/>
          <w:bCs/>
          <w:kern w:val="21"/>
          <w:sz w:val="24"/>
          <w:szCs w:val="24"/>
          <w:highlight w:val="none"/>
        </w:rPr>
        <w:t>2.</w:t>
      </w:r>
      <w:r>
        <w:rPr>
          <w:rFonts w:hint="eastAsia" w:ascii="Times New Roman" w:hAnsi="Times New Roman" w:eastAsia="宋体" w:cs="Times New Roman"/>
          <w:b/>
          <w:bCs/>
          <w:kern w:val="21"/>
          <w:sz w:val="24"/>
          <w:szCs w:val="24"/>
          <w:highlight w:val="none"/>
          <w:lang w:val="en-US" w:eastAsia="zh-CN"/>
        </w:rPr>
        <w:t>3</w:t>
      </w:r>
      <w:r>
        <w:rPr>
          <w:rFonts w:ascii="Times New Roman" w:hAnsi="Times New Roman" w:eastAsia="宋体" w:cs="Times New Roman"/>
          <w:kern w:val="21"/>
          <w:sz w:val="24"/>
          <w:szCs w:val="24"/>
          <w:highlight w:val="none"/>
        </w:rPr>
        <w:t xml:space="preserve"> </w:t>
      </w:r>
      <w:r>
        <w:rPr>
          <w:rFonts w:ascii="Times New Roman" w:hAnsi="Times New Roman" w:eastAsia="宋体" w:cs="Times New Roman"/>
          <w:b/>
          <w:bCs/>
          <w:kern w:val="21"/>
          <w:sz w:val="24"/>
          <w:szCs w:val="24"/>
          <w:highlight w:val="none"/>
        </w:rPr>
        <w:t>服务范围</w:t>
      </w:r>
      <w:bookmarkEnd w:id="2"/>
    </w:p>
    <w:p>
      <w:pPr>
        <w:topLinePunct/>
        <w:autoSpaceDE/>
        <w:autoSpaceDN/>
        <w:spacing w:line="360" w:lineRule="auto"/>
        <w:outlineLvl w:val="0"/>
        <w:rPr>
          <w:rFonts w:ascii="Times New Roman" w:hAnsi="Times New Roman" w:eastAsia="宋体" w:cs="Times New Roman"/>
          <w:kern w:val="21"/>
          <w:highlight w:val="none"/>
          <w:lang w:eastAsia="zh-CN"/>
        </w:rPr>
      </w:pPr>
      <w:bookmarkStart w:id="3" w:name="_Toc23151"/>
      <w:r>
        <w:rPr>
          <w:rFonts w:hint="eastAsia" w:ascii="Times New Roman" w:hAnsi="Times New Roman" w:eastAsia="宋体" w:cs="Times New Roman"/>
          <w:kern w:val="21"/>
          <w:highlight w:val="none"/>
          <w:lang w:eastAsia="zh-CN"/>
        </w:rPr>
        <w:t>2.</w:t>
      </w:r>
      <w:r>
        <w:rPr>
          <w:rFonts w:hint="eastAsia" w:ascii="Times New Roman" w:hAnsi="Times New Roman" w:eastAsia="宋体" w:cs="Times New Roman"/>
          <w:kern w:val="21"/>
          <w:highlight w:val="none"/>
          <w:lang w:val="en-US" w:eastAsia="zh-CN"/>
        </w:rPr>
        <w:t>3</w:t>
      </w:r>
      <w:r>
        <w:rPr>
          <w:rFonts w:hint="eastAsia" w:ascii="Times New Roman" w:hAnsi="Times New Roman" w:eastAsia="宋体" w:cs="Times New Roman"/>
          <w:kern w:val="21"/>
          <w:highlight w:val="none"/>
          <w:lang w:eastAsia="zh-CN"/>
        </w:rPr>
        <w:t>.1 从投标方至招标方指定位置的运输全部由投标方完成。</w:t>
      </w:r>
      <w:bookmarkEnd w:id="3"/>
    </w:p>
    <w:p>
      <w:pPr>
        <w:topLinePunct/>
        <w:autoSpaceDE/>
        <w:autoSpaceDN/>
        <w:spacing w:line="360" w:lineRule="auto"/>
        <w:outlineLvl w:val="0"/>
        <w:rPr>
          <w:rFonts w:ascii="Times New Roman" w:hAnsi="Times New Roman" w:eastAsia="宋体" w:cs="Times New Roman"/>
          <w:kern w:val="21"/>
          <w:highlight w:val="none"/>
          <w:lang w:eastAsia="zh-CN"/>
        </w:rPr>
      </w:pPr>
      <w:bookmarkStart w:id="4" w:name="_Toc6925"/>
      <w:r>
        <w:rPr>
          <w:rFonts w:hint="eastAsia" w:ascii="Times New Roman" w:hAnsi="Times New Roman" w:eastAsia="宋体" w:cs="Times New Roman"/>
          <w:kern w:val="21"/>
          <w:highlight w:val="none"/>
          <w:lang w:eastAsia="zh-CN"/>
        </w:rPr>
        <w:t>2.</w:t>
      </w:r>
      <w:r>
        <w:rPr>
          <w:rFonts w:hint="eastAsia" w:ascii="Times New Roman" w:hAnsi="Times New Roman" w:eastAsia="宋体" w:cs="Times New Roman"/>
          <w:kern w:val="21"/>
          <w:highlight w:val="none"/>
          <w:lang w:val="en-US" w:eastAsia="zh-CN"/>
        </w:rPr>
        <w:t>3</w:t>
      </w:r>
      <w:r>
        <w:rPr>
          <w:rFonts w:hint="eastAsia" w:ascii="Times New Roman" w:hAnsi="Times New Roman" w:eastAsia="宋体" w:cs="Times New Roman"/>
          <w:kern w:val="21"/>
          <w:highlight w:val="none"/>
          <w:lang w:eastAsia="zh-CN"/>
        </w:rPr>
        <w:t>.2 投标方协助招标方按验收标准检查产品的到货质量，必要时投标方需提供现场安装或试验的技术指导，对安装和运行人员免费培训。</w:t>
      </w:r>
      <w:bookmarkEnd w:id="4"/>
    </w:p>
    <w:p>
      <w:pPr>
        <w:topLinePunct/>
        <w:autoSpaceDE/>
        <w:autoSpaceDN/>
        <w:spacing w:line="360" w:lineRule="auto"/>
        <w:outlineLvl w:val="0"/>
        <w:rPr>
          <w:rFonts w:ascii="Times New Roman" w:hAnsi="Times New Roman" w:eastAsia="宋体" w:cs="Times New Roman"/>
          <w:kern w:val="21"/>
          <w:highlight w:val="none"/>
          <w:lang w:eastAsia="zh-CN"/>
        </w:rPr>
      </w:pPr>
      <w:bookmarkStart w:id="5" w:name="_Toc11281"/>
      <w:r>
        <w:rPr>
          <w:rFonts w:ascii="Times New Roman" w:hAnsi="Times New Roman" w:eastAsia="宋体" w:cs="Times New Roman"/>
          <w:kern w:val="21"/>
          <w:highlight w:val="none"/>
          <w:lang w:eastAsia="zh-CN"/>
        </w:rPr>
        <w:t>2.</w:t>
      </w:r>
      <w:r>
        <w:rPr>
          <w:rFonts w:hint="eastAsia" w:ascii="Times New Roman" w:hAnsi="Times New Roman" w:eastAsia="宋体" w:cs="Times New Roman"/>
          <w:kern w:val="21"/>
          <w:highlight w:val="none"/>
          <w:lang w:val="en-US" w:eastAsia="zh-CN"/>
        </w:rPr>
        <w:t>3</w:t>
      </w:r>
      <w:r>
        <w:rPr>
          <w:rFonts w:ascii="Times New Roman" w:hAnsi="Times New Roman" w:eastAsia="宋体" w:cs="Times New Roman"/>
          <w:kern w:val="21"/>
          <w:highlight w:val="none"/>
          <w:lang w:eastAsia="zh-CN"/>
        </w:rPr>
        <w:t>.3</w:t>
      </w:r>
      <w:r>
        <w:rPr>
          <w:rFonts w:hint="eastAsia" w:ascii="Times New Roman" w:hAnsi="Times New Roman" w:eastAsia="宋体" w:cs="Times New Roman"/>
          <w:kern w:val="21"/>
          <w:highlight w:val="none"/>
          <w:lang w:eastAsia="zh-CN"/>
        </w:rPr>
        <w:t xml:space="preserve"> </w:t>
      </w:r>
      <w:bookmarkEnd w:id="5"/>
      <w:r>
        <w:rPr>
          <w:rFonts w:ascii="Times New Roman" w:hAnsi="Times New Roman" w:eastAsia="宋体" w:cs="Times New Roman"/>
          <w:kern w:val="21"/>
          <w:highlight w:val="none"/>
          <w:lang w:eastAsia="zh-CN"/>
        </w:rPr>
        <w:t>投标方为招标方提供至少两年</w:t>
      </w:r>
      <w:r>
        <w:rPr>
          <w:rFonts w:hint="eastAsia" w:ascii="Times New Roman" w:hAnsi="Times New Roman" w:eastAsia="宋体" w:cs="Times New Roman"/>
          <w:kern w:val="21"/>
          <w:highlight w:val="none"/>
          <w:lang w:eastAsia="zh-CN"/>
        </w:rPr>
        <w:t>的具有开关状态监测功能的10kV保护测控装置</w:t>
      </w:r>
      <w:r>
        <w:rPr>
          <w:rFonts w:hint="eastAsia" w:ascii="Times New Roman" w:hAnsi="Times New Roman" w:eastAsia="宋体" w:cs="Times New Roman"/>
          <w:kern w:val="21"/>
          <w:highlight w:val="none"/>
          <w:lang w:val="en-US" w:eastAsia="zh-CN"/>
        </w:rPr>
        <w:t>功能维护</w:t>
      </w:r>
      <w:r>
        <w:rPr>
          <w:rFonts w:ascii="Times New Roman" w:hAnsi="Times New Roman" w:eastAsia="宋体" w:cs="Times New Roman"/>
          <w:kern w:val="21"/>
          <w:highlight w:val="none"/>
          <w:lang w:eastAsia="zh-CN"/>
        </w:rPr>
        <w:t>服务</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三年内投标方负责免费维修、</w:t>
      </w:r>
      <w:r>
        <w:rPr>
          <w:rFonts w:hint="eastAsia" w:ascii="Times New Roman" w:hAnsi="Times New Roman" w:eastAsia="宋体" w:cs="Times New Roman"/>
          <w:kern w:val="21"/>
          <w:highlight w:val="none"/>
          <w:lang w:val="en-US" w:eastAsia="zh-CN"/>
        </w:rPr>
        <w:t>调试</w:t>
      </w:r>
      <w:r>
        <w:rPr>
          <w:rFonts w:ascii="Times New Roman" w:hAnsi="Times New Roman" w:eastAsia="宋体" w:cs="Times New Roman"/>
          <w:kern w:val="21"/>
          <w:highlight w:val="none"/>
          <w:lang w:eastAsia="zh-CN"/>
        </w:rPr>
        <w:t>。</w:t>
      </w:r>
    </w:p>
    <w:p>
      <w:pPr>
        <w:topLinePunct/>
        <w:autoSpaceDE/>
        <w:autoSpaceDN/>
        <w:spacing w:line="360" w:lineRule="auto"/>
        <w:outlineLvl w:val="0"/>
        <w:rPr>
          <w:rFonts w:ascii="Times New Roman" w:hAnsi="Times New Roman" w:eastAsia="宋体" w:cs="Times New Roman"/>
          <w:kern w:val="21"/>
          <w:highlight w:val="none"/>
          <w:lang w:eastAsia="zh-CN"/>
        </w:rPr>
      </w:pPr>
      <w:bookmarkStart w:id="6" w:name="_Toc30113"/>
      <w:r>
        <w:rPr>
          <w:rFonts w:ascii="Times New Roman" w:hAnsi="Times New Roman" w:eastAsia="宋体" w:cs="Times New Roman"/>
          <w:kern w:val="21"/>
          <w:highlight w:val="none"/>
          <w:lang w:eastAsia="zh-CN"/>
        </w:rPr>
        <w:t>2.</w:t>
      </w:r>
      <w:r>
        <w:rPr>
          <w:rFonts w:hint="eastAsia" w:ascii="Times New Roman" w:hAnsi="Times New Roman" w:eastAsia="宋体" w:cs="Times New Roman"/>
          <w:kern w:val="21"/>
          <w:highlight w:val="none"/>
          <w:lang w:val="en-US" w:eastAsia="zh-CN"/>
        </w:rPr>
        <w:t>3</w:t>
      </w:r>
      <w:r>
        <w:rPr>
          <w:rFonts w:ascii="Times New Roman" w:hAnsi="Times New Roman" w:eastAsia="宋体" w:cs="Times New Roman"/>
          <w:kern w:val="21"/>
          <w:highlight w:val="none"/>
          <w:lang w:eastAsia="zh-CN"/>
        </w:rPr>
        <w:t>.4 投标方应协助招标方解决设备运行中出现的问题。</w:t>
      </w:r>
      <w:bookmarkEnd w:id="6"/>
      <w:bookmarkStart w:id="7" w:name="bookmark5"/>
      <w:bookmarkEnd w:id="7"/>
      <w:bookmarkStart w:id="8" w:name="bookmark4"/>
      <w:bookmarkEnd w:id="8"/>
      <w:bookmarkStart w:id="9" w:name="bookmark7"/>
      <w:bookmarkEnd w:id="9"/>
      <w:bookmarkStart w:id="10" w:name="bookmark6"/>
      <w:bookmarkEnd w:id="10"/>
    </w:p>
    <w:p>
      <w:pPr>
        <w:topLinePunct/>
        <w:autoSpaceDE/>
        <w:autoSpaceDN/>
        <w:spacing w:line="360" w:lineRule="auto"/>
        <w:outlineLvl w:val="0"/>
        <w:rPr>
          <w:rFonts w:ascii="Times New Roman" w:hAnsi="Times New Roman" w:eastAsia="宋体" w:cs="Times New Roman"/>
          <w:kern w:val="21"/>
          <w:highlight w:val="none"/>
          <w:lang w:eastAsia="zh-CN"/>
        </w:rPr>
      </w:pPr>
    </w:p>
    <w:p>
      <w:pPr>
        <w:topLinePunct/>
        <w:autoSpaceDE/>
        <w:autoSpaceDN/>
        <w:spacing w:line="360" w:lineRule="auto"/>
        <w:outlineLvl w:val="0"/>
        <w:rPr>
          <w:rFonts w:ascii="Times New Roman" w:hAnsi="Times New Roman" w:eastAsia="宋体" w:cs="Times New Roman"/>
          <w:kern w:val="21"/>
          <w:highlight w:val="none"/>
          <w:lang w:eastAsia="zh-CN"/>
        </w:rPr>
      </w:pPr>
    </w:p>
    <w:p>
      <w:pPr>
        <w:pStyle w:val="2"/>
        <w:rPr>
          <w:highlight w:val="none"/>
          <w:lang w:eastAsia="zh-CN"/>
        </w:rPr>
      </w:pPr>
      <w:bookmarkStart w:id="11" w:name="_Toc905"/>
      <w:r>
        <w:rPr>
          <w:highlight w:val="none"/>
          <w:lang w:eastAsia="zh-CN"/>
        </w:rPr>
        <w:t xml:space="preserve">3 </w:t>
      </w:r>
      <w:r>
        <w:rPr>
          <w:rFonts w:hint="eastAsia"/>
          <w:highlight w:val="none"/>
          <w:lang w:eastAsia="zh-CN"/>
        </w:rPr>
        <w:t xml:space="preserve"> </w:t>
      </w:r>
      <w:r>
        <w:rPr>
          <w:highlight w:val="none"/>
          <w:lang w:eastAsia="zh-CN"/>
        </w:rPr>
        <w:t>应遵循的主要标准</w:t>
      </w:r>
      <w:bookmarkEnd w:id="11"/>
    </w:p>
    <w:p>
      <w:pPr>
        <w:topLinePunct/>
        <w:autoSpaceDE/>
        <w:autoSpaceDN/>
        <w:spacing w:line="360" w:lineRule="auto"/>
        <w:outlineLvl w:val="6"/>
        <w:rPr>
          <w:rFonts w:ascii="Times New Roman" w:hAnsi="Times New Roman" w:eastAsia="宋体" w:cs="Times New Roman"/>
          <w:kern w:val="21"/>
          <w:sz w:val="24"/>
          <w:szCs w:val="24"/>
          <w:highlight w:val="none"/>
          <w:lang w:eastAsia="zh-CN"/>
        </w:rPr>
      </w:pPr>
      <w:r>
        <w:rPr>
          <w:rFonts w:ascii="Times New Roman" w:hAnsi="Times New Roman" w:eastAsia="宋体" w:cs="Times New Roman"/>
          <w:b/>
          <w:bCs/>
          <w:kern w:val="21"/>
          <w:sz w:val="24"/>
          <w:szCs w:val="24"/>
          <w:highlight w:val="none"/>
          <w:lang w:eastAsia="zh-CN"/>
        </w:rPr>
        <w:t>3.1 应遵循的主要现行标准</w:t>
      </w:r>
    </w:p>
    <w:p>
      <w:pPr>
        <w:topLinePunct/>
        <w:autoSpaceDE/>
        <w:autoSpaceDN/>
        <w:spacing w:line="360" w:lineRule="auto"/>
        <w:ind w:firstLine="41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投标方所提供的产品均按规定的标准和规程的最新版本进行设计、制造、试验和</w:t>
      </w:r>
      <w:r>
        <w:rPr>
          <w:rFonts w:hint="eastAsia" w:ascii="Times New Roman" w:hAnsi="Times New Roman" w:eastAsia="宋体" w:cs="Times New Roman"/>
          <w:kern w:val="21"/>
          <w:highlight w:val="none"/>
          <w:lang w:eastAsia="zh-CN"/>
        </w:rPr>
        <w:t>安装。</w:t>
      </w:r>
      <w:r>
        <w:rPr>
          <w:rFonts w:ascii="Times New Roman" w:hAnsi="Times New Roman" w:eastAsia="宋体" w:cs="Times New Roman"/>
          <w:kern w:val="21"/>
          <w:highlight w:val="none"/>
          <w:lang w:eastAsia="zh-CN"/>
        </w:rPr>
        <w:t>如果这些标准内容有矛盾时，应按最高标准的条款执行或按双方商定的标准执行。主要引用标准如下：</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GB2423.1-89</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《电工电子产品基本环境试验规程试验A:低温试验方法》</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GB/T2423.4-93</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《电工电子产品基本环境试验规程试验Db:交变湿热实验方法》</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GB2423.16-81</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《电工电子产品基本环境试验规程试验J:长霉试验方法》</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GB/T2423.17-93《电工电子产品基本环境试验规程试验</w:t>
      </w:r>
      <w:r>
        <w:rPr>
          <w:rFonts w:ascii="Times New Roman" w:hAnsi="Times New Roman" w:eastAsia="Times New Roman" w:cs="Times New Roman"/>
          <w:kern w:val="21"/>
          <w:highlight w:val="none"/>
          <w:lang w:eastAsia="zh-CN"/>
        </w:rPr>
        <w:t>Ka:</w:t>
      </w:r>
      <w:r>
        <w:rPr>
          <w:rFonts w:ascii="Times New Roman" w:hAnsi="Times New Roman" w:eastAsia="宋体" w:cs="Times New Roman"/>
          <w:kern w:val="21"/>
          <w:highlight w:val="none"/>
          <w:lang w:eastAsia="zh-CN"/>
        </w:rPr>
        <w:t>盐雾实验方法》</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GB2423.37-89</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《电工电子产品基本环境试验规程―试验L:沙尘试验方法》</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GB2706-89</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《交流高压电器动热稳定实验方法》</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GBT 4208-2017</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《外壳防护等级(IP代码）》</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DLT 593-2016</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《高压开关设备和控制标准的共用技术要求》</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GB6833.2-87</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《电子测量仪表电磁兼容性实验规范，磁场敏感度试验》</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GB6833.3-87</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《电子测量仪表电磁兼容性实验规范,静电放电敏感度试验》</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GB6833.4-87</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《电子测量仪表电磁兼容性实验规范，电源瞬态敏感度试验》</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GB6833.5-87</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《电子测量仪表电磁兼容性实验规范，辐射敏感度试验》</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GB6833.6-87</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《电子测量仪表电磁兼容性实验规范，传导敏感度试验》</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GB/T 9813-2000《微型计算机通用规范》</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DL/T 687-2010</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《微机型防止电气误操作系统通用技术条件》</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DL/T 667-1999</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《继电保护设备信息接口配套标准》</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DL 5136-2001</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《火力发电厂、变电所二次接线设计技术规程》</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GB 50062-92</w:t>
      </w:r>
      <w:r>
        <w:rPr>
          <w:rFonts w:hint="eastAsia" w:ascii="Times New Roman" w:hAnsi="Times New Roman" w:eastAsia="宋体" w:cs="Times New Roman"/>
          <w:kern w:val="21"/>
          <w:highlight w:val="none"/>
          <w:lang w:eastAsia="zh-CN"/>
        </w:rPr>
        <w:t xml:space="preserve">      </w:t>
      </w:r>
      <w:r>
        <w:rPr>
          <w:rFonts w:ascii="Times New Roman" w:hAnsi="Times New Roman" w:eastAsia="宋体" w:cs="Times New Roman"/>
          <w:kern w:val="21"/>
          <w:highlight w:val="none"/>
          <w:lang w:eastAsia="zh-CN"/>
        </w:rPr>
        <w:t>《电力装置的继电保护及安全自动装置设计规范》</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Q/CSG 10011-2005中国南方电网《220kV</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500kV变电站电气技术导则》</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Q/CSG 110023-2012《南方电网公司变电站防止电气误操作闭锁装置技术规范》</w:t>
      </w:r>
    </w:p>
    <w:p>
      <w:pPr>
        <w:topLinePunct/>
        <w:autoSpaceDE/>
        <w:autoSpaceDN/>
        <w:spacing w:line="360" w:lineRule="auto"/>
        <w:ind w:firstLine="420" w:firstLineChars="200"/>
        <w:jc w:val="both"/>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eastAsia="zh-CN"/>
        </w:rPr>
        <w:t>Q</w:t>
      </w:r>
      <w:r>
        <w:rPr>
          <w:rFonts w:hint="eastAsia" w:ascii="Times New Roman" w:hAnsi="Times New Roman" w:eastAsia="宋体" w:cs="Times New Roman"/>
          <w:kern w:val="21"/>
          <w:highlight w:val="none"/>
          <w:lang w:val="en-US" w:eastAsia="zh-CN"/>
        </w:rPr>
        <w:t>/</w:t>
      </w:r>
      <w:r>
        <w:rPr>
          <w:rFonts w:hint="eastAsia" w:ascii="Times New Roman" w:hAnsi="Times New Roman" w:eastAsia="宋体" w:cs="Times New Roman"/>
          <w:kern w:val="21"/>
          <w:highlight w:val="none"/>
          <w:lang w:eastAsia="zh-CN"/>
        </w:rPr>
        <w:t>CSG1203029-2017</w:t>
      </w:r>
      <w:r>
        <w:rPr>
          <w:rFonts w:hint="eastAsia" w:ascii="Times New Roman" w:hAnsi="Times New Roman" w:eastAsia="宋体" w:cs="Times New Roman"/>
          <w:kern w:val="21"/>
          <w:highlight w:val="none"/>
          <w:lang w:val="en-US" w:eastAsia="zh-CN"/>
        </w:rPr>
        <w:t>中国南网电网公有限责任公司</w:t>
      </w:r>
      <w:r>
        <w:rPr>
          <w:rFonts w:hint="eastAsia" w:ascii="Times New Roman" w:hAnsi="Times New Roman" w:eastAsia="宋体" w:cs="Times New Roman"/>
          <w:kern w:val="21"/>
          <w:highlight w:val="none"/>
          <w:lang w:eastAsia="zh-CN"/>
        </w:rPr>
        <w:t>《220kV～500kV变电站计算机监控系统技术规范》</w:t>
      </w:r>
    </w:p>
    <w:p>
      <w:pPr>
        <w:topLinePunct/>
        <w:autoSpaceDE/>
        <w:autoSpaceDN/>
        <w:spacing w:line="360" w:lineRule="auto"/>
        <w:ind w:firstLine="420" w:firstLineChars="200"/>
        <w:jc w:val="both"/>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eastAsia="zh-CN"/>
        </w:rPr>
        <w:t>Q</w:t>
      </w:r>
      <w:r>
        <w:rPr>
          <w:rFonts w:hint="eastAsia" w:ascii="Times New Roman" w:hAnsi="Times New Roman" w:eastAsia="宋体" w:cs="Times New Roman"/>
          <w:kern w:val="21"/>
          <w:highlight w:val="none"/>
          <w:lang w:val="en-US" w:eastAsia="zh-CN"/>
        </w:rPr>
        <w:t>/</w:t>
      </w:r>
      <w:r>
        <w:rPr>
          <w:rFonts w:hint="eastAsia" w:ascii="Times New Roman" w:hAnsi="Times New Roman" w:eastAsia="宋体" w:cs="Times New Roman"/>
          <w:kern w:val="21"/>
          <w:highlight w:val="none"/>
          <w:lang w:eastAsia="zh-CN"/>
        </w:rPr>
        <w:t>CSG1203030-2017</w:t>
      </w:r>
      <w:r>
        <w:rPr>
          <w:rFonts w:hint="eastAsia" w:ascii="Times New Roman" w:hAnsi="Times New Roman" w:eastAsia="宋体" w:cs="Times New Roman"/>
          <w:kern w:val="21"/>
          <w:highlight w:val="none"/>
          <w:lang w:val="en-US" w:eastAsia="zh-CN"/>
        </w:rPr>
        <w:t>中国南网电网公有限责任公司</w:t>
      </w:r>
      <w:r>
        <w:rPr>
          <w:rFonts w:hint="eastAsia" w:ascii="Times New Roman" w:hAnsi="Times New Roman" w:eastAsia="宋体" w:cs="Times New Roman"/>
          <w:kern w:val="21"/>
          <w:highlight w:val="none"/>
          <w:lang w:eastAsia="zh-CN"/>
        </w:rPr>
        <w:t xml:space="preserve"> 《110kV及以下变电站计算机监控系统技术规范》</w:t>
      </w:r>
    </w:p>
    <w:p>
      <w:pPr>
        <w:topLinePunct/>
        <w:autoSpaceDE/>
        <w:autoSpaceDN/>
        <w:spacing w:line="360" w:lineRule="auto"/>
        <w:ind w:firstLine="420" w:firstLineChars="200"/>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南方电网生技〔2017〕6号中国南方电网公司反事故措施（2020年版)</w:t>
      </w:r>
    </w:p>
    <w:p>
      <w:pPr>
        <w:topLinePunct/>
        <w:autoSpaceDE/>
        <w:autoSpaceDN/>
        <w:spacing w:line="360" w:lineRule="auto"/>
        <w:jc w:val="both"/>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以上标准如有新版本，按最新版本执行。</w:t>
      </w:r>
    </w:p>
    <w:p>
      <w:pPr>
        <w:topLinePunct/>
        <w:autoSpaceDE/>
        <w:autoSpaceDN/>
        <w:spacing w:line="360" w:lineRule="auto"/>
        <w:rPr>
          <w:rFonts w:ascii="Times New Roman" w:hAnsi="Times New Roman" w:eastAsia="宋体" w:cs="Times New Roman"/>
          <w:kern w:val="21"/>
          <w:highlight w:val="none"/>
          <w:lang w:eastAsia="zh-CN"/>
        </w:rPr>
      </w:pPr>
    </w:p>
    <w:p>
      <w:pPr>
        <w:topLinePunct/>
        <w:autoSpaceDE/>
        <w:autoSpaceDN/>
        <w:spacing w:line="360" w:lineRule="auto"/>
        <w:outlineLvl w:val="6"/>
        <w:rPr>
          <w:rFonts w:ascii="Times New Roman" w:hAnsi="Times New Roman" w:eastAsia="宋体" w:cs="Times New Roman"/>
          <w:kern w:val="21"/>
          <w:highlight w:val="none"/>
          <w:lang w:eastAsia="zh-CN"/>
        </w:rPr>
      </w:pPr>
      <w:r>
        <w:rPr>
          <w:rFonts w:ascii="Times New Roman" w:hAnsi="Times New Roman" w:eastAsia="宋体" w:cs="Times New Roman"/>
          <w:b/>
          <w:bCs/>
          <w:kern w:val="21"/>
          <w:sz w:val="24"/>
          <w:szCs w:val="24"/>
          <w:highlight w:val="none"/>
          <w:lang w:eastAsia="zh-CN"/>
        </w:rPr>
        <w:t>3.</w:t>
      </w:r>
      <w:r>
        <w:rPr>
          <w:rFonts w:hint="eastAsia" w:ascii="Times New Roman" w:hAnsi="Times New Roman" w:eastAsia="宋体" w:cs="Times New Roman"/>
          <w:b/>
          <w:bCs/>
          <w:kern w:val="21"/>
          <w:sz w:val="24"/>
          <w:szCs w:val="24"/>
          <w:highlight w:val="none"/>
          <w:lang w:eastAsia="zh-CN"/>
        </w:rPr>
        <w:t>2</w:t>
      </w:r>
      <w:r>
        <w:rPr>
          <w:rFonts w:ascii="Times New Roman" w:hAnsi="Times New Roman" w:eastAsia="宋体" w:cs="Times New Roman"/>
          <w:kern w:val="21"/>
          <w:sz w:val="24"/>
          <w:szCs w:val="24"/>
          <w:highlight w:val="none"/>
          <w:lang w:eastAsia="zh-CN"/>
        </w:rPr>
        <w:t xml:space="preserve">  </w:t>
      </w:r>
      <w:r>
        <w:rPr>
          <w:rFonts w:hint="eastAsia" w:ascii="Times New Roman" w:hAnsi="Times New Roman" w:eastAsia="宋体" w:cs="Times New Roman"/>
          <w:b/>
          <w:bCs/>
          <w:kern w:val="21"/>
          <w:sz w:val="24"/>
          <w:szCs w:val="24"/>
          <w:highlight w:val="none"/>
          <w:lang w:eastAsia="zh-CN"/>
        </w:rPr>
        <w:t>使用条件</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本物资招标技术文件所规定的物资技术条款和参数要求，适用下列环境条件使用。</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环境温度：户内设备</w:t>
      </w:r>
      <w:r>
        <w:rPr>
          <w:rFonts w:hint="eastAsia" w:ascii="Times New Roman" w:hAnsi="Times New Roman" w:eastAsia="宋体" w:cs="Times New Roman"/>
          <w:kern w:val="21"/>
          <w:highlight w:val="none"/>
          <w:lang w:val="en-US" w:eastAsia="zh-CN"/>
        </w:rPr>
        <w:t>-10</w:t>
      </w:r>
      <w:r>
        <w:rPr>
          <w:rFonts w:ascii="Times New Roman" w:hAnsi="Times New Roman" w:eastAsia="宋体" w:cs="Times New Roman"/>
          <w:kern w:val="21"/>
          <w:highlight w:val="none"/>
          <w:lang w:eastAsia="zh-CN"/>
        </w:rPr>
        <w:t>℃</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45℃</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户外设备</w:t>
      </w:r>
      <w:r>
        <w:rPr>
          <w:rFonts w:hint="eastAsia" w:ascii="Times New Roman" w:hAnsi="Times New Roman" w:eastAsia="宋体" w:cs="Times New Roman"/>
          <w:kern w:val="21"/>
          <w:highlight w:val="none"/>
          <w:lang w:val="en-US" w:eastAsia="zh-CN"/>
        </w:rPr>
        <w:t>-25</w:t>
      </w:r>
      <w:r>
        <w:rPr>
          <w:rFonts w:ascii="Times New Roman" w:hAnsi="Times New Roman" w:eastAsia="宋体" w:cs="Times New Roman"/>
          <w:kern w:val="21"/>
          <w:highlight w:val="none"/>
          <w:lang w:eastAsia="zh-CN"/>
        </w:rPr>
        <w:t>℃~60℃</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相对湿度：日平均</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95%</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月平均</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90%</w:t>
      </w:r>
    </w:p>
    <w:p>
      <w:pPr>
        <w:topLinePunct/>
        <w:autoSpaceDE/>
        <w:autoSpaceDN/>
        <w:spacing w:line="360" w:lineRule="auto"/>
        <w:ind w:firstLine="420" w:firstLineChars="200"/>
        <w:rPr>
          <w:rFonts w:ascii="Times New Roman" w:hAnsi="Times New Roman" w:eastAsia="Times New Roman" w:cs="Times New Roman"/>
          <w:kern w:val="21"/>
          <w:highlight w:val="none"/>
        </w:rPr>
      </w:pPr>
      <w:r>
        <w:rPr>
          <w:rFonts w:ascii="Times New Roman" w:hAnsi="Times New Roman" w:eastAsia="宋体" w:cs="Times New Roman"/>
          <w:kern w:val="21"/>
          <w:highlight w:val="none"/>
        </w:rPr>
        <w:t>抗震能力：地面水平加速度0.3</w:t>
      </w:r>
      <w:r>
        <w:rPr>
          <w:rFonts w:ascii="Times New Roman" w:hAnsi="Times New Roman" w:eastAsia="Times New Roman" w:cs="Times New Roman"/>
          <w:kern w:val="21"/>
          <w:highlight w:val="none"/>
        </w:rPr>
        <w:t>g</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rPr>
        <w:t>地面垂直加速度0.15</w:t>
      </w:r>
      <w:r>
        <w:rPr>
          <w:rFonts w:ascii="Times New Roman" w:hAnsi="Times New Roman" w:eastAsia="Times New Roman" w:cs="Times New Roman"/>
          <w:kern w:val="21"/>
          <w:highlight w:val="none"/>
        </w:rPr>
        <w:t>g</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海拔高度：</w:t>
      </w:r>
      <w:r>
        <w:rPr>
          <w:rFonts w:hint="eastAsia" w:ascii="Times New Roman" w:hAnsi="Times New Roman" w:eastAsia="宋体" w:cs="Times New Roman"/>
          <w:kern w:val="21"/>
          <w:highlight w:val="none"/>
          <w:lang w:eastAsia="zh-CN"/>
        </w:rPr>
        <w:t>≤</w:t>
      </w:r>
      <w:r>
        <w:rPr>
          <w:rFonts w:ascii="Times New Roman" w:hAnsi="Times New Roman" w:eastAsia="宋体" w:cs="Times New Roman"/>
          <w:kern w:val="21"/>
          <w:highlight w:val="none"/>
          <w:lang w:eastAsia="zh-CN"/>
        </w:rPr>
        <w:t>2500m</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p>
    <w:p>
      <w:pPr>
        <w:topLinePunct/>
        <w:autoSpaceDE/>
        <w:autoSpaceDN/>
        <w:spacing w:line="360" w:lineRule="auto"/>
        <w:outlineLvl w:val="6"/>
        <w:rPr>
          <w:rFonts w:ascii="Times New Roman" w:hAnsi="Times New Roman" w:eastAsia="宋体" w:cs="Times New Roman"/>
          <w:kern w:val="21"/>
          <w:sz w:val="24"/>
          <w:szCs w:val="24"/>
          <w:highlight w:val="none"/>
          <w:lang w:eastAsia="zh-CN"/>
        </w:rPr>
      </w:pPr>
      <w:r>
        <w:rPr>
          <w:rFonts w:ascii="Times New Roman" w:hAnsi="Times New Roman" w:eastAsia="宋体" w:cs="Times New Roman"/>
          <w:b/>
          <w:bCs/>
          <w:kern w:val="21"/>
          <w:sz w:val="24"/>
          <w:szCs w:val="24"/>
          <w:highlight w:val="none"/>
          <w:lang w:eastAsia="zh-CN"/>
        </w:rPr>
        <w:t>3.3</w:t>
      </w:r>
      <w:r>
        <w:rPr>
          <w:rFonts w:ascii="Times New Roman" w:hAnsi="Times New Roman" w:eastAsia="宋体" w:cs="Times New Roman"/>
          <w:kern w:val="21"/>
          <w:sz w:val="24"/>
          <w:szCs w:val="24"/>
          <w:highlight w:val="none"/>
          <w:lang w:eastAsia="zh-CN"/>
        </w:rPr>
        <w:t xml:space="preserve">  </w:t>
      </w:r>
      <w:r>
        <w:rPr>
          <w:rFonts w:ascii="Times New Roman" w:hAnsi="Times New Roman" w:eastAsia="宋体" w:cs="Times New Roman"/>
          <w:b/>
          <w:bCs/>
          <w:kern w:val="21"/>
          <w:sz w:val="24"/>
          <w:szCs w:val="24"/>
          <w:highlight w:val="none"/>
          <w:lang w:eastAsia="zh-CN"/>
        </w:rPr>
        <w:t>基本技术要求</w:t>
      </w:r>
    </w:p>
    <w:p>
      <w:pPr>
        <w:topLinePunct/>
        <w:autoSpaceDE/>
        <w:autoSpaceDN/>
        <w:spacing w:line="360" w:lineRule="auto"/>
        <w:rPr>
          <w:rFonts w:hint="eastAsia" w:ascii="Times New Roman" w:hAnsi="Times New Roman" w:eastAsia="宋体" w:cs="Times New Roman"/>
          <w:kern w:val="21"/>
          <w:highlight w:val="none"/>
          <w:lang w:eastAsia="zh-CN"/>
        </w:rPr>
      </w:pPr>
      <w:bookmarkStart w:id="21" w:name="_GoBack"/>
      <w:bookmarkEnd w:id="21"/>
      <w:r>
        <w:rPr>
          <w:rFonts w:ascii="Times New Roman" w:hAnsi="Times New Roman" w:eastAsia="宋体" w:cs="Times New Roman"/>
          <w:kern w:val="21"/>
          <w:highlight w:val="none"/>
          <w:lang w:eastAsia="zh-CN"/>
        </w:rPr>
        <w:t xml:space="preserve"> </w:t>
      </w:r>
      <w:r>
        <w:rPr>
          <w:rFonts w:hint="eastAsia" w:ascii="Times New Roman" w:hAnsi="Times New Roman" w:eastAsia="宋体" w:cs="Times New Roman"/>
          <w:kern w:val="21"/>
          <w:highlight w:val="none"/>
          <w:lang w:eastAsia="zh-CN"/>
        </w:rPr>
        <w:t>本项目总体目标是：10kV保护测控装置采集到分合闸命令和断路器分合位，通过增加分合闸命令和断路器分合位时间逻辑分析功能，可自动分析断路器分合闸时间判断是否存在慢分、慢合或者拒动的异常情况；利用采集到最大故障电流进行逻辑分析，增加电流超标时自动发出大电流告警的功能。</w:t>
      </w:r>
    </w:p>
    <w:p>
      <w:pPr>
        <w:topLinePunct/>
        <w:autoSpaceDE/>
        <w:autoSpaceDN/>
        <w:spacing w:line="360" w:lineRule="auto"/>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eastAsia="zh-CN"/>
        </w:rPr>
        <w:t>（一）断路器动作异常判断</w:t>
      </w:r>
    </w:p>
    <w:p>
      <w:pPr>
        <w:topLinePunct/>
        <w:autoSpaceDE/>
        <w:autoSpaceDN/>
        <w:spacing w:line="360" w:lineRule="auto"/>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eastAsia="zh-CN"/>
        </w:rPr>
        <w:t>(1)分闸时间过长</w:t>
      </w:r>
    </w:p>
    <w:p>
      <w:pPr>
        <w:topLinePunct/>
        <w:autoSpaceDE/>
        <w:autoSpaceDN/>
        <w:spacing w:line="360" w:lineRule="auto"/>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eastAsia="zh-CN"/>
        </w:rPr>
        <w:t>[断路器动作异常判断]控制字为“1”，且分闸命令（保护跳或者遥控跳）触发出口继电器至断路器分位变为 1 的时间差大于[断路器分闸时间]，发“分闸时间过长”告警信号，该信号需人工远方或就地复归。</w:t>
      </w:r>
    </w:p>
    <w:p>
      <w:pPr>
        <w:topLinePunct/>
        <w:autoSpaceDE/>
        <w:autoSpaceDN/>
        <w:spacing w:line="360" w:lineRule="auto"/>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eastAsia="zh-CN"/>
        </w:rPr>
        <w:t>(2)合闸时间过长</w:t>
      </w:r>
    </w:p>
    <w:p>
      <w:pPr>
        <w:topLinePunct/>
        <w:autoSpaceDE/>
        <w:autoSpaceDN/>
        <w:spacing w:line="360" w:lineRule="auto"/>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eastAsia="zh-CN"/>
        </w:rPr>
        <w:t xml:space="preserve"> [断路器动作异常判断]控制字为“1”，且合闸命令（保护合或者遥控合）触发出口继电器至断路器合位变为 1 的时间差大于[断路器合闸时间]，发“合闸时间过长”告警信号，该信号需人工远方或就地复归。</w:t>
      </w:r>
    </w:p>
    <w:p>
      <w:pPr>
        <w:topLinePunct/>
        <w:autoSpaceDE/>
        <w:autoSpaceDN/>
        <w:spacing w:line="360" w:lineRule="auto"/>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eastAsia="zh-CN"/>
        </w:rPr>
        <w:t>(3)断路器拒动</w:t>
      </w:r>
    </w:p>
    <w:p>
      <w:pPr>
        <w:topLinePunct/>
        <w:autoSpaceDE/>
        <w:autoSpaceDN/>
        <w:spacing w:line="360" w:lineRule="auto"/>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eastAsia="zh-CN"/>
        </w:rPr>
        <w:t xml:space="preserve"> [断路器动作异常判断]控制字为“1”，且分闸命令（保护跳或者遥控跳）或合闸命令（保护合或者遥控合）触发出口继电器至断路器分位或合位变为 1 的时间差大于[断路器拒动判断时间]，发“断路器拒动”告警信号，该信号需人工远方或就地复归。</w:t>
      </w:r>
    </w:p>
    <w:p>
      <w:pPr>
        <w:topLinePunct/>
        <w:autoSpaceDE/>
        <w:autoSpaceDN/>
        <w:spacing w:line="360" w:lineRule="auto"/>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eastAsia="zh-CN"/>
        </w:rPr>
        <w:t>（二）大电流告警</w:t>
      </w:r>
    </w:p>
    <w:p>
      <w:pPr>
        <w:topLinePunct/>
        <w:autoSpaceDE/>
        <w:autoSpaceDN/>
        <w:spacing w:line="360" w:lineRule="auto"/>
        <w:rPr>
          <w:rFonts w:hint="eastAsia" w:ascii="Times New Roman" w:hAnsi="Times New Roman" w:eastAsia="宋体" w:cs="Times New Roman"/>
          <w:b/>
          <w:bCs/>
          <w:kern w:val="21"/>
          <w:highlight w:val="none"/>
          <w:lang w:eastAsia="zh-CN"/>
        </w:rPr>
      </w:pPr>
      <w:r>
        <w:rPr>
          <w:rFonts w:hint="eastAsia" w:ascii="Times New Roman" w:hAnsi="Times New Roman" w:eastAsia="宋体" w:cs="Times New Roman"/>
          <w:kern w:val="21"/>
          <w:highlight w:val="none"/>
          <w:lang w:eastAsia="zh-CN"/>
        </w:rPr>
        <w:t>[大电流告警]控制字为“1”，且任意一相电流高于[大电流告警定值]，经[大电流告警时间]延时，发“大电流告警”信号，可用于提醒检修主变取油试验，该信号需人工远方或就地复归。</w:t>
      </w:r>
    </w:p>
    <w:p>
      <w:pPr>
        <w:topLinePunct/>
        <w:autoSpaceDE/>
        <w:autoSpaceDN/>
        <w:spacing w:line="360" w:lineRule="auto"/>
        <w:rPr>
          <w:rFonts w:hint="eastAsia" w:ascii="Times New Roman" w:hAnsi="Times New Roman" w:eastAsia="宋体" w:cs="Times New Roman"/>
          <w:b/>
          <w:bCs/>
          <w:kern w:val="21"/>
          <w:highlight w:val="none"/>
          <w:lang w:eastAsia="zh-CN"/>
        </w:rPr>
      </w:pPr>
      <w:r>
        <w:rPr>
          <w:rFonts w:ascii="Times New Roman" w:hAnsi="Times New Roman" w:eastAsia="宋体" w:cs="Times New Roman"/>
          <w:b/>
          <w:bCs/>
          <w:kern w:val="21"/>
          <w:highlight w:val="none"/>
          <w:lang w:eastAsia="zh-CN"/>
        </w:rPr>
        <w:t>注：投标单位产品与以上指标及功能有差异时，可在项目需求部分的项目单位技术差异表中给出，投标人应对该差异表</w:t>
      </w:r>
      <w:r>
        <w:rPr>
          <w:rFonts w:hint="eastAsia" w:ascii="Times New Roman" w:hAnsi="Times New Roman" w:eastAsia="宋体" w:cs="Times New Roman"/>
          <w:b/>
          <w:bCs/>
          <w:kern w:val="21"/>
          <w:highlight w:val="none"/>
          <w:lang w:eastAsia="zh-CN"/>
        </w:rPr>
        <w:t>响应。</w:t>
      </w:r>
    </w:p>
    <w:p>
      <w:pPr>
        <w:topLinePunct/>
        <w:autoSpaceDE/>
        <w:autoSpaceDN/>
        <w:spacing w:line="360" w:lineRule="auto"/>
        <w:rPr>
          <w:rFonts w:hint="eastAsia" w:ascii="Times New Roman" w:hAnsi="Times New Roman" w:eastAsia="宋体" w:cs="Times New Roman"/>
          <w:b/>
          <w:bCs/>
          <w:kern w:val="21"/>
          <w:highlight w:val="none"/>
          <w:lang w:eastAsia="zh-CN"/>
        </w:rPr>
      </w:pPr>
    </w:p>
    <w:p>
      <w:pPr>
        <w:topLinePunct/>
        <w:autoSpaceDE/>
        <w:autoSpaceDN/>
        <w:spacing w:line="360" w:lineRule="auto"/>
        <w:rPr>
          <w:rFonts w:hint="eastAsia" w:ascii="Times New Roman" w:hAnsi="Times New Roman" w:eastAsia="宋体" w:cs="Times New Roman"/>
          <w:b/>
          <w:bCs/>
          <w:kern w:val="21"/>
          <w:highlight w:val="none"/>
          <w:lang w:eastAsia="zh-CN"/>
        </w:rPr>
      </w:pPr>
    </w:p>
    <w:p>
      <w:pPr>
        <w:pStyle w:val="2"/>
        <w:rPr>
          <w:kern w:val="21"/>
          <w:highlight w:val="none"/>
          <w:lang w:eastAsia="zh-CN"/>
        </w:rPr>
      </w:pPr>
      <w:bookmarkStart w:id="12" w:name="_Toc14522"/>
      <w:r>
        <w:rPr>
          <w:highlight w:val="none"/>
          <w:lang w:eastAsia="zh-CN"/>
        </w:rPr>
        <w:t>4  质量保证</w:t>
      </w:r>
      <w:bookmarkEnd w:id="12"/>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4.1订购的产品应满足本规范要求，并提供该产品的试验报告和产品合格证。</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4.2投标方应保证制造过程中的所有工艺、材料试验等均应符合本规范的规定。</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4.3投标方应有遵守本规范中各条款和工作项目的IS0900-GB/T1900-质量保证体系</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该质量保证体系已经通过国家认证和正常运转。</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p>
    <w:p>
      <w:pPr>
        <w:topLinePunct/>
        <w:autoSpaceDE/>
        <w:autoSpaceDN/>
        <w:spacing w:line="360" w:lineRule="auto"/>
        <w:ind w:firstLine="420" w:firstLineChars="200"/>
        <w:rPr>
          <w:rFonts w:hint="eastAsia" w:ascii="Times New Roman" w:hAnsi="Times New Roman" w:eastAsia="宋体" w:cs="Times New Roman"/>
          <w:kern w:val="21"/>
          <w:highlight w:val="none"/>
          <w:lang w:val="en-US" w:eastAsia="zh-CN"/>
        </w:rPr>
      </w:pPr>
    </w:p>
    <w:p>
      <w:pPr>
        <w:pStyle w:val="2"/>
        <w:rPr>
          <w:kern w:val="21"/>
          <w:highlight w:val="none"/>
          <w:lang w:eastAsia="zh-CN"/>
        </w:rPr>
      </w:pPr>
      <w:bookmarkStart w:id="13" w:name="_Toc24670"/>
      <w:r>
        <w:rPr>
          <w:rFonts w:hint="eastAsia"/>
          <w:highlight w:val="none"/>
          <w:lang w:val="en-US" w:eastAsia="zh-CN"/>
        </w:rPr>
        <w:t>5</w:t>
      </w:r>
      <w:r>
        <w:rPr>
          <w:highlight w:val="none"/>
          <w:lang w:eastAsia="zh-CN"/>
        </w:rPr>
        <w:t xml:space="preserve">  包装、运输和储存</w:t>
      </w:r>
      <w:bookmarkEnd w:id="13"/>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5</w:t>
      </w:r>
      <w:r>
        <w:rPr>
          <w:rFonts w:hint="eastAsia" w:ascii="Times New Roman" w:hAnsi="Times New Roman" w:eastAsia="宋体" w:cs="Times New Roman"/>
          <w:kern w:val="21"/>
          <w:highlight w:val="none"/>
          <w:lang w:eastAsia="zh-CN"/>
        </w:rPr>
        <w:t>.1有部件经妥善包装或装箱后，在运输过程中尚应采取其它防护措施，以免散失损坏或被盗。</w:t>
      </w:r>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5</w:t>
      </w:r>
      <w:r>
        <w:rPr>
          <w:rFonts w:hint="eastAsia" w:ascii="Times New Roman" w:hAnsi="Times New Roman" w:eastAsia="宋体" w:cs="Times New Roman"/>
          <w:kern w:val="21"/>
          <w:highlight w:val="none"/>
          <w:lang w:eastAsia="zh-CN"/>
        </w:rPr>
        <w:t>.2在包装箱外应标明需方的订货号、发货号。</w:t>
      </w:r>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5</w:t>
      </w:r>
      <w:r>
        <w:rPr>
          <w:rFonts w:hint="eastAsia" w:ascii="Times New Roman" w:hAnsi="Times New Roman" w:eastAsia="宋体" w:cs="Times New Roman"/>
          <w:kern w:val="21"/>
          <w:highlight w:val="none"/>
          <w:lang w:eastAsia="zh-CN"/>
        </w:rPr>
        <w:t>.3各种包装应能确保各零部件在运输过程中不致遭到损坏、丢失、变形、受潮和腐蚀。</w:t>
      </w:r>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5.4</w:t>
      </w:r>
      <w:r>
        <w:rPr>
          <w:rFonts w:hint="eastAsia" w:ascii="Times New Roman" w:hAnsi="Times New Roman" w:eastAsia="宋体" w:cs="Times New Roman"/>
          <w:kern w:val="21"/>
          <w:highlight w:val="none"/>
          <w:lang w:eastAsia="zh-CN"/>
        </w:rPr>
        <w:t>包装箱上应有明显的包装储运图示标志(按GB/T 191-2008)。</w:t>
      </w:r>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5</w:t>
      </w:r>
      <w:r>
        <w:rPr>
          <w:rFonts w:hint="eastAsia" w:ascii="Times New Roman" w:hAnsi="Times New Roman" w:eastAsia="宋体" w:cs="Times New Roman"/>
          <w:kern w:val="21"/>
          <w:highlight w:val="none"/>
          <w:lang w:eastAsia="zh-CN"/>
        </w:rPr>
        <w:t>.</w:t>
      </w:r>
      <w:r>
        <w:rPr>
          <w:rFonts w:hint="eastAsia" w:ascii="Times New Roman" w:hAnsi="Times New Roman" w:eastAsia="宋体" w:cs="Times New Roman"/>
          <w:kern w:val="21"/>
          <w:highlight w:val="none"/>
          <w:lang w:val="en-US" w:eastAsia="zh-CN"/>
        </w:rPr>
        <w:t>5</w:t>
      </w:r>
      <w:r>
        <w:rPr>
          <w:rFonts w:hint="eastAsia" w:ascii="Times New Roman" w:hAnsi="Times New Roman" w:eastAsia="宋体" w:cs="Times New Roman"/>
          <w:kern w:val="21"/>
          <w:highlight w:val="none"/>
          <w:lang w:eastAsia="zh-CN"/>
        </w:rPr>
        <w:t>整体产品或分别运输的部件都要适合运输和装载的要求。</w:t>
      </w:r>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5</w:t>
      </w:r>
      <w:r>
        <w:rPr>
          <w:rFonts w:hint="eastAsia" w:ascii="Times New Roman" w:hAnsi="Times New Roman" w:eastAsia="宋体" w:cs="Times New Roman"/>
          <w:kern w:val="21"/>
          <w:highlight w:val="none"/>
          <w:lang w:eastAsia="zh-CN"/>
        </w:rPr>
        <w:t>.</w:t>
      </w:r>
      <w:r>
        <w:rPr>
          <w:rFonts w:hint="eastAsia" w:ascii="Times New Roman" w:hAnsi="Times New Roman" w:eastAsia="宋体" w:cs="Times New Roman"/>
          <w:kern w:val="21"/>
          <w:highlight w:val="none"/>
          <w:lang w:val="en-US" w:eastAsia="zh-CN"/>
        </w:rPr>
        <w:t>6</w:t>
      </w:r>
      <w:r>
        <w:rPr>
          <w:rFonts w:hint="eastAsia" w:ascii="Times New Roman" w:hAnsi="Times New Roman" w:eastAsia="宋体" w:cs="Times New Roman"/>
          <w:kern w:val="21"/>
          <w:highlight w:val="none"/>
          <w:lang w:eastAsia="zh-CN"/>
        </w:rPr>
        <w:t>随产品提供的技术资料应完整无缺。</w:t>
      </w:r>
    </w:p>
    <w:p>
      <w:pPr>
        <w:pStyle w:val="2"/>
        <w:rPr>
          <w:rFonts w:hint="eastAsia"/>
          <w:highlight w:val="none"/>
          <w:lang w:val="en-US" w:eastAsia="zh-CN"/>
        </w:rPr>
      </w:pPr>
      <w:bookmarkStart w:id="14" w:name="_Toc10235"/>
    </w:p>
    <w:p>
      <w:pPr>
        <w:pStyle w:val="2"/>
        <w:rPr>
          <w:rFonts w:hint="eastAsia"/>
          <w:highlight w:val="none"/>
          <w:lang w:val="en-US" w:eastAsia="zh-CN"/>
        </w:rPr>
      </w:pPr>
    </w:p>
    <w:p>
      <w:pPr>
        <w:pStyle w:val="2"/>
        <w:rPr>
          <w:rFonts w:hint="eastAsia"/>
          <w:highlight w:val="none"/>
          <w:lang w:val="en-US" w:eastAsia="zh-CN"/>
        </w:rPr>
      </w:pPr>
      <w:r>
        <w:rPr>
          <w:rFonts w:hint="eastAsia"/>
          <w:highlight w:val="none"/>
          <w:lang w:val="en-US" w:eastAsia="zh-CN"/>
        </w:rPr>
        <w:t>6、双方工作安排</w:t>
      </w:r>
      <w:bookmarkEnd w:id="14"/>
    </w:p>
    <w:p>
      <w:pPr>
        <w:topLinePunct/>
        <w:autoSpaceDE/>
        <w:autoSpaceDN/>
        <w:spacing w:line="360" w:lineRule="auto"/>
        <w:ind w:firstLine="420" w:firstLineChars="200"/>
        <w:jc w:val="both"/>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6</w:t>
      </w:r>
      <w:r>
        <w:rPr>
          <w:rFonts w:hint="eastAsia" w:ascii="Times New Roman" w:hAnsi="Times New Roman" w:eastAsia="宋体" w:cs="Times New Roman"/>
          <w:kern w:val="21"/>
          <w:highlight w:val="none"/>
          <w:lang w:eastAsia="zh-CN"/>
        </w:rPr>
        <w:t>.1 需求方应向供货方提供有特殊要求的设备技术文件。</w:t>
      </w:r>
    </w:p>
    <w:p>
      <w:pPr>
        <w:topLinePunct/>
        <w:autoSpaceDE/>
        <w:autoSpaceDN/>
        <w:spacing w:line="360" w:lineRule="auto"/>
        <w:ind w:firstLine="420" w:firstLineChars="200"/>
        <w:jc w:val="both"/>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6</w:t>
      </w:r>
      <w:r>
        <w:rPr>
          <w:rFonts w:hint="eastAsia" w:ascii="Times New Roman" w:hAnsi="Times New Roman" w:eastAsia="宋体" w:cs="Times New Roman"/>
          <w:kern w:val="21"/>
          <w:highlight w:val="none"/>
          <w:lang w:eastAsia="zh-CN"/>
        </w:rPr>
        <w:t>.2设备安装调试过程中，需求方为供货方现场人员提供工作和生活方便。设备制造过程中，需求方可派出到供货方进行监造和验收，供货方应积极配合7.37.4 供货方收到技术条件书后如有异议，在5天内书面通知需求方，否则认为供货方同意技术条件书中的全部要求。</w:t>
      </w:r>
    </w:p>
    <w:p>
      <w:pPr>
        <w:topLinePunct/>
        <w:autoSpaceDE/>
        <w:autoSpaceDN/>
        <w:spacing w:line="360" w:lineRule="auto"/>
        <w:ind w:firstLine="420" w:firstLineChars="200"/>
        <w:jc w:val="both"/>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6</w:t>
      </w:r>
      <w:r>
        <w:rPr>
          <w:rFonts w:hint="eastAsia" w:ascii="Times New Roman" w:hAnsi="Times New Roman" w:eastAsia="宋体" w:cs="Times New Roman"/>
          <w:kern w:val="21"/>
          <w:highlight w:val="none"/>
          <w:lang w:eastAsia="zh-CN"/>
        </w:rPr>
        <w:t>.</w:t>
      </w:r>
      <w:r>
        <w:rPr>
          <w:rFonts w:hint="eastAsia" w:ascii="Times New Roman" w:hAnsi="Times New Roman" w:eastAsia="宋体" w:cs="Times New Roman"/>
          <w:kern w:val="21"/>
          <w:highlight w:val="none"/>
          <w:lang w:val="en-US" w:eastAsia="zh-CN"/>
        </w:rPr>
        <w:t>3</w:t>
      </w:r>
      <w:r>
        <w:rPr>
          <w:rFonts w:hint="eastAsia" w:ascii="Times New Roman" w:hAnsi="Times New Roman" w:eastAsia="宋体" w:cs="Times New Roman"/>
          <w:kern w:val="21"/>
          <w:highlight w:val="none"/>
          <w:lang w:eastAsia="zh-CN"/>
        </w:rPr>
        <w:t xml:space="preserve"> 根据工程需要，可召开设计联络会或以其他形式解决设计制造中的问题。</w:t>
      </w:r>
    </w:p>
    <w:p>
      <w:pPr>
        <w:topLinePunct/>
        <w:autoSpaceDE/>
        <w:autoSpaceDN/>
        <w:spacing w:line="360" w:lineRule="auto"/>
        <w:ind w:firstLine="420" w:firstLineChars="200"/>
        <w:jc w:val="both"/>
        <w:rPr>
          <w:rFonts w:hint="eastAsia" w:ascii="Times New Roman" w:hAnsi="Times New Roman" w:eastAsia="宋体" w:cs="Times New Roman"/>
          <w:kern w:val="21"/>
          <w:highlight w:val="none"/>
          <w:lang w:val="en-US" w:eastAsia="zh-CN"/>
        </w:rPr>
      </w:pPr>
      <w:r>
        <w:rPr>
          <w:rFonts w:hint="eastAsia" w:ascii="Times New Roman" w:hAnsi="Times New Roman" w:eastAsia="宋体" w:cs="Times New Roman"/>
          <w:kern w:val="21"/>
          <w:highlight w:val="none"/>
          <w:lang w:val="en-US" w:eastAsia="zh-CN"/>
        </w:rPr>
        <w:t>6</w:t>
      </w:r>
      <w:r>
        <w:rPr>
          <w:rFonts w:hint="eastAsia" w:ascii="Times New Roman" w:hAnsi="Times New Roman" w:eastAsia="宋体" w:cs="Times New Roman"/>
          <w:kern w:val="21"/>
          <w:highlight w:val="none"/>
          <w:lang w:eastAsia="zh-CN"/>
        </w:rPr>
        <w:t>.</w:t>
      </w:r>
      <w:r>
        <w:rPr>
          <w:rFonts w:hint="eastAsia" w:ascii="Times New Roman" w:hAnsi="Times New Roman" w:eastAsia="宋体" w:cs="Times New Roman"/>
          <w:kern w:val="21"/>
          <w:highlight w:val="none"/>
          <w:lang w:val="en-US" w:eastAsia="zh-CN"/>
        </w:rPr>
        <w:t xml:space="preserve">4 </w:t>
      </w:r>
      <w:r>
        <w:rPr>
          <w:rFonts w:hint="eastAsia" w:ascii="Times New Roman" w:hAnsi="Times New Roman" w:eastAsia="宋体" w:cs="Times New Roman"/>
          <w:kern w:val="21"/>
          <w:highlight w:val="none"/>
          <w:lang w:eastAsia="zh-CN"/>
        </w:rPr>
        <w:t>对需求方的缺陷通知，供货方应在 24 小时内作出回应，48 小时内赴现场予以解决</w:t>
      </w:r>
      <w:r>
        <w:rPr>
          <w:rFonts w:hint="eastAsia" w:ascii="Times New Roman" w:hAnsi="Times New Roman" w:eastAsia="宋体" w:cs="Times New Roman"/>
          <w:kern w:val="21"/>
          <w:highlight w:val="none"/>
          <w:lang w:val="en-US" w:eastAsia="zh-CN"/>
        </w:rPr>
        <w:t>。</w:t>
      </w:r>
    </w:p>
    <w:p>
      <w:pPr>
        <w:topLinePunct/>
        <w:autoSpaceDE/>
        <w:autoSpaceDN/>
        <w:spacing w:line="360" w:lineRule="auto"/>
        <w:ind w:firstLine="420" w:firstLineChars="200"/>
        <w:jc w:val="both"/>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6</w:t>
      </w:r>
      <w:r>
        <w:rPr>
          <w:rFonts w:hint="eastAsia" w:ascii="Times New Roman" w:hAnsi="Times New Roman" w:eastAsia="宋体" w:cs="Times New Roman"/>
          <w:kern w:val="21"/>
          <w:highlight w:val="none"/>
          <w:lang w:eastAsia="zh-CN"/>
        </w:rPr>
        <w:t>.</w:t>
      </w:r>
      <w:r>
        <w:rPr>
          <w:rFonts w:hint="eastAsia" w:ascii="Times New Roman" w:hAnsi="Times New Roman" w:eastAsia="宋体" w:cs="Times New Roman"/>
          <w:kern w:val="21"/>
          <w:highlight w:val="none"/>
          <w:lang w:val="en-US" w:eastAsia="zh-CN"/>
        </w:rPr>
        <w:t>5</w:t>
      </w:r>
      <w:r>
        <w:rPr>
          <w:rFonts w:hint="eastAsia" w:ascii="Times New Roman" w:hAnsi="Times New Roman" w:eastAsia="宋体" w:cs="Times New Roman"/>
          <w:kern w:val="21"/>
          <w:highlight w:val="none"/>
          <w:lang w:eastAsia="zh-CN"/>
        </w:rPr>
        <w:t xml:space="preserve"> 资料的组织结构清晰、逻辑性强。资料内容正确、准确、一致、清晰完整，满足工程要求。</w:t>
      </w:r>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p>
    <w:p>
      <w:pPr>
        <w:pStyle w:val="2"/>
        <w:rPr>
          <w:highlight w:val="none"/>
          <w:lang w:eastAsia="zh-CN"/>
        </w:rPr>
      </w:pPr>
      <w:bookmarkStart w:id="15" w:name="_Toc6391"/>
      <w:r>
        <w:rPr>
          <w:rFonts w:hint="eastAsia"/>
          <w:highlight w:val="none"/>
          <w:lang w:val="en-US" w:eastAsia="zh-CN"/>
        </w:rPr>
        <w:t>7</w:t>
      </w:r>
      <w:r>
        <w:rPr>
          <w:highlight w:val="none"/>
          <w:lang w:eastAsia="zh-CN"/>
        </w:rPr>
        <w:t xml:space="preserve">  备品备件及专用工具</w:t>
      </w:r>
      <w:bookmarkEnd w:id="15"/>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根据产品的技术性能、运行经验，厂家对招标方必须购买的备品备件及专用工具应有详细说明。</w:t>
      </w:r>
    </w:p>
    <w:p>
      <w:pPr>
        <w:topLinePunct/>
        <w:autoSpaceDE/>
        <w:autoSpaceDN/>
        <w:spacing w:line="360" w:lineRule="auto"/>
        <w:outlineLvl w:val="6"/>
        <w:rPr>
          <w:rFonts w:ascii="Times New Roman" w:hAnsi="Times New Roman" w:eastAsia="宋体" w:cs="Times New Roman"/>
          <w:kern w:val="21"/>
          <w:sz w:val="24"/>
          <w:szCs w:val="24"/>
          <w:highlight w:val="none"/>
          <w:lang w:eastAsia="zh-CN"/>
        </w:rPr>
      </w:pPr>
      <w:r>
        <w:rPr>
          <w:rFonts w:hint="eastAsia" w:ascii="Times New Roman" w:hAnsi="Times New Roman" w:eastAsia="宋体" w:cs="Times New Roman"/>
          <w:b/>
          <w:bCs/>
          <w:kern w:val="21"/>
          <w:sz w:val="24"/>
          <w:szCs w:val="24"/>
          <w:highlight w:val="none"/>
          <w:lang w:val="en-US" w:eastAsia="zh-CN"/>
        </w:rPr>
        <w:t>7.</w:t>
      </w:r>
      <w:r>
        <w:rPr>
          <w:rFonts w:ascii="Times New Roman" w:hAnsi="Times New Roman" w:eastAsia="宋体" w:cs="Times New Roman"/>
          <w:b/>
          <w:bCs/>
          <w:kern w:val="21"/>
          <w:sz w:val="24"/>
          <w:szCs w:val="24"/>
          <w:highlight w:val="none"/>
          <w:lang w:eastAsia="zh-CN"/>
        </w:rPr>
        <w:t>1</w:t>
      </w:r>
      <w:r>
        <w:rPr>
          <w:rFonts w:ascii="Times New Roman" w:hAnsi="Times New Roman" w:eastAsia="宋体" w:cs="Times New Roman"/>
          <w:kern w:val="21"/>
          <w:sz w:val="24"/>
          <w:szCs w:val="24"/>
          <w:highlight w:val="none"/>
          <w:lang w:eastAsia="zh-CN"/>
        </w:rPr>
        <w:t xml:space="preserve"> </w:t>
      </w:r>
      <w:r>
        <w:rPr>
          <w:rFonts w:ascii="Times New Roman" w:hAnsi="Times New Roman" w:eastAsia="宋体" w:cs="Times New Roman"/>
          <w:b/>
          <w:bCs/>
          <w:kern w:val="21"/>
          <w:sz w:val="24"/>
          <w:szCs w:val="24"/>
          <w:highlight w:val="none"/>
          <w:lang w:eastAsia="zh-CN"/>
        </w:rPr>
        <w:t>备品备件</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投标方应向招标方提供必要的备品备件，备品备件应是新品，与设备同型号、同工艺。备品备件清单见表1。</w:t>
      </w:r>
    </w:p>
    <w:p>
      <w:pPr>
        <w:topLinePunct/>
        <w:autoSpaceDE/>
        <w:autoSpaceDN/>
        <w:spacing w:line="360" w:lineRule="auto"/>
        <w:jc w:val="center"/>
        <w:rPr>
          <w:rFonts w:ascii="Times New Roman" w:hAnsi="Times New Roman" w:cs="Times New Roman"/>
          <w:kern w:val="21"/>
          <w:highlight w:val="none"/>
          <w:lang w:eastAsia="zh-CN"/>
        </w:rPr>
      </w:pPr>
      <w:r>
        <w:rPr>
          <w:rFonts w:ascii="Times New Roman" w:hAnsi="Times New Roman" w:eastAsia="黑体" w:cs="Times New Roman"/>
          <w:b/>
          <w:bCs/>
          <w:kern w:val="21"/>
          <w:highlight w:val="none"/>
          <w:lang w:eastAsia="zh-CN"/>
        </w:rPr>
        <w:t>表1备品备件清单</w:t>
      </w:r>
    </w:p>
    <w:tbl>
      <w:tblPr>
        <w:tblStyle w:val="11"/>
        <w:tblW w:w="910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44"/>
        <w:gridCol w:w="2017"/>
        <w:gridCol w:w="2767"/>
        <w:gridCol w:w="749"/>
        <w:gridCol w:w="759"/>
        <w:gridCol w:w="889"/>
        <w:gridCol w:w="8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044"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序号</w:t>
            </w:r>
          </w:p>
        </w:tc>
        <w:tc>
          <w:tcPr>
            <w:tcW w:w="2017"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名称</w:t>
            </w:r>
          </w:p>
        </w:tc>
        <w:tc>
          <w:tcPr>
            <w:tcW w:w="2767"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型号及规范</w:t>
            </w:r>
          </w:p>
        </w:tc>
        <w:tc>
          <w:tcPr>
            <w:tcW w:w="74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单位</w:t>
            </w:r>
          </w:p>
        </w:tc>
        <w:tc>
          <w:tcPr>
            <w:tcW w:w="75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数量</w:t>
            </w:r>
          </w:p>
        </w:tc>
        <w:tc>
          <w:tcPr>
            <w:tcW w:w="88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用途</w:t>
            </w:r>
          </w:p>
        </w:tc>
        <w:tc>
          <w:tcPr>
            <w:tcW w:w="884"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70" w:hRule="atLeast"/>
        </w:trPr>
        <w:tc>
          <w:tcPr>
            <w:tcW w:w="1044" w:type="dxa"/>
            <w:vAlign w:val="center"/>
          </w:tcPr>
          <w:p>
            <w:pPr>
              <w:pStyle w:val="12"/>
              <w:topLinePunct/>
              <w:autoSpaceDE/>
              <w:autoSpaceDN/>
              <w:spacing w:line="360" w:lineRule="auto"/>
              <w:jc w:val="center"/>
              <w:rPr>
                <w:rFonts w:ascii="Times New Roman" w:hAnsi="Times New Roman" w:cs="Times New Roman"/>
                <w:kern w:val="21"/>
                <w:sz w:val="21"/>
                <w:szCs w:val="21"/>
                <w:highlight w:val="none"/>
                <w:lang w:eastAsia="zh-CN"/>
              </w:rPr>
            </w:pPr>
            <w:r>
              <w:rPr>
                <w:rFonts w:hint="eastAsia" w:ascii="Times New Roman" w:hAnsi="Times New Roman" w:cs="Times New Roman"/>
                <w:kern w:val="21"/>
                <w:sz w:val="21"/>
                <w:szCs w:val="21"/>
                <w:highlight w:val="none"/>
                <w:lang w:eastAsia="zh-CN"/>
              </w:rPr>
              <w:t>1</w:t>
            </w:r>
          </w:p>
        </w:tc>
        <w:tc>
          <w:tcPr>
            <w:tcW w:w="2017"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p>
        </w:tc>
        <w:tc>
          <w:tcPr>
            <w:tcW w:w="2767"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p>
        </w:tc>
        <w:tc>
          <w:tcPr>
            <w:tcW w:w="74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p>
        </w:tc>
        <w:tc>
          <w:tcPr>
            <w:tcW w:w="75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p>
        </w:tc>
        <w:tc>
          <w:tcPr>
            <w:tcW w:w="88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p>
        </w:tc>
        <w:tc>
          <w:tcPr>
            <w:tcW w:w="884"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044" w:type="dxa"/>
            <w:vAlign w:val="center"/>
          </w:tcPr>
          <w:p>
            <w:pPr>
              <w:pStyle w:val="12"/>
              <w:topLinePunct/>
              <w:autoSpaceDE/>
              <w:autoSpaceDN/>
              <w:spacing w:line="360" w:lineRule="auto"/>
              <w:jc w:val="center"/>
              <w:rPr>
                <w:rFonts w:ascii="Times New Roman" w:hAnsi="Times New Roman" w:cs="Times New Roman"/>
                <w:kern w:val="21"/>
                <w:sz w:val="21"/>
                <w:szCs w:val="21"/>
                <w:highlight w:val="none"/>
                <w:lang w:eastAsia="zh-CN"/>
              </w:rPr>
            </w:pPr>
            <w:r>
              <w:rPr>
                <w:rFonts w:hint="eastAsia" w:ascii="Times New Roman" w:hAnsi="Times New Roman" w:cs="Times New Roman"/>
                <w:kern w:val="21"/>
                <w:sz w:val="21"/>
                <w:szCs w:val="21"/>
                <w:highlight w:val="none"/>
                <w:lang w:eastAsia="zh-CN"/>
              </w:rPr>
              <w:t>2</w:t>
            </w:r>
          </w:p>
        </w:tc>
        <w:tc>
          <w:tcPr>
            <w:tcW w:w="2017"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p>
        </w:tc>
        <w:tc>
          <w:tcPr>
            <w:tcW w:w="2767"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p>
        </w:tc>
        <w:tc>
          <w:tcPr>
            <w:tcW w:w="74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p>
        </w:tc>
        <w:tc>
          <w:tcPr>
            <w:tcW w:w="75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p>
        </w:tc>
        <w:tc>
          <w:tcPr>
            <w:tcW w:w="88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p>
        </w:tc>
        <w:tc>
          <w:tcPr>
            <w:tcW w:w="884"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p>
        </w:tc>
      </w:tr>
    </w:tbl>
    <w:p>
      <w:pPr>
        <w:topLinePunct/>
        <w:autoSpaceDE/>
        <w:autoSpaceDN/>
        <w:spacing w:line="360" w:lineRule="auto"/>
        <w:outlineLvl w:val="9"/>
        <w:rPr>
          <w:rFonts w:hint="eastAsia" w:ascii="Times New Roman" w:hAnsi="Times New Roman" w:eastAsia="宋体" w:cs="Times New Roman"/>
          <w:b/>
          <w:bCs/>
          <w:kern w:val="21"/>
          <w:sz w:val="24"/>
          <w:szCs w:val="24"/>
          <w:highlight w:val="none"/>
          <w:lang w:val="en-US" w:eastAsia="zh-CN"/>
        </w:rPr>
      </w:pPr>
    </w:p>
    <w:p>
      <w:pPr>
        <w:topLinePunct/>
        <w:autoSpaceDE/>
        <w:autoSpaceDN/>
        <w:spacing w:line="360" w:lineRule="auto"/>
        <w:outlineLvl w:val="6"/>
        <w:rPr>
          <w:rFonts w:ascii="Times New Roman" w:hAnsi="Times New Roman" w:eastAsia="宋体" w:cs="Times New Roman"/>
          <w:kern w:val="21"/>
          <w:highlight w:val="none"/>
          <w:lang w:eastAsia="zh-CN"/>
        </w:rPr>
      </w:pPr>
      <w:r>
        <w:rPr>
          <w:rFonts w:hint="eastAsia" w:ascii="Times New Roman" w:hAnsi="Times New Roman" w:eastAsia="宋体" w:cs="Times New Roman"/>
          <w:b/>
          <w:bCs/>
          <w:kern w:val="21"/>
          <w:sz w:val="24"/>
          <w:szCs w:val="24"/>
          <w:highlight w:val="none"/>
          <w:lang w:val="en-US" w:eastAsia="zh-CN"/>
        </w:rPr>
        <w:t>7.2</w:t>
      </w:r>
      <w:r>
        <w:rPr>
          <w:rFonts w:ascii="Times New Roman" w:hAnsi="Times New Roman" w:eastAsia="宋体" w:cs="Times New Roman"/>
          <w:kern w:val="21"/>
          <w:sz w:val="24"/>
          <w:szCs w:val="24"/>
          <w:highlight w:val="none"/>
          <w:lang w:eastAsia="zh-CN"/>
        </w:rPr>
        <w:t xml:space="preserve"> </w:t>
      </w:r>
      <w:r>
        <w:rPr>
          <w:rFonts w:hint="eastAsia" w:ascii="Times New Roman" w:hAnsi="Times New Roman" w:eastAsia="宋体" w:cs="Times New Roman"/>
          <w:kern w:val="21"/>
          <w:sz w:val="24"/>
          <w:szCs w:val="24"/>
          <w:highlight w:val="none"/>
          <w:lang w:val="en-US" w:eastAsia="zh-CN"/>
        </w:rPr>
        <w:t>专用工具</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r>
        <w:rPr>
          <w:rFonts w:ascii="Times New Roman" w:hAnsi="Times New Roman" w:eastAsia="宋体" w:cs="Times New Roman"/>
          <w:kern w:val="21"/>
          <w:highlight w:val="none"/>
          <w:lang w:eastAsia="zh-CN"/>
        </w:rPr>
        <w:t>投标方应提供安装、运行检修所需要的非常规及非标准的专用工具，包括专用测试设备，提供的工具清单见表2。</w:t>
      </w:r>
    </w:p>
    <w:p>
      <w:pPr>
        <w:topLinePunct/>
        <w:autoSpaceDE/>
        <w:autoSpaceDN/>
        <w:spacing w:line="360" w:lineRule="auto"/>
        <w:ind w:firstLine="420" w:firstLineChars="200"/>
        <w:rPr>
          <w:rFonts w:ascii="Times New Roman" w:hAnsi="Times New Roman" w:eastAsia="宋体" w:cs="Times New Roman"/>
          <w:kern w:val="21"/>
          <w:highlight w:val="none"/>
          <w:lang w:eastAsia="zh-CN"/>
        </w:rPr>
      </w:pPr>
    </w:p>
    <w:p>
      <w:pPr>
        <w:topLinePunct/>
        <w:autoSpaceDE/>
        <w:autoSpaceDN/>
        <w:spacing w:line="360" w:lineRule="auto"/>
        <w:jc w:val="center"/>
        <w:rPr>
          <w:rFonts w:ascii="Times New Roman" w:hAnsi="Times New Roman" w:eastAsia="黑体" w:cs="Times New Roman"/>
          <w:kern w:val="21"/>
          <w:highlight w:val="none"/>
          <w:lang w:eastAsia="zh-CN"/>
        </w:rPr>
      </w:pPr>
      <w:r>
        <w:rPr>
          <w:rFonts w:ascii="Times New Roman" w:hAnsi="Times New Roman" w:eastAsia="黑体" w:cs="Times New Roman"/>
          <w:b/>
          <w:bCs/>
          <w:kern w:val="21"/>
          <w:highlight w:val="none"/>
          <w:lang w:eastAsia="zh-CN"/>
        </w:rPr>
        <w:t>表2</w:t>
      </w:r>
      <w:r>
        <w:rPr>
          <w:rFonts w:ascii="Times New Roman" w:hAnsi="Times New Roman" w:eastAsia="黑体" w:cs="Times New Roman"/>
          <w:kern w:val="21"/>
          <w:highlight w:val="none"/>
          <w:lang w:eastAsia="zh-CN"/>
        </w:rPr>
        <w:t xml:space="preserve"> </w:t>
      </w:r>
      <w:r>
        <w:rPr>
          <w:rFonts w:ascii="Times New Roman" w:hAnsi="Times New Roman" w:eastAsia="黑体" w:cs="Times New Roman"/>
          <w:b/>
          <w:bCs/>
          <w:kern w:val="21"/>
          <w:highlight w:val="none"/>
          <w:lang w:eastAsia="zh-CN"/>
        </w:rPr>
        <w:t>专用工具清单</w:t>
      </w:r>
    </w:p>
    <w:tbl>
      <w:tblPr>
        <w:tblStyle w:val="11"/>
        <w:tblW w:w="84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4"/>
        <w:gridCol w:w="1907"/>
        <w:gridCol w:w="2477"/>
        <w:gridCol w:w="989"/>
        <w:gridCol w:w="869"/>
        <w:gridCol w:w="709"/>
        <w:gridCol w:w="7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0" w:hRule="atLeast"/>
          <w:jc w:val="center"/>
        </w:trPr>
        <w:tc>
          <w:tcPr>
            <w:tcW w:w="744"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序号</w:t>
            </w:r>
          </w:p>
        </w:tc>
        <w:tc>
          <w:tcPr>
            <w:tcW w:w="1907"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名称</w:t>
            </w:r>
          </w:p>
        </w:tc>
        <w:tc>
          <w:tcPr>
            <w:tcW w:w="2477"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型号及规范</w:t>
            </w:r>
          </w:p>
        </w:tc>
        <w:tc>
          <w:tcPr>
            <w:tcW w:w="98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单位</w:t>
            </w:r>
          </w:p>
        </w:tc>
        <w:tc>
          <w:tcPr>
            <w:tcW w:w="86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数量</w:t>
            </w:r>
          </w:p>
        </w:tc>
        <w:tc>
          <w:tcPr>
            <w:tcW w:w="709"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用途</w:t>
            </w:r>
          </w:p>
        </w:tc>
        <w:tc>
          <w:tcPr>
            <w:tcW w:w="754" w:type="dxa"/>
            <w:vAlign w:val="center"/>
          </w:tcPr>
          <w:p>
            <w:pPr>
              <w:pStyle w:val="12"/>
              <w:topLinePunct/>
              <w:autoSpaceDE/>
              <w:autoSpaceDN/>
              <w:spacing w:line="360" w:lineRule="auto"/>
              <w:jc w:val="center"/>
              <w:rPr>
                <w:rFonts w:ascii="Times New Roman" w:hAnsi="Times New Roman" w:cs="Times New Roman"/>
                <w:kern w:val="21"/>
                <w:sz w:val="21"/>
                <w:szCs w:val="21"/>
                <w:highlight w:val="none"/>
              </w:rPr>
            </w:pPr>
            <w:r>
              <w:rPr>
                <w:rFonts w:ascii="Times New Roman" w:hAnsi="Times New Roman" w:cs="Times New Roman"/>
                <w:kern w:val="21"/>
                <w:sz w:val="21"/>
                <w:szCs w:val="21"/>
                <w:highlight w:val="none"/>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7" w:hRule="atLeast"/>
          <w:jc w:val="center"/>
        </w:trPr>
        <w:tc>
          <w:tcPr>
            <w:tcW w:w="744" w:type="dxa"/>
            <w:vAlign w:val="center"/>
          </w:tcPr>
          <w:p>
            <w:pPr>
              <w:topLinePunct/>
              <w:autoSpaceDE/>
              <w:autoSpaceDN/>
              <w:spacing w:line="360" w:lineRule="auto"/>
              <w:jc w:val="center"/>
              <w:rPr>
                <w:rFonts w:hint="eastAsia" w:ascii="Times New Roman" w:hAnsi="Times New Roman" w:eastAsia="宋体" w:cs="Times New Roman"/>
                <w:kern w:val="21"/>
                <w:highlight w:val="none"/>
                <w:lang w:val="en-US" w:eastAsia="zh-CN"/>
              </w:rPr>
            </w:pPr>
            <w:r>
              <w:rPr>
                <w:rFonts w:hint="eastAsia" w:ascii="Times New Roman" w:hAnsi="Times New Roman" w:eastAsia="宋体" w:cs="Times New Roman"/>
                <w:kern w:val="21"/>
                <w:highlight w:val="none"/>
                <w:lang w:val="en-US" w:eastAsia="zh-CN"/>
              </w:rPr>
              <w:t>1</w:t>
            </w:r>
          </w:p>
        </w:tc>
        <w:tc>
          <w:tcPr>
            <w:tcW w:w="1907" w:type="dxa"/>
            <w:vAlign w:val="center"/>
          </w:tcPr>
          <w:p>
            <w:pPr>
              <w:topLinePunct/>
              <w:autoSpaceDE/>
              <w:autoSpaceDN/>
              <w:spacing w:line="360" w:lineRule="auto"/>
              <w:jc w:val="center"/>
              <w:rPr>
                <w:rFonts w:ascii="Times New Roman" w:hAnsi="Times New Roman" w:cs="Times New Roman"/>
                <w:kern w:val="21"/>
                <w:highlight w:val="none"/>
              </w:rPr>
            </w:pPr>
          </w:p>
        </w:tc>
        <w:tc>
          <w:tcPr>
            <w:tcW w:w="2477" w:type="dxa"/>
            <w:vAlign w:val="center"/>
          </w:tcPr>
          <w:p>
            <w:pPr>
              <w:topLinePunct/>
              <w:autoSpaceDE/>
              <w:autoSpaceDN/>
              <w:spacing w:line="360" w:lineRule="auto"/>
              <w:jc w:val="center"/>
              <w:rPr>
                <w:rFonts w:ascii="Times New Roman" w:hAnsi="Times New Roman" w:cs="Times New Roman"/>
                <w:kern w:val="21"/>
                <w:highlight w:val="none"/>
              </w:rPr>
            </w:pPr>
          </w:p>
        </w:tc>
        <w:tc>
          <w:tcPr>
            <w:tcW w:w="989" w:type="dxa"/>
            <w:vAlign w:val="center"/>
          </w:tcPr>
          <w:p>
            <w:pPr>
              <w:topLinePunct/>
              <w:autoSpaceDE/>
              <w:autoSpaceDN/>
              <w:spacing w:line="360" w:lineRule="auto"/>
              <w:jc w:val="center"/>
              <w:rPr>
                <w:rFonts w:ascii="Times New Roman" w:hAnsi="Times New Roman" w:cs="Times New Roman"/>
                <w:kern w:val="21"/>
                <w:highlight w:val="none"/>
              </w:rPr>
            </w:pPr>
          </w:p>
        </w:tc>
        <w:tc>
          <w:tcPr>
            <w:tcW w:w="869" w:type="dxa"/>
            <w:vAlign w:val="center"/>
          </w:tcPr>
          <w:p>
            <w:pPr>
              <w:topLinePunct/>
              <w:autoSpaceDE/>
              <w:autoSpaceDN/>
              <w:spacing w:line="360" w:lineRule="auto"/>
              <w:jc w:val="center"/>
              <w:rPr>
                <w:rFonts w:ascii="Times New Roman" w:hAnsi="Times New Roman" w:cs="Times New Roman"/>
                <w:kern w:val="21"/>
                <w:highlight w:val="none"/>
              </w:rPr>
            </w:pPr>
          </w:p>
        </w:tc>
        <w:tc>
          <w:tcPr>
            <w:tcW w:w="709" w:type="dxa"/>
            <w:vAlign w:val="center"/>
          </w:tcPr>
          <w:p>
            <w:pPr>
              <w:topLinePunct/>
              <w:autoSpaceDE/>
              <w:autoSpaceDN/>
              <w:spacing w:line="360" w:lineRule="auto"/>
              <w:jc w:val="center"/>
              <w:rPr>
                <w:rFonts w:ascii="Times New Roman" w:hAnsi="Times New Roman" w:cs="Times New Roman"/>
                <w:kern w:val="21"/>
                <w:highlight w:val="none"/>
              </w:rPr>
            </w:pPr>
          </w:p>
        </w:tc>
        <w:tc>
          <w:tcPr>
            <w:tcW w:w="754" w:type="dxa"/>
            <w:vAlign w:val="center"/>
          </w:tcPr>
          <w:p>
            <w:pPr>
              <w:topLinePunct/>
              <w:autoSpaceDE/>
              <w:autoSpaceDN/>
              <w:spacing w:line="360" w:lineRule="auto"/>
              <w:jc w:val="center"/>
              <w:rPr>
                <w:rFonts w:ascii="Times New Roman" w:hAnsi="Times New Roman" w:cs="Times New Roman"/>
                <w:kern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jc w:val="center"/>
        </w:trPr>
        <w:tc>
          <w:tcPr>
            <w:tcW w:w="744" w:type="dxa"/>
            <w:vAlign w:val="center"/>
          </w:tcPr>
          <w:p>
            <w:pPr>
              <w:topLinePunct/>
              <w:autoSpaceDE/>
              <w:autoSpaceDN/>
              <w:spacing w:line="360" w:lineRule="auto"/>
              <w:jc w:val="center"/>
              <w:rPr>
                <w:rFonts w:hint="eastAsia" w:ascii="Times New Roman" w:hAnsi="Times New Roman" w:eastAsia="宋体" w:cs="Times New Roman"/>
                <w:kern w:val="21"/>
                <w:highlight w:val="none"/>
                <w:lang w:val="en-US" w:eastAsia="zh-CN"/>
              </w:rPr>
            </w:pPr>
            <w:r>
              <w:rPr>
                <w:rFonts w:hint="eastAsia" w:ascii="Times New Roman" w:hAnsi="Times New Roman" w:eastAsia="宋体" w:cs="Times New Roman"/>
                <w:kern w:val="21"/>
                <w:highlight w:val="none"/>
                <w:lang w:val="en-US" w:eastAsia="zh-CN"/>
              </w:rPr>
              <w:t>2</w:t>
            </w:r>
          </w:p>
        </w:tc>
        <w:tc>
          <w:tcPr>
            <w:tcW w:w="1907" w:type="dxa"/>
            <w:vAlign w:val="center"/>
          </w:tcPr>
          <w:p>
            <w:pPr>
              <w:topLinePunct/>
              <w:autoSpaceDE/>
              <w:autoSpaceDN/>
              <w:spacing w:line="360" w:lineRule="auto"/>
              <w:jc w:val="center"/>
              <w:rPr>
                <w:rFonts w:ascii="Times New Roman" w:hAnsi="Times New Roman" w:cs="Times New Roman"/>
                <w:kern w:val="21"/>
                <w:highlight w:val="none"/>
              </w:rPr>
            </w:pPr>
          </w:p>
        </w:tc>
        <w:tc>
          <w:tcPr>
            <w:tcW w:w="2477" w:type="dxa"/>
            <w:vAlign w:val="center"/>
          </w:tcPr>
          <w:p>
            <w:pPr>
              <w:topLinePunct/>
              <w:autoSpaceDE/>
              <w:autoSpaceDN/>
              <w:spacing w:line="360" w:lineRule="auto"/>
              <w:jc w:val="center"/>
              <w:rPr>
                <w:rFonts w:ascii="Times New Roman" w:hAnsi="Times New Roman" w:cs="Times New Roman"/>
                <w:kern w:val="21"/>
                <w:highlight w:val="none"/>
              </w:rPr>
            </w:pPr>
          </w:p>
        </w:tc>
        <w:tc>
          <w:tcPr>
            <w:tcW w:w="989" w:type="dxa"/>
            <w:vAlign w:val="center"/>
          </w:tcPr>
          <w:p>
            <w:pPr>
              <w:topLinePunct/>
              <w:autoSpaceDE/>
              <w:autoSpaceDN/>
              <w:spacing w:line="360" w:lineRule="auto"/>
              <w:jc w:val="center"/>
              <w:rPr>
                <w:rFonts w:ascii="Times New Roman" w:hAnsi="Times New Roman" w:cs="Times New Roman"/>
                <w:kern w:val="21"/>
                <w:highlight w:val="none"/>
              </w:rPr>
            </w:pPr>
          </w:p>
        </w:tc>
        <w:tc>
          <w:tcPr>
            <w:tcW w:w="869" w:type="dxa"/>
            <w:vAlign w:val="center"/>
          </w:tcPr>
          <w:p>
            <w:pPr>
              <w:topLinePunct/>
              <w:autoSpaceDE/>
              <w:autoSpaceDN/>
              <w:spacing w:line="360" w:lineRule="auto"/>
              <w:jc w:val="center"/>
              <w:rPr>
                <w:rFonts w:ascii="Times New Roman" w:hAnsi="Times New Roman" w:cs="Times New Roman"/>
                <w:kern w:val="21"/>
                <w:highlight w:val="none"/>
              </w:rPr>
            </w:pPr>
          </w:p>
        </w:tc>
        <w:tc>
          <w:tcPr>
            <w:tcW w:w="709" w:type="dxa"/>
            <w:vAlign w:val="center"/>
          </w:tcPr>
          <w:p>
            <w:pPr>
              <w:topLinePunct/>
              <w:autoSpaceDE/>
              <w:autoSpaceDN/>
              <w:spacing w:line="360" w:lineRule="auto"/>
              <w:jc w:val="center"/>
              <w:rPr>
                <w:rFonts w:ascii="Times New Roman" w:hAnsi="Times New Roman" w:cs="Times New Roman"/>
                <w:kern w:val="21"/>
                <w:highlight w:val="none"/>
              </w:rPr>
            </w:pPr>
          </w:p>
        </w:tc>
        <w:tc>
          <w:tcPr>
            <w:tcW w:w="754" w:type="dxa"/>
            <w:vAlign w:val="center"/>
          </w:tcPr>
          <w:p>
            <w:pPr>
              <w:topLinePunct/>
              <w:autoSpaceDE/>
              <w:autoSpaceDN/>
              <w:spacing w:line="360" w:lineRule="auto"/>
              <w:jc w:val="center"/>
              <w:rPr>
                <w:rFonts w:ascii="Times New Roman" w:hAnsi="Times New Roman" w:cs="Times New Roman"/>
                <w:kern w:val="21"/>
                <w:highlight w:val="none"/>
              </w:rPr>
            </w:pPr>
          </w:p>
        </w:tc>
      </w:tr>
    </w:tbl>
    <w:p>
      <w:pPr>
        <w:pStyle w:val="4"/>
        <w:topLinePunct/>
        <w:autoSpaceDE/>
        <w:autoSpaceDN/>
        <w:spacing w:line="360" w:lineRule="auto"/>
        <w:rPr>
          <w:rFonts w:ascii="Times New Roman" w:hAnsi="Times New Roman" w:cs="Times New Roman"/>
          <w:kern w:val="21"/>
          <w:highlight w:val="none"/>
        </w:rPr>
      </w:pPr>
    </w:p>
    <w:p>
      <w:pPr>
        <w:pStyle w:val="2"/>
        <w:rPr>
          <w:highlight w:val="none"/>
          <w:lang w:eastAsia="zh-CN"/>
        </w:rPr>
      </w:pPr>
      <w:bookmarkStart w:id="16" w:name="_Toc9278"/>
      <w:r>
        <w:rPr>
          <w:highlight w:val="none"/>
        </w:rPr>
        <mc:AlternateContent>
          <mc:Choice Requires="wps">
            <w:drawing>
              <wp:anchor distT="0" distB="0" distL="114300" distR="114300" simplePos="0" relativeHeight="251660288" behindDoc="0" locked="0" layoutInCell="1" allowOverlap="1">
                <wp:simplePos x="0" y="0"/>
                <wp:positionH relativeFrom="column">
                  <wp:posOffset>6136640</wp:posOffset>
                </wp:positionH>
                <wp:positionV relativeFrom="paragraph">
                  <wp:posOffset>98425</wp:posOffset>
                </wp:positionV>
                <wp:extent cx="60960" cy="113665"/>
                <wp:effectExtent l="0" t="0" r="0" b="0"/>
                <wp:wrapNone/>
                <wp:docPr id="1" name="文本框 1"/>
                <wp:cNvGraphicFramePr/>
                <a:graphic xmlns:a="http://schemas.openxmlformats.org/drawingml/2006/main">
                  <a:graphicData uri="http://schemas.microsoft.com/office/word/2010/wordprocessingShape">
                    <wps:wsp>
                      <wps:cNvSpPr txBox="1"/>
                      <wps:spPr>
                        <a:xfrm>
                          <a:off x="0" y="0"/>
                          <a:ext cx="60960" cy="113665"/>
                        </a:xfrm>
                        <a:prstGeom prst="rect">
                          <a:avLst/>
                        </a:prstGeom>
                        <a:noFill/>
                        <a:ln>
                          <a:noFill/>
                        </a:ln>
                      </wps:spPr>
                      <wps:txbx>
                        <w:txbxContent>
                          <w:p>
                            <w:pPr>
                              <w:spacing w:before="20" w:line="138" w:lineRule="exact"/>
                              <w:jc w:val="right"/>
                              <w:rPr>
                                <w:rFonts w:ascii="宋体" w:hAnsi="宋体" w:eastAsia="宋体" w:cs="宋体"/>
                                <w:sz w:val="9"/>
                                <w:szCs w:val="9"/>
                              </w:rPr>
                            </w:pPr>
                            <w:r>
                              <w:rPr>
                                <w:rFonts w:ascii="宋体" w:hAnsi="宋体" w:eastAsia="宋体" w:cs="宋体"/>
                                <w:spacing w:val="-35"/>
                                <w:position w:val="1"/>
                                <w:sz w:val="9"/>
                                <w:szCs w:val="9"/>
                              </w:rPr>
                              <w:t>·</w:t>
                            </w:r>
                          </w:p>
                        </w:txbxContent>
                      </wps:txbx>
                      <wps:bodyPr lIns="0" tIns="0" rIns="0" bIns="0" upright="1"/>
                    </wps:wsp>
                  </a:graphicData>
                </a:graphic>
              </wp:anchor>
            </w:drawing>
          </mc:Choice>
          <mc:Fallback>
            <w:pict>
              <v:shape id="_x0000_s1026" o:spid="_x0000_s1026" o:spt="202" type="#_x0000_t202" style="position:absolute;left:0pt;margin-left:483.2pt;margin-top:7.75pt;height:8.95pt;width:4.8pt;z-index:251660288;mso-width-relative:page;mso-height-relative:page;" filled="f" stroked="f" coordsize="21600,21600" o:gfxdata="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Coc7I2AAAAAkBAAAPAAAAAAAAAAEAIAAAACIAAABkcnMvZG93bnJldi54bWxQSwECFAAU&#10;AAAACACHTuJANonf5rgBAABwAwAADgAAAAAAAAABACAAAAAnAQAAZHJzL2Uyb0RvYy54bWxQSwUG&#10;AAAAAAYABgBZAQAAUQUAAAAA&#10;">
                <v:fill on="f" focussize="0,0"/>
                <v:stroke on="f"/>
                <v:imagedata o:title=""/>
                <o:lock v:ext="edit" aspectratio="f"/>
                <v:textbox inset="0mm,0mm,0mm,0mm">
                  <w:txbxContent>
                    <w:p>
                      <w:pPr>
                        <w:spacing w:before="20" w:line="138" w:lineRule="exact"/>
                        <w:jc w:val="right"/>
                        <w:rPr>
                          <w:rFonts w:ascii="宋体" w:hAnsi="宋体" w:eastAsia="宋体" w:cs="宋体"/>
                          <w:sz w:val="9"/>
                          <w:szCs w:val="9"/>
                        </w:rPr>
                      </w:pPr>
                      <w:r>
                        <w:rPr>
                          <w:rFonts w:ascii="宋体" w:hAnsi="宋体" w:eastAsia="宋体" w:cs="宋体"/>
                          <w:spacing w:val="-35"/>
                          <w:position w:val="1"/>
                          <w:sz w:val="9"/>
                          <w:szCs w:val="9"/>
                        </w:rPr>
                        <w:t>·</w:t>
                      </w:r>
                    </w:p>
                  </w:txbxContent>
                </v:textbox>
              </v:shape>
            </w:pict>
          </mc:Fallback>
        </mc:AlternateContent>
      </w:r>
      <w:r>
        <w:rPr>
          <w:highlight w:val="none"/>
          <w:lang w:eastAsia="zh-CN"/>
        </w:rPr>
        <w:t>8  投标方应填写主要部件来源、规范一览表</w:t>
      </w:r>
      <w:bookmarkEnd w:id="16"/>
    </w:p>
    <w:p>
      <w:pPr>
        <w:topLinePunct/>
        <w:autoSpaceDE/>
        <w:autoSpaceDN/>
        <w:spacing w:line="360" w:lineRule="auto"/>
        <w:ind w:firstLine="420" w:firstLineChars="200"/>
        <w:rPr>
          <w:rFonts w:ascii="Times New Roman" w:hAnsi="Times New Roman" w:eastAsia="黑体" w:cs="Times New Roman"/>
          <w:b/>
          <w:bCs/>
          <w:kern w:val="21"/>
          <w:highlight w:val="none"/>
          <w:lang w:eastAsia="zh-CN"/>
        </w:rPr>
      </w:pPr>
      <w:r>
        <w:rPr>
          <w:rFonts w:ascii="Times New Roman" w:hAnsi="Times New Roman" w:eastAsia="宋体" w:cs="Times New Roman"/>
          <w:kern w:val="21"/>
          <w:highlight w:val="none"/>
          <w:lang w:eastAsia="zh-CN"/>
        </w:rPr>
        <w:t>投标方应填写主要部件来源、规范一览表，其格式如表3。</w:t>
      </w:r>
    </w:p>
    <w:p>
      <w:pPr>
        <w:pStyle w:val="4"/>
        <w:topLinePunct/>
        <w:autoSpaceDE/>
        <w:autoSpaceDN/>
        <w:jc w:val="center"/>
        <w:rPr>
          <w:rFonts w:ascii="Times New Roman" w:hAnsi="Times New Roman" w:eastAsia="黑体" w:cs="Times New Roman"/>
          <w:b/>
          <w:bCs/>
          <w:kern w:val="21"/>
          <w:highlight w:val="none"/>
          <w:lang w:eastAsia="zh-CN"/>
        </w:rPr>
      </w:pPr>
      <w:r>
        <w:rPr>
          <w:rFonts w:ascii="Times New Roman" w:hAnsi="Times New Roman" w:eastAsia="黑体" w:cs="Times New Roman"/>
          <w:b/>
          <w:bCs/>
          <w:kern w:val="21"/>
          <w:highlight w:val="none"/>
          <w:lang w:eastAsia="zh-CN"/>
        </w:rPr>
        <w:t>表3</w:t>
      </w:r>
      <w:r>
        <w:rPr>
          <w:rFonts w:ascii="Times New Roman" w:hAnsi="Times New Roman" w:eastAsia="黑体" w:cs="Times New Roman"/>
          <w:kern w:val="21"/>
          <w:highlight w:val="none"/>
          <w:lang w:eastAsia="zh-CN"/>
        </w:rPr>
        <w:t xml:space="preserve">  </w:t>
      </w:r>
      <w:r>
        <w:rPr>
          <w:rFonts w:ascii="Times New Roman" w:hAnsi="Times New Roman" w:eastAsia="黑体" w:cs="Times New Roman"/>
          <w:b/>
          <w:bCs/>
          <w:kern w:val="21"/>
          <w:highlight w:val="none"/>
          <w:lang w:eastAsia="zh-CN"/>
        </w:rPr>
        <w:t>主要部件来源、规范一览</w:t>
      </w:r>
      <w:r>
        <w:rPr>
          <w:rFonts w:hint="eastAsia" w:ascii="Times New Roman" w:hAnsi="Times New Roman" w:eastAsia="黑体" w:cs="Times New Roman"/>
          <w:b/>
          <w:bCs/>
          <w:kern w:val="21"/>
          <w:highlight w:val="none"/>
          <w:lang w:eastAsia="zh-CN"/>
        </w:rPr>
        <w:t>表</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5"/>
        <w:gridCol w:w="1705"/>
        <w:gridCol w:w="1705"/>
        <w:gridCol w:w="1705"/>
        <w:gridCol w:w="1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705" w:type="dxa"/>
            <w:vAlign w:val="center"/>
          </w:tcPr>
          <w:p>
            <w:pPr>
              <w:pStyle w:val="4"/>
              <w:widowControl/>
              <w:topLinePunct/>
              <w:autoSpaceDE/>
              <w:autoSpaceDN/>
              <w:jc w:val="center"/>
              <w:rPr>
                <w:rFonts w:ascii="Times New Roman" w:hAnsi="Times New Roman" w:eastAsia="黑体" w:cs="Times New Roman"/>
                <w:b/>
                <w:bCs/>
                <w:kern w:val="21"/>
                <w:highlight w:val="none"/>
                <w:lang w:eastAsia="zh-CN"/>
              </w:rPr>
            </w:pPr>
            <w:r>
              <w:rPr>
                <w:rFonts w:hint="eastAsia" w:ascii="宋体" w:hAnsi="宋体" w:eastAsia="宋体" w:cs="宋体"/>
                <w:kern w:val="21"/>
                <w:highlight w:val="none"/>
              </w:rPr>
              <w:t>序</w:t>
            </w:r>
            <w:r>
              <w:rPr>
                <w:rFonts w:ascii="Times New Roman" w:hAnsi="Times New Roman" w:cs="Times New Roman"/>
                <w:kern w:val="21"/>
                <w:highlight w:val="none"/>
              </w:rPr>
              <w:t>号</w:t>
            </w:r>
          </w:p>
        </w:tc>
        <w:tc>
          <w:tcPr>
            <w:tcW w:w="1705" w:type="dxa"/>
            <w:vAlign w:val="center"/>
          </w:tcPr>
          <w:p>
            <w:pPr>
              <w:pStyle w:val="4"/>
              <w:widowControl/>
              <w:topLinePunct/>
              <w:autoSpaceDE/>
              <w:autoSpaceDN/>
              <w:jc w:val="center"/>
              <w:rPr>
                <w:rFonts w:ascii="Times New Roman" w:hAnsi="Times New Roman" w:eastAsia="黑体" w:cs="Times New Roman"/>
                <w:b/>
                <w:bCs/>
                <w:kern w:val="21"/>
                <w:highlight w:val="none"/>
                <w:lang w:eastAsia="zh-CN"/>
              </w:rPr>
            </w:pPr>
            <w:r>
              <w:rPr>
                <w:rFonts w:hint="eastAsia" w:ascii="宋体" w:hAnsi="宋体" w:eastAsia="宋体" w:cs="宋体"/>
                <w:kern w:val="21"/>
                <w:highlight w:val="none"/>
              </w:rPr>
              <w:t>部</w:t>
            </w:r>
            <w:r>
              <w:rPr>
                <w:rFonts w:ascii="Times New Roman" w:hAnsi="Times New Roman" w:cs="Times New Roman"/>
                <w:kern w:val="21"/>
                <w:highlight w:val="none"/>
              </w:rPr>
              <w:t>件名称</w:t>
            </w:r>
          </w:p>
        </w:tc>
        <w:tc>
          <w:tcPr>
            <w:tcW w:w="1705" w:type="dxa"/>
            <w:vAlign w:val="center"/>
          </w:tcPr>
          <w:p>
            <w:pPr>
              <w:pStyle w:val="4"/>
              <w:widowControl/>
              <w:topLinePunct/>
              <w:autoSpaceDE/>
              <w:autoSpaceDN/>
              <w:jc w:val="center"/>
              <w:rPr>
                <w:rFonts w:ascii="Times New Roman" w:hAnsi="Times New Roman" w:eastAsia="黑体" w:cs="Times New Roman"/>
                <w:b/>
                <w:bCs/>
                <w:kern w:val="21"/>
                <w:highlight w:val="none"/>
                <w:lang w:eastAsia="zh-CN"/>
              </w:rPr>
            </w:pPr>
            <w:r>
              <w:rPr>
                <w:rFonts w:hint="eastAsia" w:ascii="宋体" w:hAnsi="宋体" w:eastAsia="宋体" w:cs="宋体"/>
                <w:kern w:val="21"/>
                <w:highlight w:val="none"/>
              </w:rPr>
              <w:t>产</w:t>
            </w:r>
            <w:r>
              <w:rPr>
                <w:rFonts w:ascii="Times New Roman" w:hAnsi="Times New Roman" w:cs="Times New Roman"/>
                <w:kern w:val="21"/>
                <w:highlight w:val="none"/>
              </w:rPr>
              <w:t>地、厂家</w:t>
            </w:r>
          </w:p>
        </w:tc>
        <w:tc>
          <w:tcPr>
            <w:tcW w:w="1705" w:type="dxa"/>
            <w:vAlign w:val="center"/>
          </w:tcPr>
          <w:p>
            <w:pPr>
              <w:pStyle w:val="4"/>
              <w:widowControl/>
              <w:topLinePunct/>
              <w:autoSpaceDE/>
              <w:autoSpaceDN/>
              <w:jc w:val="center"/>
              <w:rPr>
                <w:rFonts w:ascii="Times New Roman" w:hAnsi="Times New Roman" w:eastAsia="黑体" w:cs="Times New Roman"/>
                <w:b/>
                <w:bCs/>
                <w:kern w:val="21"/>
                <w:highlight w:val="none"/>
                <w:lang w:eastAsia="zh-CN"/>
              </w:rPr>
            </w:pPr>
            <w:r>
              <w:rPr>
                <w:rFonts w:hint="eastAsia" w:ascii="宋体" w:hAnsi="宋体" w:eastAsia="宋体" w:cs="宋体"/>
                <w:kern w:val="21"/>
                <w:highlight w:val="none"/>
              </w:rPr>
              <w:t>型</w:t>
            </w:r>
            <w:r>
              <w:rPr>
                <w:rFonts w:ascii="Times New Roman" w:hAnsi="Times New Roman" w:cs="Times New Roman"/>
                <w:kern w:val="21"/>
                <w:highlight w:val="none"/>
              </w:rPr>
              <w:t>号及规范</w:t>
            </w:r>
          </w:p>
        </w:tc>
        <w:tc>
          <w:tcPr>
            <w:tcW w:w="1706" w:type="dxa"/>
            <w:vAlign w:val="center"/>
          </w:tcPr>
          <w:p>
            <w:pPr>
              <w:pStyle w:val="4"/>
              <w:widowControl/>
              <w:topLinePunct/>
              <w:autoSpaceDE/>
              <w:autoSpaceDN/>
              <w:jc w:val="center"/>
              <w:rPr>
                <w:rFonts w:ascii="Times New Roman" w:hAnsi="Times New Roman" w:eastAsia="黑体" w:cs="Times New Roman"/>
                <w:b/>
                <w:bCs/>
                <w:kern w:val="21"/>
                <w:highlight w:val="none"/>
                <w:lang w:eastAsia="zh-CN"/>
              </w:rPr>
            </w:pPr>
            <w:r>
              <w:rPr>
                <w:rFonts w:hint="eastAsia" w:ascii="宋体" w:hAnsi="宋体" w:eastAsia="宋体" w:cs="宋体"/>
                <w:kern w:val="21"/>
                <w:highlight w:val="none"/>
              </w:rPr>
              <w:t>备</w:t>
            </w:r>
            <w:r>
              <w:rPr>
                <w:rFonts w:ascii="Times New Roman" w:hAnsi="Times New Roman" w:cs="Times New Roman"/>
                <w:kern w:val="21"/>
                <w:highlight w:val="none"/>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705" w:type="dxa"/>
            <w:vAlign w:val="center"/>
          </w:tcPr>
          <w:p>
            <w:pPr>
              <w:pStyle w:val="4"/>
              <w:widowControl/>
              <w:topLinePunct/>
              <w:autoSpaceDE/>
              <w:autoSpaceDN/>
              <w:jc w:val="center"/>
              <w:rPr>
                <w:rFonts w:ascii="Times New Roman" w:hAnsi="Times New Roman" w:eastAsia="黑体" w:cs="Times New Roman"/>
                <w:b/>
                <w:bCs/>
                <w:kern w:val="21"/>
                <w:highlight w:val="none"/>
                <w:lang w:eastAsia="zh-CN"/>
              </w:rPr>
            </w:pPr>
          </w:p>
        </w:tc>
        <w:tc>
          <w:tcPr>
            <w:tcW w:w="1705" w:type="dxa"/>
            <w:vAlign w:val="center"/>
          </w:tcPr>
          <w:p>
            <w:pPr>
              <w:pStyle w:val="4"/>
              <w:widowControl/>
              <w:topLinePunct/>
              <w:autoSpaceDE/>
              <w:autoSpaceDN/>
              <w:jc w:val="center"/>
              <w:rPr>
                <w:rFonts w:ascii="Times New Roman" w:hAnsi="Times New Roman" w:eastAsia="黑体" w:cs="Times New Roman"/>
                <w:b/>
                <w:bCs/>
                <w:kern w:val="21"/>
                <w:highlight w:val="none"/>
                <w:lang w:eastAsia="zh-CN"/>
              </w:rPr>
            </w:pPr>
          </w:p>
        </w:tc>
        <w:tc>
          <w:tcPr>
            <w:tcW w:w="1705" w:type="dxa"/>
            <w:vAlign w:val="center"/>
          </w:tcPr>
          <w:p>
            <w:pPr>
              <w:pStyle w:val="4"/>
              <w:widowControl/>
              <w:topLinePunct/>
              <w:autoSpaceDE/>
              <w:autoSpaceDN/>
              <w:jc w:val="center"/>
              <w:rPr>
                <w:rFonts w:ascii="Times New Roman" w:hAnsi="Times New Roman" w:eastAsia="黑体" w:cs="Times New Roman"/>
                <w:b/>
                <w:bCs/>
                <w:kern w:val="21"/>
                <w:highlight w:val="none"/>
                <w:lang w:eastAsia="zh-CN"/>
              </w:rPr>
            </w:pPr>
          </w:p>
        </w:tc>
        <w:tc>
          <w:tcPr>
            <w:tcW w:w="1705" w:type="dxa"/>
            <w:vAlign w:val="center"/>
          </w:tcPr>
          <w:p>
            <w:pPr>
              <w:pStyle w:val="4"/>
              <w:widowControl/>
              <w:topLinePunct/>
              <w:autoSpaceDE/>
              <w:autoSpaceDN/>
              <w:jc w:val="center"/>
              <w:rPr>
                <w:rFonts w:ascii="Times New Roman" w:hAnsi="Times New Roman" w:eastAsia="黑体" w:cs="Times New Roman"/>
                <w:b/>
                <w:bCs/>
                <w:kern w:val="21"/>
                <w:highlight w:val="none"/>
                <w:lang w:eastAsia="zh-CN"/>
              </w:rPr>
            </w:pPr>
          </w:p>
        </w:tc>
        <w:tc>
          <w:tcPr>
            <w:tcW w:w="1706" w:type="dxa"/>
            <w:vAlign w:val="center"/>
          </w:tcPr>
          <w:p>
            <w:pPr>
              <w:pStyle w:val="4"/>
              <w:widowControl/>
              <w:topLinePunct/>
              <w:autoSpaceDE/>
              <w:autoSpaceDN/>
              <w:jc w:val="center"/>
              <w:rPr>
                <w:rFonts w:ascii="Times New Roman" w:hAnsi="Times New Roman" w:eastAsia="黑体" w:cs="Times New Roman"/>
                <w:b/>
                <w:bCs/>
                <w:kern w:val="21"/>
                <w:highlight w:val="none"/>
                <w:lang w:eastAsia="zh-CN"/>
              </w:rPr>
            </w:pPr>
          </w:p>
        </w:tc>
      </w:tr>
    </w:tbl>
    <w:p>
      <w:pPr>
        <w:pStyle w:val="2"/>
        <w:outlineLvl w:val="9"/>
        <w:rPr>
          <w:highlight w:val="none"/>
          <w:lang w:eastAsia="zh-CN"/>
        </w:rPr>
      </w:pPr>
    </w:p>
    <w:p>
      <w:pPr>
        <w:rPr>
          <w:highlight w:val="none"/>
          <w:lang w:eastAsia="zh-CN"/>
        </w:rPr>
      </w:pPr>
    </w:p>
    <w:p>
      <w:pPr>
        <w:pStyle w:val="2"/>
        <w:rPr>
          <w:rFonts w:hint="eastAsia"/>
          <w:highlight w:val="none"/>
          <w:lang w:eastAsia="zh-CN"/>
        </w:rPr>
      </w:pPr>
      <w:bookmarkStart w:id="17" w:name="_Toc1704"/>
      <w:r>
        <w:rPr>
          <w:rFonts w:hint="eastAsia"/>
          <w:highlight w:val="none"/>
          <w:lang w:eastAsia="zh-CN"/>
        </w:rPr>
        <w:t>9、技术标书评价依据</w:t>
      </w:r>
      <w:bookmarkEnd w:id="17"/>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1、</w:t>
      </w:r>
      <w:r>
        <w:rPr>
          <w:rFonts w:hint="eastAsia" w:ascii="Times New Roman" w:hAnsi="Times New Roman" w:eastAsia="宋体" w:cs="Times New Roman"/>
          <w:kern w:val="21"/>
          <w:highlight w:val="none"/>
          <w:lang w:eastAsia="zh-CN"/>
        </w:rPr>
        <w:t>投标方所提供的技术服务与本项目技术要求的对比差异。</w:t>
      </w:r>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2、</w:t>
      </w:r>
      <w:r>
        <w:rPr>
          <w:rFonts w:hint="eastAsia" w:ascii="Times New Roman" w:hAnsi="Times New Roman" w:eastAsia="宋体" w:cs="Times New Roman"/>
          <w:kern w:val="21"/>
          <w:highlight w:val="none"/>
          <w:lang w:eastAsia="zh-CN"/>
        </w:rPr>
        <w:t>投标方安排参与项目的专业人员的数量、素质、技术能力、工作经验。</w:t>
      </w:r>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val="en-US" w:eastAsia="zh-CN"/>
        </w:rPr>
        <w:t>3、</w:t>
      </w:r>
      <w:r>
        <w:rPr>
          <w:rFonts w:hint="eastAsia" w:ascii="Times New Roman" w:hAnsi="Times New Roman" w:eastAsia="宋体" w:cs="Times New Roman"/>
          <w:kern w:val="21"/>
          <w:highlight w:val="none"/>
          <w:lang w:eastAsia="zh-CN"/>
        </w:rPr>
        <w:t>投标方关于本项目的时间进度安排。</w:t>
      </w:r>
    </w:p>
    <w:p>
      <w:pPr>
        <w:rPr>
          <w:rFonts w:hint="eastAsia"/>
          <w:highlight w:val="none"/>
          <w:lang w:eastAsia="zh-CN"/>
        </w:rPr>
      </w:pPr>
    </w:p>
    <w:p>
      <w:pPr>
        <w:rPr>
          <w:rFonts w:hint="eastAsia"/>
          <w:highlight w:val="none"/>
          <w:lang w:eastAsia="zh-CN"/>
        </w:rPr>
      </w:pPr>
    </w:p>
    <w:p>
      <w:pPr>
        <w:pStyle w:val="2"/>
        <w:rPr>
          <w:rFonts w:hint="eastAsia"/>
          <w:highlight w:val="none"/>
          <w:lang w:eastAsia="zh-CN"/>
        </w:rPr>
      </w:pPr>
      <w:bookmarkStart w:id="18" w:name="_Toc13789"/>
      <w:r>
        <w:rPr>
          <w:rFonts w:hint="eastAsia"/>
          <w:highlight w:val="none"/>
          <w:lang w:eastAsia="zh-CN"/>
        </w:rPr>
        <w:t>10、技术应答及技术差异表</w:t>
      </w:r>
      <w:bookmarkEnd w:id="18"/>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eastAsia="zh-CN"/>
        </w:rPr>
        <w:t>投标方应针对本招标文件的“3.工作范围”、“4.使用条件”、“5.技术要求”内容进行详细的技术应答并编制技术差异表(见附表1)。</w:t>
      </w:r>
    </w:p>
    <w:p>
      <w:pPr>
        <w:rPr>
          <w:rFonts w:hint="eastAsia"/>
          <w:highlight w:val="none"/>
          <w:lang w:eastAsia="zh-CN"/>
        </w:rPr>
      </w:pPr>
    </w:p>
    <w:p>
      <w:pPr>
        <w:rPr>
          <w:rFonts w:hint="eastAsia"/>
          <w:highlight w:val="none"/>
          <w:lang w:eastAsia="zh-CN"/>
        </w:rPr>
      </w:pPr>
    </w:p>
    <w:p>
      <w:pPr>
        <w:pStyle w:val="2"/>
        <w:rPr>
          <w:rFonts w:hint="eastAsia"/>
          <w:highlight w:val="none"/>
          <w:lang w:eastAsia="zh-CN"/>
        </w:rPr>
      </w:pPr>
      <w:bookmarkStart w:id="19" w:name="_Toc15189"/>
      <w:r>
        <w:rPr>
          <w:rFonts w:hint="eastAsia"/>
          <w:highlight w:val="none"/>
          <w:lang w:eastAsia="zh-CN"/>
        </w:rPr>
        <w:t>11、其它</w:t>
      </w:r>
      <w:bookmarkEnd w:id="19"/>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eastAsia="zh-CN"/>
        </w:rPr>
        <w:t>本标书的最终解释权归招标方。</w:t>
      </w:r>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p>
    <w:p>
      <w:pPr>
        <w:spacing w:line="360" w:lineRule="auto"/>
        <w:outlineLvl w:val="0"/>
        <w:rPr>
          <w:rFonts w:hint="default" w:ascii="黑体" w:hAnsi="黑体" w:eastAsia="黑体" w:cs="黑体"/>
          <w:bCs/>
          <w:sz w:val="24"/>
          <w:highlight w:val="none"/>
          <w:lang w:val="en-US" w:eastAsia="zh-CN"/>
        </w:rPr>
      </w:pPr>
      <w:bookmarkStart w:id="20" w:name="_Toc28247"/>
      <w:r>
        <w:rPr>
          <w:rFonts w:hint="eastAsia" w:ascii="黑体" w:hAnsi="黑体" w:eastAsia="黑体" w:cs="黑体"/>
          <w:bCs/>
          <w:sz w:val="24"/>
          <w:highlight w:val="none"/>
          <w:lang w:val="en-US" w:eastAsia="zh-CN"/>
        </w:rPr>
        <w:t>附表1 技术差异表</w:t>
      </w:r>
      <w:bookmarkEnd w:id="20"/>
    </w:p>
    <w:p>
      <w:pPr>
        <w:topLinePunct/>
        <w:autoSpaceDE/>
        <w:autoSpaceDN/>
        <w:spacing w:line="360" w:lineRule="auto"/>
        <w:ind w:firstLine="420" w:firstLineChars="200"/>
        <w:rPr>
          <w:rFonts w:hint="eastAsia" w:ascii="Times New Roman" w:hAnsi="Times New Roman" w:eastAsia="宋体" w:cs="Times New Roman"/>
          <w:kern w:val="21"/>
          <w:highlight w:val="none"/>
          <w:lang w:eastAsia="zh-CN"/>
        </w:rPr>
      </w:pPr>
      <w:r>
        <w:rPr>
          <w:rFonts w:hint="eastAsia" w:ascii="Times New Roman" w:hAnsi="Times New Roman" w:eastAsia="宋体" w:cs="Times New Roman"/>
          <w:kern w:val="21"/>
          <w:highlight w:val="none"/>
          <w:lang w:eastAsia="zh-CN"/>
        </w:rPr>
        <w:t>投标方应将所提供服务差异如实填写在下面空栏里，包括所有试验项目的试验能力差异。</w:t>
      </w:r>
    </w:p>
    <w:tbl>
      <w:tblPr>
        <w:tblStyle w:val="8"/>
        <w:tblW w:w="83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52"/>
        <w:gridCol w:w="1783"/>
        <w:gridCol w:w="2639"/>
        <w:gridCol w:w="2819"/>
        <w:gridCol w:w="5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c>
          <w:tcPr>
            <w:tcW w:w="552" w:type="dxa"/>
            <w:tcBorders>
              <w:tl2br w:val="nil"/>
              <w:tr2bl w:val="nil"/>
            </w:tcBorders>
            <w:vAlign w:val="center"/>
          </w:tcPr>
          <w:p>
            <w:pPr>
              <w:jc w:val="center"/>
              <w:rPr>
                <w:szCs w:val="21"/>
                <w:highlight w:val="none"/>
              </w:rPr>
            </w:pPr>
            <w:r>
              <w:rPr>
                <w:rFonts w:hint="eastAsia"/>
                <w:szCs w:val="21"/>
                <w:highlight w:val="none"/>
              </w:rPr>
              <w:t>序号</w:t>
            </w:r>
          </w:p>
        </w:tc>
        <w:tc>
          <w:tcPr>
            <w:tcW w:w="1783" w:type="dxa"/>
            <w:tcBorders>
              <w:tl2br w:val="nil"/>
              <w:tr2bl w:val="nil"/>
            </w:tcBorders>
            <w:vAlign w:val="center"/>
          </w:tcPr>
          <w:p>
            <w:pPr>
              <w:jc w:val="center"/>
              <w:rPr>
                <w:szCs w:val="21"/>
                <w:highlight w:val="none"/>
              </w:rPr>
            </w:pPr>
            <w:r>
              <w:rPr>
                <w:rFonts w:hint="eastAsia"/>
                <w:szCs w:val="21"/>
                <w:highlight w:val="none"/>
              </w:rPr>
              <w:t>条目</w:t>
            </w:r>
          </w:p>
        </w:tc>
        <w:tc>
          <w:tcPr>
            <w:tcW w:w="2639" w:type="dxa"/>
            <w:tcBorders>
              <w:tl2br w:val="nil"/>
              <w:tr2bl w:val="nil"/>
            </w:tcBorders>
            <w:vAlign w:val="center"/>
          </w:tcPr>
          <w:p>
            <w:pPr>
              <w:jc w:val="center"/>
              <w:rPr>
                <w:szCs w:val="21"/>
                <w:highlight w:val="none"/>
              </w:rPr>
            </w:pPr>
            <w:r>
              <w:rPr>
                <w:rFonts w:hint="eastAsia"/>
                <w:szCs w:val="21"/>
                <w:highlight w:val="none"/>
              </w:rPr>
              <w:t>标书所要求的技术服务能力</w:t>
            </w:r>
          </w:p>
        </w:tc>
        <w:tc>
          <w:tcPr>
            <w:tcW w:w="2819" w:type="dxa"/>
            <w:tcBorders>
              <w:tl2br w:val="nil"/>
              <w:tr2bl w:val="nil"/>
            </w:tcBorders>
            <w:vAlign w:val="center"/>
          </w:tcPr>
          <w:p>
            <w:pPr>
              <w:jc w:val="center"/>
              <w:rPr>
                <w:szCs w:val="21"/>
                <w:highlight w:val="none"/>
              </w:rPr>
            </w:pPr>
            <w:r>
              <w:rPr>
                <w:rFonts w:hint="eastAsia"/>
                <w:szCs w:val="21"/>
                <w:highlight w:val="none"/>
              </w:rPr>
              <w:t>投标者所提供的技术服务能力</w:t>
            </w:r>
          </w:p>
        </w:tc>
        <w:tc>
          <w:tcPr>
            <w:tcW w:w="598" w:type="dxa"/>
            <w:tcBorders>
              <w:tl2br w:val="nil"/>
              <w:tr2bl w:val="nil"/>
            </w:tcBorders>
            <w:vAlign w:val="center"/>
          </w:tcPr>
          <w:p>
            <w:pPr>
              <w:jc w:val="center"/>
              <w:rPr>
                <w:szCs w:val="21"/>
                <w:highlight w:val="none"/>
              </w:rPr>
            </w:pPr>
            <w:r>
              <w:rPr>
                <w:rFonts w:hint="eastAsia"/>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trPr>
        <w:tc>
          <w:tcPr>
            <w:tcW w:w="552" w:type="dxa"/>
            <w:tcBorders>
              <w:tl2br w:val="nil"/>
              <w:tr2bl w:val="nil"/>
            </w:tcBorders>
          </w:tcPr>
          <w:p>
            <w:pPr>
              <w:rPr>
                <w:szCs w:val="21"/>
                <w:highlight w:val="none"/>
              </w:rPr>
            </w:pPr>
          </w:p>
        </w:tc>
        <w:tc>
          <w:tcPr>
            <w:tcW w:w="1783" w:type="dxa"/>
            <w:tcBorders>
              <w:tl2br w:val="nil"/>
              <w:tr2bl w:val="nil"/>
            </w:tcBorders>
          </w:tcPr>
          <w:p>
            <w:pPr>
              <w:rPr>
                <w:szCs w:val="21"/>
                <w:highlight w:val="none"/>
              </w:rPr>
            </w:pPr>
          </w:p>
        </w:tc>
        <w:tc>
          <w:tcPr>
            <w:tcW w:w="2639" w:type="dxa"/>
            <w:tcBorders>
              <w:tl2br w:val="nil"/>
              <w:tr2bl w:val="nil"/>
            </w:tcBorders>
          </w:tcPr>
          <w:p>
            <w:pPr>
              <w:rPr>
                <w:szCs w:val="21"/>
                <w:highlight w:val="none"/>
              </w:rPr>
            </w:pPr>
          </w:p>
        </w:tc>
        <w:tc>
          <w:tcPr>
            <w:tcW w:w="2819" w:type="dxa"/>
            <w:tcBorders>
              <w:tl2br w:val="nil"/>
              <w:tr2bl w:val="nil"/>
            </w:tcBorders>
          </w:tcPr>
          <w:p>
            <w:pPr>
              <w:rPr>
                <w:szCs w:val="21"/>
                <w:highlight w:val="none"/>
              </w:rPr>
            </w:pPr>
          </w:p>
        </w:tc>
        <w:tc>
          <w:tcPr>
            <w:tcW w:w="598" w:type="dxa"/>
            <w:tcBorders>
              <w:tl2br w:val="nil"/>
              <w:tr2bl w:val="nil"/>
            </w:tcBorders>
          </w:tcPr>
          <w:p>
            <w:pP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0" w:hRule="atLeast"/>
        </w:trPr>
        <w:tc>
          <w:tcPr>
            <w:tcW w:w="552" w:type="dxa"/>
            <w:tcBorders>
              <w:tl2br w:val="nil"/>
              <w:tr2bl w:val="nil"/>
            </w:tcBorders>
          </w:tcPr>
          <w:p>
            <w:pPr>
              <w:rPr>
                <w:szCs w:val="21"/>
                <w:highlight w:val="none"/>
              </w:rPr>
            </w:pPr>
          </w:p>
        </w:tc>
        <w:tc>
          <w:tcPr>
            <w:tcW w:w="1783" w:type="dxa"/>
            <w:tcBorders>
              <w:tl2br w:val="nil"/>
              <w:tr2bl w:val="nil"/>
            </w:tcBorders>
          </w:tcPr>
          <w:p>
            <w:pPr>
              <w:rPr>
                <w:szCs w:val="21"/>
                <w:highlight w:val="none"/>
              </w:rPr>
            </w:pPr>
          </w:p>
        </w:tc>
        <w:tc>
          <w:tcPr>
            <w:tcW w:w="2639" w:type="dxa"/>
            <w:tcBorders>
              <w:tl2br w:val="nil"/>
              <w:tr2bl w:val="nil"/>
            </w:tcBorders>
          </w:tcPr>
          <w:p>
            <w:pPr>
              <w:rPr>
                <w:szCs w:val="21"/>
                <w:highlight w:val="none"/>
              </w:rPr>
            </w:pPr>
          </w:p>
        </w:tc>
        <w:tc>
          <w:tcPr>
            <w:tcW w:w="2819" w:type="dxa"/>
            <w:tcBorders>
              <w:tl2br w:val="nil"/>
              <w:tr2bl w:val="nil"/>
            </w:tcBorders>
          </w:tcPr>
          <w:p>
            <w:pPr>
              <w:rPr>
                <w:szCs w:val="21"/>
                <w:highlight w:val="none"/>
              </w:rPr>
            </w:pPr>
          </w:p>
        </w:tc>
        <w:tc>
          <w:tcPr>
            <w:tcW w:w="598" w:type="dxa"/>
            <w:tcBorders>
              <w:tl2br w:val="nil"/>
              <w:tr2bl w:val="nil"/>
            </w:tcBorders>
          </w:tcPr>
          <w:p>
            <w:pPr>
              <w:rPr>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0" w:hRule="atLeast"/>
        </w:trPr>
        <w:tc>
          <w:tcPr>
            <w:tcW w:w="552" w:type="dxa"/>
            <w:tcBorders>
              <w:tl2br w:val="nil"/>
              <w:tr2bl w:val="nil"/>
            </w:tcBorders>
          </w:tcPr>
          <w:p>
            <w:pPr>
              <w:rPr>
                <w:szCs w:val="21"/>
                <w:highlight w:val="none"/>
              </w:rPr>
            </w:pPr>
          </w:p>
        </w:tc>
        <w:tc>
          <w:tcPr>
            <w:tcW w:w="1783" w:type="dxa"/>
            <w:tcBorders>
              <w:tl2br w:val="nil"/>
              <w:tr2bl w:val="nil"/>
            </w:tcBorders>
          </w:tcPr>
          <w:p>
            <w:pPr>
              <w:rPr>
                <w:szCs w:val="21"/>
                <w:highlight w:val="none"/>
              </w:rPr>
            </w:pPr>
          </w:p>
        </w:tc>
        <w:tc>
          <w:tcPr>
            <w:tcW w:w="2639" w:type="dxa"/>
            <w:tcBorders>
              <w:tl2br w:val="nil"/>
              <w:tr2bl w:val="nil"/>
            </w:tcBorders>
          </w:tcPr>
          <w:p>
            <w:pPr>
              <w:rPr>
                <w:szCs w:val="21"/>
                <w:highlight w:val="none"/>
              </w:rPr>
            </w:pPr>
          </w:p>
        </w:tc>
        <w:tc>
          <w:tcPr>
            <w:tcW w:w="2819" w:type="dxa"/>
            <w:tcBorders>
              <w:tl2br w:val="nil"/>
              <w:tr2bl w:val="nil"/>
            </w:tcBorders>
          </w:tcPr>
          <w:p>
            <w:pPr>
              <w:rPr>
                <w:szCs w:val="21"/>
                <w:highlight w:val="none"/>
              </w:rPr>
            </w:pPr>
          </w:p>
        </w:tc>
        <w:tc>
          <w:tcPr>
            <w:tcW w:w="598" w:type="dxa"/>
            <w:tcBorders>
              <w:tl2br w:val="nil"/>
              <w:tr2bl w:val="nil"/>
            </w:tcBorders>
          </w:tcPr>
          <w:p>
            <w:pPr>
              <w:rPr>
                <w:szCs w:val="21"/>
                <w:highlight w:val="none"/>
              </w:rPr>
            </w:pPr>
          </w:p>
        </w:tc>
      </w:tr>
    </w:tbl>
    <w:p>
      <w:pPr>
        <w:keepNext w:val="0"/>
        <w:keepLines w:val="0"/>
        <w:pageBreakBefore w:val="0"/>
        <w:widowControl/>
        <w:kinsoku w:val="0"/>
        <w:wordWrap/>
        <w:overflowPunct/>
        <w:topLinePunct/>
        <w:autoSpaceDE/>
        <w:autoSpaceDN/>
        <w:bidi w:val="0"/>
        <w:adjustRightInd w:val="0"/>
        <w:snapToGrid w:val="0"/>
        <w:spacing w:line="20" w:lineRule="exact"/>
        <w:textAlignment w:val="baseline"/>
        <w:rPr>
          <w:rFonts w:hint="eastAsia" w:ascii="Times New Roman" w:hAnsi="Times New Roman" w:eastAsia="宋体" w:cs="Times New Roman"/>
          <w:kern w:val="21"/>
          <w:highlight w:val="none"/>
          <w:lang w:eastAsia="zh-CN"/>
        </w:rPr>
      </w:pPr>
    </w:p>
    <w:sectPr>
      <w:pgSz w:w="11910" w:h="16850"/>
      <w:pgMar w:top="1440" w:right="1800" w:bottom="1440" w:left="1800" w:header="0" w:footer="1304"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0" w:lineRule="auto"/>
      <w:ind w:left="3453"/>
      <w:rPr>
        <w:rFonts w:ascii="宋体" w:hAnsi="宋体" w:eastAsia="宋体" w:cs="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10" w:lineRule="auto"/>
      <w:ind w:left="3453"/>
      <w:rPr>
        <w:rFonts w:ascii="宋体" w:hAnsi="宋体" w:eastAsia="宋体" w:cs="宋体"/>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t xml:space="preserve">第 </w:t>
                          </w:r>
                          <w:r>
                            <w:rPr>
                              <w:rFonts w:hint="eastAsia" w:eastAsia="宋体"/>
                              <w:lang w:eastAsia="zh-CN"/>
                            </w:rPr>
                            <w:t>3</w:t>
                          </w:r>
                          <w:r>
                            <w:t xml:space="preserve"> 页 共 </w:t>
                          </w:r>
                          <w:r>
                            <w:fldChar w:fldCharType="begin"/>
                          </w:r>
                          <w:r>
                            <w:instrText xml:space="preserve"> NUMPAGES  \* MERGEFORMAT </w:instrText>
                          </w:r>
                          <w:r>
                            <w:fldChar w:fldCharType="separate"/>
                          </w:r>
                          <w:r>
                            <w:t>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5"/>
                    </w:pPr>
                    <w:r>
                      <w:t xml:space="preserve">第 </w:t>
                    </w:r>
                    <w:r>
                      <w:rPr>
                        <w:rFonts w:hint="eastAsia" w:eastAsia="宋体"/>
                        <w:lang w:eastAsia="zh-CN"/>
                      </w:rPr>
                      <w:t>3</w:t>
                    </w:r>
                    <w:r>
                      <w:t xml:space="preserve"> 页 共 </w:t>
                    </w:r>
                    <w:r>
                      <w:fldChar w:fldCharType="begin"/>
                    </w:r>
                    <w:r>
                      <w:instrText xml:space="preserve"> NUMPAGES  \* MERGEFORMAT </w:instrText>
                    </w:r>
                    <w:r>
                      <w:fldChar w:fldCharType="separate"/>
                    </w:r>
                    <w:r>
                      <w:t>9</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8A6CB85"/>
    <w:multiLevelType w:val="multilevel"/>
    <w:tmpl w:val="48A6CB85"/>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spaceForUL/>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ExMjI0NmM2MzVmNDVjMjRhOTY2NDUyOGQyMjNhYmEifQ=="/>
  </w:docVars>
  <w:rsids>
    <w:rsidRoot w:val="0057600A"/>
    <w:rsid w:val="00285A30"/>
    <w:rsid w:val="002F3AAF"/>
    <w:rsid w:val="0031006E"/>
    <w:rsid w:val="00433278"/>
    <w:rsid w:val="005522AF"/>
    <w:rsid w:val="0057600A"/>
    <w:rsid w:val="006C7BB9"/>
    <w:rsid w:val="007E6585"/>
    <w:rsid w:val="00827078"/>
    <w:rsid w:val="00962637"/>
    <w:rsid w:val="009954DD"/>
    <w:rsid w:val="00A21025"/>
    <w:rsid w:val="00A43F7A"/>
    <w:rsid w:val="00A91A71"/>
    <w:rsid w:val="00BF483D"/>
    <w:rsid w:val="00C5457F"/>
    <w:rsid w:val="00C95DFE"/>
    <w:rsid w:val="00E6653E"/>
    <w:rsid w:val="00EE45A3"/>
    <w:rsid w:val="01456F9D"/>
    <w:rsid w:val="040E3E94"/>
    <w:rsid w:val="066D5311"/>
    <w:rsid w:val="06C578AE"/>
    <w:rsid w:val="0ACC6AD4"/>
    <w:rsid w:val="0D4234FE"/>
    <w:rsid w:val="0D962E4D"/>
    <w:rsid w:val="0E0F17E1"/>
    <w:rsid w:val="0ECC4CAD"/>
    <w:rsid w:val="10845622"/>
    <w:rsid w:val="128C448C"/>
    <w:rsid w:val="12D80AC7"/>
    <w:rsid w:val="13E141D1"/>
    <w:rsid w:val="160513FF"/>
    <w:rsid w:val="18BD6DAF"/>
    <w:rsid w:val="19E733E7"/>
    <w:rsid w:val="1F0E047B"/>
    <w:rsid w:val="25C85593"/>
    <w:rsid w:val="265B24AB"/>
    <w:rsid w:val="27222599"/>
    <w:rsid w:val="294011EC"/>
    <w:rsid w:val="2B4B6F96"/>
    <w:rsid w:val="2B7836E7"/>
    <w:rsid w:val="2EE613C7"/>
    <w:rsid w:val="31226AD3"/>
    <w:rsid w:val="31AD0B12"/>
    <w:rsid w:val="364E2F88"/>
    <w:rsid w:val="370205F8"/>
    <w:rsid w:val="3806447F"/>
    <w:rsid w:val="3A1853F9"/>
    <w:rsid w:val="3A4C3185"/>
    <w:rsid w:val="3B592525"/>
    <w:rsid w:val="3FD4579C"/>
    <w:rsid w:val="40060DCF"/>
    <w:rsid w:val="40A06C3B"/>
    <w:rsid w:val="432B5BA6"/>
    <w:rsid w:val="47A9311F"/>
    <w:rsid w:val="47D375BD"/>
    <w:rsid w:val="4A041AF8"/>
    <w:rsid w:val="4D524533"/>
    <w:rsid w:val="4D900E39"/>
    <w:rsid w:val="547820A3"/>
    <w:rsid w:val="5615762C"/>
    <w:rsid w:val="568E65D6"/>
    <w:rsid w:val="59E0323A"/>
    <w:rsid w:val="5B791ADF"/>
    <w:rsid w:val="5B8D108C"/>
    <w:rsid w:val="5BA710D6"/>
    <w:rsid w:val="5E187DE3"/>
    <w:rsid w:val="61366906"/>
    <w:rsid w:val="62310410"/>
    <w:rsid w:val="63ED36BB"/>
    <w:rsid w:val="6CFD7C5F"/>
    <w:rsid w:val="72691225"/>
    <w:rsid w:val="73CB6AAE"/>
    <w:rsid w:val="76B11F15"/>
    <w:rsid w:val="79AC10E3"/>
    <w:rsid w:val="7AB540A5"/>
    <w:rsid w:val="7C475ADD"/>
    <w:rsid w:val="7E8166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1"/>
    <w:basedOn w:val="1"/>
    <w:next w:val="1"/>
    <w:qFormat/>
    <w:uiPriority w:val="0"/>
    <w:pPr>
      <w:keepNext/>
      <w:keepLines/>
      <w:spacing w:line="360" w:lineRule="auto"/>
      <w:outlineLvl w:val="0"/>
    </w:pPr>
    <w:rPr>
      <w:rFonts w:ascii="Times New Roman" w:hAnsi="Times New Roman" w:eastAsia="宋体" w:cs="Times New Roman"/>
      <w:b/>
      <w:kern w:val="44"/>
      <w:sz w:val="2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style>
  <w:style w:type="paragraph" w:styleId="4">
    <w:name w:val="Body Text"/>
    <w:basedOn w:val="1"/>
    <w:qFormat/>
    <w:uiPriority w:val="0"/>
  </w:style>
  <w:style w:type="paragraph" w:styleId="5">
    <w:name w:val="footer"/>
    <w:basedOn w:val="1"/>
    <w:qFormat/>
    <w:uiPriority w:val="0"/>
    <w:pPr>
      <w:tabs>
        <w:tab w:val="center" w:pos="4153"/>
        <w:tab w:val="right" w:pos="8306"/>
      </w:tabs>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
    <w:name w:val="Table Normal"/>
    <w:semiHidden/>
    <w:unhideWhenUsed/>
    <w:qFormat/>
    <w:uiPriority w:val="0"/>
    <w:tblPr>
      <w:tblCellMar>
        <w:top w:w="0" w:type="dxa"/>
        <w:left w:w="0" w:type="dxa"/>
        <w:bottom w:w="0" w:type="dxa"/>
        <w:right w:w="0" w:type="dxa"/>
      </w:tblCellMar>
    </w:tblPr>
  </w:style>
  <w:style w:type="paragraph" w:customStyle="1" w:styleId="12">
    <w:name w:val="Table Text"/>
    <w:basedOn w:val="1"/>
    <w:semiHidden/>
    <w:qFormat/>
    <w:uiPriority w:val="0"/>
    <w:rPr>
      <w:rFonts w:ascii="宋体" w:hAnsi="宋体" w:eastAsia="宋体" w:cs="宋体"/>
      <w:sz w:val="20"/>
      <w:szCs w:val="20"/>
    </w:rPr>
  </w:style>
  <w:style w:type="paragraph" w:customStyle="1" w:styleId="13">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542</Words>
  <Characters>3094</Characters>
  <Lines>25</Lines>
  <Paragraphs>7</Paragraphs>
  <TotalTime>1</TotalTime>
  <ScaleCrop>false</ScaleCrop>
  <LinksUpToDate>false</LinksUpToDate>
  <CharactersWithSpaces>3629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2024-02-21T02:20:00Z</dcterms:created>
  <dc:creator>Kingsoft-PDF</dc:creator>
  <cp:lastModifiedBy>15CA36093607FD52E053380F0A0A1B10</cp:lastModifiedBy>
  <dcterms:modified xsi:type="dcterms:W3CDTF">2024-04-08T10:35:01Z</dcterms:modified>
  <dc:subject>pdfbuilder</dc:subject>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2023-12-20T22:04:03Z</vt:filetime>
  </property>
  <property fmtid="{D5CDD505-2E9C-101B-9397-08002B2CF9AE}" pid="4" name="UsrData">
    <vt:lpwstr>6582f44d72a3fa001fda23b7wl</vt:lpwstr>
  </property>
  <property fmtid="{D5CDD505-2E9C-101B-9397-08002B2CF9AE}" pid="5" name="KSOProductBuildVer">
    <vt:lpwstr>2052-11.8.2.12085</vt:lpwstr>
  </property>
  <property fmtid="{D5CDD505-2E9C-101B-9397-08002B2CF9AE}" pid="6" name="ICV">
    <vt:lpwstr>EF769712970A4166930C1099F938C93C</vt:lpwstr>
  </property>
</Properties>
</file>