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opLinePunct/>
        <w:autoSpaceDE/>
        <w:autoSpaceDN/>
        <w:spacing w:line="259" w:lineRule="auto"/>
        <w:rPr>
          <w:rFonts w:ascii="Times New Roman" w:hAnsi="Times New Roman" w:cs="Times New Roman"/>
          <w:kern w:val="21"/>
          <w:highlight w:val="none"/>
        </w:rPr>
      </w:pPr>
      <w:r>
        <w:rPr>
          <w:rFonts w:ascii="Times New Roman" w:hAnsi="Times New Roman" w:cs="Times New Roman"/>
          <w:kern w:val="21"/>
          <w:highlight w:val="none"/>
        </w:rPr>
        <w:drawing>
          <wp:anchor distT="0" distB="0" distL="114300" distR="114300" simplePos="0" relativeHeight="251659264" behindDoc="0" locked="0" layoutInCell="1" allowOverlap="1">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9"/>
                    <a:srcRect b="75984"/>
                    <a:stretch>
                      <a:fillRect/>
                    </a:stretch>
                  </pic:blipFill>
                  <pic:spPr>
                    <a:xfrm>
                      <a:off x="0" y="0"/>
                      <a:ext cx="7635875" cy="2567940"/>
                    </a:xfrm>
                    <a:prstGeom prst="rect">
                      <a:avLst/>
                    </a:prstGeom>
                    <a:noFill/>
                    <a:ln>
                      <a:noFill/>
                    </a:ln>
                  </pic:spPr>
                </pic:pic>
              </a:graphicData>
            </a:graphic>
          </wp:anchor>
        </w:drawing>
      </w:r>
    </w:p>
    <w:p>
      <w:pPr>
        <w:pStyle w:val="4"/>
        <w:topLinePunct/>
        <w:autoSpaceDE/>
        <w:autoSpaceDN/>
        <w:spacing w:line="259"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topLinePunct/>
        <w:autoSpaceDE/>
        <w:autoSpaceDN/>
        <w:spacing w:before="149" w:line="1229" w:lineRule="exact"/>
        <w:ind w:left="2280"/>
        <w:rPr>
          <w:rFonts w:ascii="Times New Roman" w:hAnsi="Times New Roman" w:eastAsia="宋体" w:cs="Times New Roman"/>
          <w:b/>
          <w:bCs/>
          <w:kern w:val="21"/>
          <w:sz w:val="46"/>
          <w:szCs w:val="46"/>
          <w:highlight w:val="none"/>
        </w:rPr>
      </w:pPr>
    </w:p>
    <w:p>
      <w:pPr>
        <w:topLinePunct/>
        <w:autoSpaceDE/>
        <w:autoSpaceDN/>
        <w:spacing w:before="149" w:line="1229" w:lineRule="exact"/>
        <w:ind w:left="2280"/>
        <w:rPr>
          <w:rFonts w:ascii="Times New Roman" w:hAnsi="Times New Roman" w:eastAsia="宋体" w:cs="Times New Roman"/>
          <w:b/>
          <w:bCs/>
          <w:kern w:val="21"/>
          <w:sz w:val="46"/>
          <w:szCs w:val="46"/>
          <w:highlight w:val="none"/>
        </w:rPr>
      </w:pPr>
    </w:p>
    <w:p>
      <w:pPr>
        <w:topLinePunct/>
        <w:autoSpaceDE/>
        <w:autoSpaceDN/>
        <w:spacing w:before="149" w:line="1229" w:lineRule="exact"/>
        <w:jc w:val="both"/>
        <w:rPr>
          <w:rFonts w:ascii="Times New Roman" w:hAnsi="Times New Roman" w:eastAsia="宋体" w:cs="Times New Roman"/>
          <w:b/>
          <w:bCs/>
          <w:kern w:val="21"/>
          <w:sz w:val="46"/>
          <w:szCs w:val="46"/>
          <w:highlight w:val="none"/>
        </w:rPr>
      </w:pPr>
    </w:p>
    <w:p>
      <w:pPr>
        <w:keepNext w:val="0"/>
        <w:keepLines w:val="0"/>
        <w:pageBreakBefore w:val="0"/>
        <w:widowControl/>
        <w:kinsoku w:val="0"/>
        <w:wordWrap/>
        <w:overflowPunct/>
        <w:topLinePunct/>
        <w:autoSpaceDE/>
        <w:autoSpaceDN/>
        <w:bidi w:val="0"/>
        <w:adjustRightInd w:val="0"/>
        <w:snapToGrid w:val="0"/>
        <w:spacing w:before="1" w:line="360" w:lineRule="auto"/>
        <w:ind w:firstLine="1847" w:firstLineChars="400"/>
        <w:jc w:val="both"/>
        <w:textAlignment w:val="baseline"/>
        <w:rPr>
          <w:rFonts w:hint="eastAsia" w:ascii="Times New Roman" w:hAnsi="Times New Roman" w:eastAsia="宋体" w:cs="Times New Roman"/>
          <w:b/>
          <w:bCs/>
          <w:kern w:val="21"/>
          <w:sz w:val="46"/>
          <w:szCs w:val="46"/>
          <w:highlight w:val="none"/>
          <w:lang w:eastAsia="zh-CN"/>
        </w:rPr>
      </w:pPr>
      <w:r>
        <w:rPr>
          <w:rFonts w:hint="eastAsia" w:ascii="Times New Roman" w:hAnsi="Times New Roman" w:eastAsia="宋体" w:cs="Times New Roman"/>
          <w:b/>
          <w:bCs/>
          <w:kern w:val="21"/>
          <w:sz w:val="46"/>
          <w:szCs w:val="46"/>
          <w:highlight w:val="none"/>
          <w:lang w:eastAsia="zh-CN"/>
        </w:rPr>
        <w:t>程控卫星信号放大器</w:t>
      </w:r>
    </w:p>
    <w:p>
      <w:pPr>
        <w:topLinePunct/>
        <w:autoSpaceDE/>
        <w:autoSpaceDN/>
        <w:spacing w:before="1" w:line="360" w:lineRule="auto"/>
        <w:ind w:firstLine="2771" w:firstLineChars="600"/>
        <w:rPr>
          <w:rFonts w:ascii="Times New Roman" w:hAnsi="Times New Roman" w:eastAsia="宋体" w:cs="Times New Roman"/>
          <w:kern w:val="21"/>
          <w:sz w:val="46"/>
          <w:szCs w:val="46"/>
          <w:highlight w:val="none"/>
          <w:lang w:eastAsia="zh-CN"/>
        </w:rPr>
      </w:pPr>
      <w:r>
        <w:rPr>
          <w:rFonts w:ascii="Times New Roman" w:hAnsi="Times New Roman" w:eastAsia="宋体" w:cs="Times New Roman"/>
          <w:b/>
          <w:bCs/>
          <w:kern w:val="21"/>
          <w:sz w:val="46"/>
          <w:szCs w:val="46"/>
          <w:highlight w:val="none"/>
          <w:lang w:eastAsia="zh-CN"/>
        </w:rPr>
        <w:t>技术条件书</w:t>
      </w: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topLinePunct/>
        <w:autoSpaceDE/>
        <w:autoSpaceDN/>
        <w:spacing w:before="133" w:line="709" w:lineRule="exact"/>
        <w:ind w:left="839"/>
        <w:rPr>
          <w:rFonts w:ascii="Times New Roman" w:hAnsi="Times New Roman" w:eastAsia="宋体" w:cs="Times New Roman"/>
          <w:kern w:val="21"/>
          <w:sz w:val="41"/>
          <w:szCs w:val="41"/>
          <w:highlight w:val="none"/>
          <w:lang w:eastAsia="zh-CN"/>
        </w:rPr>
      </w:pPr>
      <w:r>
        <w:rPr>
          <w:rFonts w:ascii="Times New Roman" w:hAnsi="Times New Roman" w:eastAsia="宋体" w:cs="Times New Roman"/>
          <w:b/>
          <w:bCs/>
          <w:kern w:val="21"/>
          <w:sz w:val="41"/>
          <w:szCs w:val="41"/>
          <w:highlight w:val="none"/>
          <w:lang w:eastAsia="zh-CN"/>
        </w:rPr>
        <w:t>广东电网有限责任公司广州供电局</w:t>
      </w:r>
    </w:p>
    <w:p>
      <w:pPr>
        <w:topLinePunct/>
        <w:autoSpaceDE/>
        <w:autoSpaceDN/>
        <w:spacing w:before="1" w:line="219" w:lineRule="auto"/>
        <w:ind w:left="3138"/>
        <w:rPr>
          <w:rFonts w:ascii="Times New Roman" w:hAnsi="Times New Roman" w:eastAsia="宋体" w:cs="Times New Roman"/>
          <w:kern w:val="21"/>
          <w:sz w:val="32"/>
          <w:szCs w:val="32"/>
          <w:highlight w:val="none"/>
          <w:lang w:eastAsia="zh-CN"/>
        </w:rPr>
        <w:sectPr>
          <w:pgSz w:w="11910" w:h="16850"/>
          <w:pgMar w:top="1432" w:right="226" w:bottom="0" w:left="1786" w:header="0" w:footer="0" w:gutter="0"/>
          <w:pgNumType w:fmt="decimal" w:start="1"/>
          <w:cols w:space="720" w:num="1"/>
        </w:sectPr>
      </w:pPr>
      <w:r>
        <w:rPr>
          <w:rFonts w:ascii="Times New Roman" w:hAnsi="Times New Roman" w:eastAsia="宋体" w:cs="Times New Roman"/>
          <w:b/>
          <w:bCs/>
          <w:kern w:val="21"/>
          <w:sz w:val="32"/>
          <w:szCs w:val="32"/>
          <w:highlight w:val="none"/>
          <w:lang w:eastAsia="zh-CN"/>
        </w:rPr>
        <w:t>2</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0</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2</w:t>
      </w:r>
      <w:r>
        <w:rPr>
          <w:rFonts w:ascii="Times New Roman" w:hAnsi="Times New Roman" w:eastAsia="宋体" w:cs="Times New Roman"/>
          <w:kern w:val="21"/>
          <w:sz w:val="32"/>
          <w:szCs w:val="32"/>
          <w:highlight w:val="none"/>
          <w:lang w:eastAsia="zh-CN"/>
        </w:rPr>
        <w:t xml:space="preserve"> </w:t>
      </w:r>
      <w:r>
        <w:rPr>
          <w:rFonts w:hint="eastAsia" w:ascii="Times New Roman" w:hAnsi="Times New Roman" w:eastAsia="宋体" w:cs="Times New Roman"/>
          <w:b/>
          <w:bCs/>
          <w:kern w:val="21"/>
          <w:sz w:val="32"/>
          <w:szCs w:val="32"/>
          <w:highlight w:val="none"/>
          <w:lang w:eastAsia="zh-CN"/>
        </w:rPr>
        <w:t>4</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年</w:t>
      </w:r>
      <w:r>
        <w:rPr>
          <w:rFonts w:hint="eastAsia" w:ascii="Times New Roman" w:hAnsi="Times New Roman" w:eastAsia="宋体" w:cs="Times New Roman"/>
          <w:b/>
          <w:bCs/>
          <w:kern w:val="21"/>
          <w:sz w:val="32"/>
          <w:szCs w:val="32"/>
          <w:highlight w:val="none"/>
          <w:lang w:eastAsia="zh-CN"/>
        </w:rPr>
        <w:t>03</w:t>
      </w:r>
      <w:r>
        <w:rPr>
          <w:rFonts w:ascii="Times New Roman" w:hAnsi="Times New Roman" w:eastAsia="宋体" w:cs="Times New Roman"/>
          <w:b/>
          <w:bCs/>
          <w:kern w:val="21"/>
          <w:sz w:val="32"/>
          <w:szCs w:val="32"/>
          <w:highlight w:val="none"/>
          <w:lang w:eastAsia="zh-CN"/>
        </w:rPr>
        <w:t>月</w:t>
      </w:r>
    </w:p>
    <w:sdt>
      <w:sdtPr>
        <w:rPr>
          <w:rFonts w:hint="eastAsia" w:ascii="黑体" w:hAnsi="黑体" w:eastAsia="黑体" w:cs="黑体"/>
          <w:snapToGrid w:val="0"/>
          <w:color w:val="000000"/>
          <w:sz w:val="28"/>
          <w:szCs w:val="28"/>
          <w:highlight w:val="none"/>
          <w:lang w:val="en-US" w:eastAsia="en-US" w:bidi="ar-SA"/>
        </w:rPr>
        <w:id w:val="147463193"/>
        <w15:color w:val="DBDBDB"/>
        <w:docPartObj>
          <w:docPartGallery w:val="Table of Contents"/>
          <w:docPartUnique/>
        </w:docPartObj>
      </w:sdtPr>
      <w:sdtEndPr>
        <w:rPr>
          <w:rFonts w:hint="eastAsia" w:ascii="Times New Roman" w:hAnsi="Times New Roman" w:eastAsia="Arial" w:cs="Times New Roman"/>
          <w:snapToGrid w:val="0"/>
          <w:color w:val="000000"/>
          <w:kern w:val="21"/>
          <w:sz w:val="21"/>
          <w:szCs w:val="21"/>
          <w:highlight w:val="none"/>
          <w:lang w:val="en-US" w:eastAsia="zh-CN" w:bidi="ar-SA"/>
        </w:rPr>
      </w:sdtEndPr>
      <w:sdtContent>
        <w:p>
          <w:pPr>
            <w:spacing w:before="0" w:beforeLines="0" w:after="0" w:afterLines="0" w:line="480" w:lineRule="auto"/>
            <w:ind w:left="0" w:leftChars="0" w:right="0" w:rightChars="0" w:firstLine="0" w:firstLineChars="0"/>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目录</w:t>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TOC \o "1-1" \h \u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_Toc27858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rPr>
            <w:t>1</w:t>
          </w:r>
          <w:r>
            <w:rPr>
              <w:rFonts w:hint="eastAsia" w:ascii="黑体" w:hAnsi="黑体" w:eastAsia="黑体" w:cs="黑体"/>
              <w:sz w:val="28"/>
              <w:szCs w:val="28"/>
              <w:highlight w:val="none"/>
              <w:lang w:eastAsia="zh-CN"/>
            </w:rPr>
            <w:t xml:space="preserve">  </w:t>
          </w:r>
          <w:r>
            <w:rPr>
              <w:rFonts w:hint="eastAsia" w:ascii="黑体" w:hAnsi="黑体" w:eastAsia="黑体" w:cs="黑体"/>
              <w:sz w:val="28"/>
              <w:szCs w:val="28"/>
              <w:highlight w:val="none"/>
            </w:rPr>
            <w:t>总则</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1</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_Toc32091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2  工作范围</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1</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_Toc905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3  应遵循的主要标准</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2</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_Toc14522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4  质量保证</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4</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_Toc24670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5</w:t>
          </w:r>
          <w:r>
            <w:rPr>
              <w:rFonts w:hint="eastAsia" w:ascii="黑体" w:hAnsi="黑体" w:eastAsia="黑体" w:cs="黑体"/>
              <w:sz w:val="28"/>
              <w:szCs w:val="28"/>
              <w:highlight w:val="none"/>
              <w:lang w:eastAsia="zh-CN"/>
            </w:rPr>
            <w:t xml:space="preserve">  包装、运输和储存</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4</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_Toc10235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6、双方工作安排</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_Toc6391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7</w:t>
          </w:r>
          <w:r>
            <w:rPr>
              <w:rFonts w:hint="eastAsia" w:ascii="黑体" w:hAnsi="黑体" w:eastAsia="黑体" w:cs="黑体"/>
              <w:sz w:val="28"/>
              <w:szCs w:val="28"/>
              <w:highlight w:val="none"/>
              <w:lang w:eastAsia="zh-CN"/>
            </w:rPr>
            <w:t xml:space="preserve">  备品备件及专用工具</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_Toc9278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8  投标方应填写主要部件来源、规范一览表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_Toc1704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9</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技术标书评价依据</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_Toc13789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10</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技术应答及技术差异表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_Toc15189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11</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其它</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2"/>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_Toc28247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bCs/>
              <w:sz w:val="28"/>
              <w:szCs w:val="28"/>
              <w:highlight w:val="none"/>
              <w:lang w:val="en-US" w:eastAsia="zh-CN"/>
            </w:rPr>
            <w:t>附表1 技术差异表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4"/>
            <w:topLinePunct/>
            <w:autoSpaceDE/>
            <w:autoSpaceDN/>
            <w:spacing w:line="480" w:lineRule="auto"/>
            <w:rPr>
              <w:rFonts w:ascii="Times New Roman" w:hAnsi="Times New Roman" w:cs="Times New Roman"/>
              <w:kern w:val="21"/>
              <w:highlight w:val="none"/>
              <w:lang w:eastAsia="zh-CN"/>
            </w:rPr>
          </w:pPr>
          <w:r>
            <w:rPr>
              <w:rFonts w:hint="eastAsia" w:ascii="黑体" w:hAnsi="黑体" w:eastAsia="黑体" w:cs="黑体"/>
              <w:kern w:val="21"/>
              <w:sz w:val="28"/>
              <w:szCs w:val="28"/>
              <w:highlight w:val="none"/>
              <w:lang w:eastAsia="zh-CN"/>
            </w:rPr>
            <w:fldChar w:fldCharType="end"/>
          </w:r>
        </w:p>
      </w:sdtContent>
    </w:sdt>
    <w:p>
      <w:pPr>
        <w:pStyle w:val="2"/>
        <w:rPr>
          <w:rFonts w:hint="eastAsia"/>
          <w:highlight w:val="none"/>
          <w:lang w:eastAsia="zh-CN"/>
        </w:rPr>
      </w:pPr>
      <w:bookmarkStart w:id="0" w:name="_Toc27858"/>
    </w:p>
    <w:p>
      <w:pPr>
        <w:rPr>
          <w:rFonts w:hint="eastAsia"/>
          <w:highlight w:val="none"/>
          <w:lang w:eastAsia="zh-CN"/>
        </w:rPr>
      </w:pPr>
    </w:p>
    <w:p>
      <w:pPr>
        <w:rPr>
          <w:rFonts w:hint="eastAsia"/>
          <w:highlight w:val="none"/>
          <w:lang w:eastAsia="zh-CN"/>
        </w:rPr>
      </w:pPr>
    </w:p>
    <w:p>
      <w:pPr>
        <w:pStyle w:val="2"/>
        <w:rPr>
          <w:highlight w:val="none"/>
        </w:rPr>
        <w:sectPr>
          <w:footerReference r:id="rId5" w:type="first"/>
          <w:headerReference r:id="rId3" w:type="default"/>
          <w:footerReference r:id="rId4" w:type="default"/>
          <w:pgSz w:w="11910" w:h="16850"/>
          <w:pgMar w:top="1440" w:right="1800" w:bottom="1440" w:left="1800" w:header="0" w:footer="1292" w:gutter="0"/>
          <w:pgNumType w:fmt="decimal"/>
          <w:cols w:space="720" w:num="1"/>
          <w:titlePg/>
        </w:sectPr>
      </w:pPr>
    </w:p>
    <w:p>
      <w:pPr>
        <w:pStyle w:val="2"/>
        <w:rPr>
          <w:highlight w:val="none"/>
        </w:rPr>
      </w:pPr>
      <w:r>
        <w:rPr>
          <w:highlight w:val="none"/>
        </w:rPr>
        <w:t>1</w:t>
      </w:r>
      <w:r>
        <w:rPr>
          <w:rFonts w:hint="eastAsia"/>
          <w:highlight w:val="none"/>
          <w:lang w:eastAsia="zh-CN"/>
        </w:rPr>
        <w:t xml:space="preserve">  </w:t>
      </w:r>
      <w:r>
        <w:rPr>
          <w:highlight w:val="none"/>
        </w:rPr>
        <w:t>总则</w:t>
      </w:r>
      <w:bookmarkEnd w:id="0"/>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本招标技术文件适用于</w:t>
      </w:r>
      <w:r>
        <w:rPr>
          <w:rFonts w:hint="eastAsia" w:ascii="Times New Roman" w:hAnsi="Times New Roman" w:eastAsia="宋体" w:cs="Times New Roman"/>
          <w:kern w:val="21"/>
          <w:highlight w:val="none"/>
          <w:lang w:eastAsia="zh-CN"/>
        </w:rPr>
        <w:t>程控卫星信号放大器</w:t>
      </w:r>
      <w:r>
        <w:rPr>
          <w:rFonts w:ascii="Times New Roman" w:hAnsi="Times New Roman" w:eastAsia="宋体" w:cs="Times New Roman"/>
          <w:kern w:val="21"/>
          <w:highlight w:val="none"/>
          <w:lang w:eastAsia="zh-CN"/>
        </w:rPr>
        <w:t>的订货。它提出了</w:t>
      </w:r>
      <w:r>
        <w:rPr>
          <w:rFonts w:hint="eastAsia" w:ascii="Times New Roman" w:hAnsi="Times New Roman" w:eastAsia="宋体" w:cs="Times New Roman"/>
          <w:kern w:val="21"/>
          <w:highlight w:val="none"/>
          <w:lang w:eastAsia="zh-CN"/>
        </w:rPr>
        <w:t>程控卫星信号放大器</w:t>
      </w:r>
      <w:r>
        <w:rPr>
          <w:rFonts w:ascii="Times New Roman" w:hAnsi="Times New Roman" w:eastAsia="宋体" w:cs="Times New Roman"/>
          <w:kern w:val="21"/>
          <w:highlight w:val="none"/>
          <w:lang w:eastAsia="zh-CN"/>
        </w:rPr>
        <w:t>的功能、性能、结构、安装等方面的技术要求。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本招标技术文件提出的是最低限度的技术要求，并未对一切技术细节做出规定， 也未充分引述有关标准和规范的条文，投标方应提供符合本规范书和工业标准的优质产品。凡本技术条件中未规定，但在相关设备的国家标准或</w:t>
      </w:r>
      <w:r>
        <w:rPr>
          <w:rFonts w:ascii="Times New Roman" w:hAnsi="Times New Roman" w:eastAsia="Times New Roman" w:cs="Times New Roman"/>
          <w:kern w:val="21"/>
          <w:highlight w:val="none"/>
          <w:lang w:eastAsia="zh-CN"/>
        </w:rPr>
        <w:t xml:space="preserve">IEC </w:t>
      </w:r>
      <w:r>
        <w:rPr>
          <w:rFonts w:ascii="Times New Roman" w:hAnsi="Times New Roman" w:eastAsia="宋体" w:cs="Times New Roman"/>
          <w:kern w:val="21"/>
          <w:highlight w:val="none"/>
          <w:lang w:eastAsia="zh-CN"/>
        </w:rPr>
        <w:t>标准中有规定的规范条文，投标 方应按相应标准的条文进行设备设计、制造、试验和安装。对国家有关安全、环保等强制性标准，必须满足其要求。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如果投标方没有以书面形式对本招标技术文件的条文提出异议，则意味着投标方提供的设备完全符合本招标技术文件的要求。如有异议，不管是多么微小，都应在报价书中以</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对招标技术文件的意见和同招标技术文件的差异</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为标题的专门章节中加以详细描述。</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本招标技术文件所使用的标准如遇与招标方所执行的标准不一致时，按照较高标准执行。</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本技术条件书经招、投标双方确认后作为订货合同的技术附件，与合同正文具有同等法律效力。</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本招标技术文件未尽事宜，由招、投标双方协商确定。</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numPr>
          <w:ilvl w:val="1"/>
          <w:numId w:val="1"/>
        </w:numPr>
        <w:kinsoku/>
        <w:topLinePunct/>
        <w:autoSpaceDE/>
        <w:autoSpaceDN/>
        <w:spacing w:line="360" w:lineRule="auto"/>
        <w:ind w:firstLine="420" w:firstLineChars="200"/>
        <w:jc w:val="both"/>
        <w:rPr>
          <w:rFonts w:hint="eastAsia" w:eastAsia="宋体"/>
          <w:highlight w:val="none"/>
          <w:lang w:eastAsia="zh-CN"/>
        </w:rPr>
      </w:pPr>
      <w:r>
        <w:rPr>
          <w:rFonts w:ascii="Times New Roman" w:hAnsi="Times New Roman" w:eastAsia="宋体" w:cs="Times New Roman"/>
          <w:kern w:val="21"/>
          <w:highlight w:val="none"/>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numPr>
          <w:ilvl w:val="0"/>
          <w:numId w:val="0"/>
        </w:numPr>
        <w:kinsoku/>
        <w:topLinePunct/>
        <w:autoSpaceDE/>
        <w:autoSpaceDN/>
        <w:spacing w:line="360" w:lineRule="auto"/>
        <w:jc w:val="both"/>
        <w:rPr>
          <w:rFonts w:ascii="Times New Roman" w:hAnsi="Times New Roman" w:eastAsia="宋体" w:cs="Times New Roman"/>
          <w:kern w:val="21"/>
          <w:highlight w:val="none"/>
          <w:lang w:eastAsia="zh-CN"/>
        </w:rPr>
      </w:pPr>
    </w:p>
    <w:p>
      <w:pPr>
        <w:numPr>
          <w:ilvl w:val="0"/>
          <w:numId w:val="0"/>
        </w:numPr>
        <w:kinsoku/>
        <w:topLinePunct/>
        <w:autoSpaceDE/>
        <w:autoSpaceDN/>
        <w:spacing w:line="360" w:lineRule="auto"/>
        <w:jc w:val="both"/>
        <w:rPr>
          <w:rFonts w:ascii="Times New Roman" w:hAnsi="Times New Roman" w:eastAsia="宋体" w:cs="Times New Roman"/>
          <w:kern w:val="21"/>
          <w:highlight w:val="none"/>
          <w:lang w:eastAsia="zh-CN"/>
        </w:rPr>
      </w:pPr>
    </w:p>
    <w:p>
      <w:pPr>
        <w:pStyle w:val="2"/>
        <w:rPr>
          <w:rFonts w:hint="eastAsia"/>
          <w:highlight w:val="none"/>
          <w:lang w:val="en-US" w:eastAsia="zh-CN"/>
        </w:rPr>
      </w:pPr>
      <w:r>
        <w:rPr>
          <w:rFonts w:hint="eastAsia"/>
          <w:highlight w:val="none"/>
          <w:lang w:val="en-US" w:eastAsia="zh-CN"/>
        </w:rPr>
        <w:t>2</w:t>
      </w:r>
      <w:r>
        <w:rPr>
          <w:rFonts w:hint="eastAsia"/>
          <w:highlight w:val="none"/>
          <w:lang w:eastAsia="zh-CN"/>
        </w:rPr>
        <w:t xml:space="preserve">  </w:t>
      </w:r>
      <w:r>
        <w:rPr>
          <w:rFonts w:hint="eastAsia"/>
          <w:highlight w:val="none"/>
          <w:lang w:val="en-US" w:eastAsia="zh-CN"/>
        </w:rPr>
        <w:t>工作范围</w:t>
      </w:r>
    </w:p>
    <w:p>
      <w:pPr>
        <w:topLinePunct/>
        <w:autoSpaceDE/>
        <w:autoSpaceDN/>
        <w:spacing w:line="360" w:lineRule="auto"/>
        <w:outlineLvl w:val="0"/>
        <w:rPr>
          <w:rFonts w:hint="eastAsia" w:ascii="Times New Roman" w:hAnsi="Times New Roman" w:eastAsia="宋体" w:cs="Times New Roman"/>
          <w:b/>
          <w:bCs/>
          <w:kern w:val="21"/>
          <w:sz w:val="24"/>
          <w:szCs w:val="24"/>
          <w:highlight w:val="none"/>
          <w:lang w:val="en-US" w:eastAsia="zh-CN"/>
        </w:rPr>
      </w:pPr>
      <w:r>
        <w:rPr>
          <w:rFonts w:ascii="Times New Roman" w:hAnsi="Times New Roman" w:eastAsia="宋体" w:cs="Times New Roman"/>
          <w:b/>
          <w:bCs/>
          <w:kern w:val="21"/>
          <w:sz w:val="24"/>
          <w:szCs w:val="24"/>
          <w:highlight w:val="none"/>
          <w:lang w:eastAsia="zh-CN"/>
        </w:rPr>
        <w:t>2.</w:t>
      </w:r>
      <w:r>
        <w:rPr>
          <w:rFonts w:hint="eastAsia" w:ascii="Times New Roman" w:hAnsi="Times New Roman" w:eastAsia="宋体" w:cs="Times New Roman"/>
          <w:b/>
          <w:bCs/>
          <w:kern w:val="21"/>
          <w:sz w:val="24"/>
          <w:szCs w:val="24"/>
          <w:highlight w:val="none"/>
          <w:lang w:val="en-US" w:eastAsia="zh-CN"/>
        </w:rPr>
        <w:t>1</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b/>
          <w:bCs/>
          <w:kern w:val="21"/>
          <w:sz w:val="24"/>
          <w:szCs w:val="24"/>
          <w:highlight w:val="none"/>
          <w:lang w:val="en-US" w:eastAsia="zh-CN"/>
        </w:rPr>
        <w:t>项目概况</w:t>
      </w:r>
    </w:p>
    <w:p>
      <w:pPr>
        <w:topLinePunct/>
        <w:autoSpaceDE/>
        <w:autoSpaceDN/>
        <w:spacing w:line="360" w:lineRule="auto"/>
        <w:ind w:firstLine="420" w:firstLineChars="200"/>
        <w:jc w:val="both"/>
        <w:rPr>
          <w:rFonts w:hint="default"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程控卫星信号放大器</w:t>
      </w:r>
      <w:r>
        <w:rPr>
          <w:rFonts w:hint="default" w:ascii="Times New Roman" w:hAnsi="Times New Roman" w:eastAsia="宋体" w:cs="Times New Roman"/>
          <w:kern w:val="21"/>
          <w:highlight w:val="none"/>
          <w:lang w:val="en-US" w:eastAsia="zh-CN"/>
        </w:rPr>
        <w:t>，可在卫星天线信号不好或者卫星接收信号增益不匹配导致时钟频繁失步的场景下应用。通过在天线避雷器的输出馈线与时钟设备的天线输入接口处串联接入该信号放大装置，对卫星模块所处位置信号增益进行有效调节，可大幅改善当前时钟设备的运行状态。</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p>
    <w:p>
      <w:pPr>
        <w:numPr>
          <w:ilvl w:val="0"/>
          <w:numId w:val="0"/>
        </w:numPr>
        <w:kinsoku/>
        <w:topLinePunct/>
        <w:autoSpaceDE/>
        <w:autoSpaceDN/>
        <w:adjustRightInd w:val="0"/>
        <w:snapToGrid w:val="0"/>
        <w:spacing w:line="360" w:lineRule="auto"/>
        <w:jc w:val="both"/>
        <w:textAlignment w:val="baseline"/>
        <w:rPr>
          <w:rFonts w:hint="eastAsia" w:ascii="Times New Roman" w:hAnsi="Times New Roman" w:eastAsia="宋体" w:cs="Times New Roman"/>
          <w:kern w:val="21"/>
          <w:highlight w:val="none"/>
          <w:lang w:eastAsia="zh-CN"/>
        </w:rPr>
      </w:pPr>
    </w:p>
    <w:p>
      <w:pPr>
        <w:numPr>
          <w:ilvl w:val="0"/>
          <w:numId w:val="0"/>
        </w:numPr>
        <w:kinsoku/>
        <w:topLinePunct/>
        <w:autoSpaceDE/>
        <w:autoSpaceDN/>
        <w:adjustRightInd w:val="0"/>
        <w:snapToGrid w:val="0"/>
        <w:spacing w:line="360" w:lineRule="auto"/>
        <w:jc w:val="both"/>
        <w:textAlignment w:val="baseline"/>
        <w:rPr>
          <w:rFonts w:hint="eastAsia" w:ascii="Times New Roman" w:hAnsi="Times New Roman" w:eastAsia="宋体" w:cs="Times New Roman"/>
          <w:kern w:val="21"/>
          <w:highlight w:val="none"/>
          <w:lang w:eastAsia="zh-CN"/>
        </w:rPr>
        <w:sectPr>
          <w:footerReference r:id="rId7" w:type="first"/>
          <w:footerReference r:id="rId6" w:type="default"/>
          <w:pgSz w:w="11910" w:h="16850"/>
          <w:pgMar w:top="1440" w:right="1800" w:bottom="1440" w:left="1800" w:header="0" w:footer="1292" w:gutter="0"/>
          <w:pgNumType w:fmt="decimal" w:start="1"/>
          <w:cols w:space="720" w:num="1"/>
        </w:sectPr>
      </w:pPr>
    </w:p>
    <w:p>
      <w:pPr>
        <w:rPr>
          <w:highlight w:val="none"/>
          <w:lang w:eastAsia="zh-CN"/>
        </w:rPr>
      </w:pPr>
    </w:p>
    <w:p>
      <w:pPr>
        <w:topLinePunct/>
        <w:autoSpaceDE/>
        <w:autoSpaceDN/>
        <w:spacing w:line="360" w:lineRule="auto"/>
        <w:outlineLvl w:val="0"/>
        <w:rPr>
          <w:rFonts w:ascii="Times New Roman" w:hAnsi="Times New Roman" w:eastAsia="宋体" w:cs="Times New Roman"/>
          <w:kern w:val="21"/>
          <w:sz w:val="24"/>
          <w:szCs w:val="24"/>
          <w:highlight w:val="none"/>
          <w:lang w:eastAsia="zh-CN"/>
        </w:rPr>
      </w:pPr>
      <w:bookmarkStart w:id="1" w:name="_Toc18511"/>
      <w:r>
        <w:rPr>
          <w:rFonts w:ascii="Times New Roman" w:hAnsi="Times New Roman" w:eastAsia="宋体" w:cs="Times New Roman"/>
          <w:b/>
          <w:bCs/>
          <w:kern w:val="21"/>
          <w:sz w:val="24"/>
          <w:szCs w:val="24"/>
          <w:highlight w:val="none"/>
          <w:lang w:eastAsia="zh-CN"/>
        </w:rPr>
        <w:t>2.</w:t>
      </w:r>
      <w:r>
        <w:rPr>
          <w:rFonts w:hint="eastAsia" w:ascii="Times New Roman" w:hAnsi="Times New Roman" w:eastAsia="宋体" w:cs="Times New Roman"/>
          <w:b/>
          <w:bCs/>
          <w:kern w:val="21"/>
          <w:sz w:val="24"/>
          <w:szCs w:val="24"/>
          <w:highlight w:val="none"/>
          <w:lang w:val="en-US" w:eastAsia="zh-CN"/>
        </w:rPr>
        <w:t>2</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供货范围</w:t>
      </w:r>
      <w:bookmarkEnd w:id="1"/>
    </w:p>
    <w:p>
      <w:pPr>
        <w:topLinePunct/>
        <w:autoSpaceDE/>
        <w:autoSpaceDN/>
        <w:spacing w:line="360" w:lineRule="auto"/>
        <w:ind w:firstLine="420" w:firstLineChars="200"/>
        <w:jc w:val="both"/>
        <w:rPr>
          <w:rFonts w:hint="default" w:ascii="Times New Roman" w:hAnsi="Times New Roman" w:eastAsia="宋体" w:cs="Times New Roman"/>
          <w:kern w:val="21"/>
          <w:highlight w:val="none"/>
          <w:lang w:val="en-US" w:eastAsia="zh-CN"/>
        </w:rPr>
      </w:pPr>
      <w:r>
        <w:rPr>
          <w:rFonts w:ascii="Times New Roman" w:hAnsi="Times New Roman" w:eastAsia="宋体" w:cs="Times New Roman"/>
          <w:kern w:val="21"/>
          <w:highlight w:val="none"/>
          <w:lang w:eastAsia="zh-CN"/>
        </w:rPr>
        <w:t>本技术条件书要求采购的设备规范详见</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3.应遵循的主要标准</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 xml:space="preserve">。供货范围包括: </w:t>
      </w:r>
      <w:r>
        <w:rPr>
          <w:rFonts w:hint="eastAsia" w:ascii="Times New Roman" w:hAnsi="Times New Roman" w:eastAsia="宋体" w:cs="Times New Roman"/>
          <w:kern w:val="21"/>
          <w:highlight w:val="none"/>
          <w:lang w:eastAsia="zh-CN"/>
        </w:rPr>
        <w:t>1）程控卫星信号放大器</w:t>
      </w:r>
      <w:r>
        <w:rPr>
          <w:rFonts w:ascii="Times New Roman" w:hAnsi="Times New Roman" w:eastAsia="宋体" w:cs="Times New Roman"/>
          <w:kern w:val="21"/>
          <w:highlight w:val="none"/>
          <w:lang w:eastAsia="zh-CN"/>
        </w:rPr>
        <w:t>以及安装</w:t>
      </w:r>
      <w:r>
        <w:rPr>
          <w:rFonts w:hint="eastAsia" w:ascii="Times New Roman" w:hAnsi="Times New Roman" w:eastAsia="宋体" w:cs="Times New Roman"/>
          <w:kern w:val="21"/>
          <w:highlight w:val="none"/>
          <w:lang w:val="en-US" w:eastAsia="zh-CN"/>
        </w:rPr>
        <w:t>使用</w:t>
      </w:r>
      <w:r>
        <w:rPr>
          <w:rFonts w:ascii="Times New Roman" w:hAnsi="Times New Roman" w:eastAsia="宋体" w:cs="Times New Roman"/>
          <w:kern w:val="21"/>
          <w:highlight w:val="none"/>
          <w:lang w:eastAsia="zh-CN"/>
        </w:rPr>
        <w:t>附件</w:t>
      </w:r>
      <w:r>
        <w:rPr>
          <w:rFonts w:hint="eastAsia" w:ascii="Times New Roman" w:hAnsi="Times New Roman" w:eastAsia="宋体" w:cs="Times New Roman"/>
          <w:kern w:val="21"/>
          <w:highlight w:val="none"/>
          <w:lang w:eastAsia="zh-CN"/>
        </w:rPr>
        <w:t>；2）</w:t>
      </w:r>
      <w:r>
        <w:rPr>
          <w:rFonts w:ascii="Times New Roman" w:hAnsi="Times New Roman" w:eastAsia="宋体" w:cs="Times New Roman"/>
          <w:kern w:val="21"/>
          <w:highlight w:val="none"/>
          <w:lang w:eastAsia="zh-CN"/>
        </w:rPr>
        <w:t>适合长途运输的包装及保存密封装置</w:t>
      </w:r>
      <w:r>
        <w:rPr>
          <w:rFonts w:hint="eastAsia" w:ascii="Times New Roman" w:hAnsi="Times New Roman" w:eastAsia="宋体" w:cs="Times New Roman"/>
          <w:kern w:val="21"/>
          <w:highlight w:val="none"/>
          <w:lang w:val="en-US" w:eastAsia="zh-CN"/>
        </w:rPr>
        <w:t>。</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具体的供货范围详见下表:</w:t>
      </w:r>
    </w:p>
    <w:tbl>
      <w:tblPr>
        <w:tblStyle w:val="10"/>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708"/>
        <w:gridCol w:w="3356"/>
        <w:gridCol w:w="679"/>
        <w:gridCol w:w="769"/>
        <w:gridCol w:w="1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7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1708"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3356"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color w:val="auto"/>
                <w:kern w:val="21"/>
                <w:sz w:val="21"/>
                <w:szCs w:val="21"/>
                <w:highlight w:val="none"/>
              </w:rPr>
              <w:t>规格型号</w:t>
            </w:r>
          </w:p>
        </w:tc>
        <w:tc>
          <w:tcPr>
            <w:tcW w:w="67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76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1093"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8" w:hRule="atLeast"/>
        </w:trPr>
        <w:tc>
          <w:tcPr>
            <w:tcW w:w="674" w:type="dxa"/>
            <w:vAlign w:val="center"/>
          </w:tcPr>
          <w:p>
            <w:pPr>
              <w:topLinePunct/>
              <w:autoSpaceDE/>
              <w:autoSpaceDN/>
              <w:spacing w:line="360" w:lineRule="auto"/>
              <w:jc w:val="both"/>
              <w:rPr>
                <w:rFonts w:ascii="Times New Roman" w:hAnsi="Times New Roman" w:cs="Times New Roman"/>
                <w:kern w:val="21"/>
                <w:highlight w:val="none"/>
              </w:rPr>
            </w:pPr>
          </w:p>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1</w:t>
            </w:r>
          </w:p>
        </w:tc>
        <w:tc>
          <w:tcPr>
            <w:tcW w:w="1708" w:type="dxa"/>
            <w:vAlign w:val="center"/>
          </w:tcPr>
          <w:p>
            <w:pPr>
              <w:topLinePunct/>
              <w:autoSpaceDE/>
              <w:autoSpaceDN/>
              <w:spacing w:line="360" w:lineRule="auto"/>
              <w:jc w:val="center"/>
              <w:rPr>
                <w:rFonts w:ascii="Times New Roman" w:hAnsi="Times New Roman" w:eastAsia="宋体" w:cs="Times New Roman"/>
                <w:kern w:val="21"/>
                <w:highlight w:val="none"/>
                <w:lang w:eastAsia="zh-CN"/>
              </w:rPr>
            </w:pPr>
          </w:p>
          <w:p>
            <w:pPr>
              <w:topLinePunct/>
              <w:autoSpaceDE/>
              <w:autoSpaceDN/>
              <w:spacing w:line="360" w:lineRule="auto"/>
              <w:jc w:val="center"/>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程控卫星信号放大器</w:t>
            </w:r>
          </w:p>
        </w:tc>
        <w:tc>
          <w:tcPr>
            <w:tcW w:w="3356" w:type="dxa"/>
            <w:vAlign w:val="center"/>
          </w:tcPr>
          <w:p>
            <w:pPr>
              <w:pStyle w:val="11"/>
              <w:numPr>
                <w:ilvl w:val="0"/>
                <w:numId w:val="0"/>
              </w:numPr>
              <w:topLinePunct/>
              <w:autoSpaceDE/>
              <w:autoSpaceDN/>
              <w:spacing w:line="360" w:lineRule="auto"/>
              <w:jc w:val="both"/>
              <w:rPr>
                <w:rFonts w:hint="default" w:ascii="宋体" w:hAnsi="宋体" w:eastAsia="宋体" w:cs="宋体"/>
                <w:b/>
                <w:bCs/>
                <w:highlight w:val="none"/>
                <w:lang w:val="en-US" w:eastAsia="zh-CN"/>
              </w:rPr>
            </w:pPr>
            <w:r>
              <w:rPr>
                <w:rFonts w:hint="eastAsia" w:ascii="宋体" w:hAnsi="宋体" w:eastAsia="宋体" w:cs="宋体"/>
                <w:b/>
                <w:bCs/>
                <w:highlight w:val="none"/>
                <w:lang w:val="en-US" w:eastAsia="zh-CN"/>
              </w:rPr>
              <w:t>控制模块：</w:t>
            </w:r>
          </w:p>
          <w:p>
            <w:pPr>
              <w:pStyle w:val="11"/>
              <w:numPr>
                <w:ilvl w:val="0"/>
                <w:numId w:val="0"/>
              </w:numPr>
              <w:topLinePunct/>
              <w:autoSpaceDE/>
              <w:autoSpaceDN/>
              <w:spacing w:line="360" w:lineRule="auto"/>
              <w:jc w:val="both"/>
              <w:rPr>
                <w:rFonts w:hint="eastAsia"/>
                <w:highlight w:val="none"/>
                <w:lang w:val="en-US" w:eastAsia="zh-CN"/>
              </w:rPr>
            </w:pPr>
            <w:r>
              <w:rPr>
                <w:rFonts w:hint="eastAsia"/>
                <w:highlight w:val="none"/>
                <w:lang w:val="en-US" w:eastAsia="zh-CN"/>
              </w:rPr>
              <w:t>1）包括</w:t>
            </w:r>
            <w:r>
              <w:rPr>
                <w:rFonts w:hint="eastAsia" w:ascii="宋体" w:hAnsi="宋体" w:eastAsia="宋体" w:cs="宋体"/>
                <w:highlight w:val="none"/>
                <w:lang w:val="en-US" w:eastAsia="zh-CN"/>
              </w:rPr>
              <w:t>ARM硬件平台与微波信号动态范围数控增益放大器模块电路</w:t>
            </w:r>
            <w:r>
              <w:rPr>
                <w:rFonts w:hint="eastAsia"/>
                <w:highlight w:val="none"/>
                <w:lang w:val="en-US" w:eastAsia="zh-CN"/>
              </w:rPr>
              <w:t>；</w:t>
            </w:r>
          </w:p>
          <w:p>
            <w:pPr>
              <w:pStyle w:val="11"/>
              <w:numPr>
                <w:ilvl w:val="0"/>
                <w:numId w:val="0"/>
              </w:numPr>
              <w:topLinePunct/>
              <w:autoSpaceDE/>
              <w:autoSpaceDN/>
              <w:spacing w:line="360" w:lineRule="auto"/>
              <w:jc w:val="both"/>
              <w:rPr>
                <w:rFonts w:hint="eastAsia"/>
                <w:highlight w:val="none"/>
                <w:lang w:eastAsia="zh-CN"/>
              </w:rPr>
            </w:pPr>
            <w:r>
              <w:rPr>
                <w:rFonts w:hint="eastAsia"/>
                <w:highlight w:val="none"/>
                <w:lang w:val="en-US" w:eastAsia="zh-CN"/>
              </w:rPr>
              <w:t>2）卫星信</w:t>
            </w:r>
            <w:r>
              <w:rPr>
                <w:rFonts w:hint="eastAsia" w:ascii="宋体" w:hAnsi="宋体" w:eastAsia="宋体" w:cs="宋体"/>
                <w:highlight w:val="none"/>
                <w:lang w:val="en-US" w:eastAsia="zh-CN"/>
              </w:rPr>
              <w:t>号</w:t>
            </w:r>
            <w:r>
              <w:rPr>
                <w:rFonts w:hint="default" w:ascii="宋体" w:hAnsi="宋体" w:eastAsia="宋体" w:cs="宋体"/>
                <w:highlight w:val="none"/>
                <w:lang w:val="en-US" w:eastAsia="zh-CN"/>
              </w:rPr>
              <w:t>GPS L1/BD2 B1</w:t>
            </w:r>
            <w:r>
              <w:rPr>
                <w:rFonts w:hint="eastAsia" w:ascii="宋体" w:hAnsi="宋体" w:eastAsia="宋体" w:cs="宋体"/>
                <w:highlight w:val="none"/>
                <w:lang w:val="en-US" w:eastAsia="zh-CN"/>
              </w:rPr>
              <w:t>，</w:t>
            </w:r>
            <w:r>
              <w:rPr>
                <w:rFonts w:hint="eastAsia"/>
                <w:highlight w:val="none"/>
                <w:lang w:val="en-US" w:eastAsia="zh-CN"/>
              </w:rPr>
              <w:t>调节频</w:t>
            </w:r>
            <w:r>
              <w:rPr>
                <w:rFonts w:hint="eastAsia" w:ascii="宋体" w:hAnsi="宋体" w:eastAsia="宋体" w:cs="宋体"/>
                <w:highlight w:val="none"/>
                <w:lang w:val="en-US" w:eastAsia="zh-CN"/>
              </w:rPr>
              <w:t>段</w:t>
            </w:r>
            <w:r>
              <w:rPr>
                <w:rFonts w:hint="default" w:ascii="宋体" w:hAnsi="宋体" w:eastAsia="宋体" w:cs="宋体"/>
                <w:highlight w:val="none"/>
                <w:lang w:val="en-US" w:eastAsia="zh-CN"/>
              </w:rPr>
              <w:t>100MHz</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2000MHz</w:t>
            </w:r>
            <w:r>
              <w:rPr>
                <w:rFonts w:hint="eastAsia"/>
                <w:highlight w:val="none"/>
                <w:lang w:eastAsia="zh-CN"/>
              </w:rPr>
              <w:t>；</w:t>
            </w:r>
          </w:p>
          <w:p>
            <w:pPr>
              <w:pStyle w:val="11"/>
              <w:numPr>
                <w:ilvl w:val="0"/>
                <w:numId w:val="0"/>
              </w:numPr>
              <w:topLinePunct/>
              <w:autoSpaceDE/>
              <w:autoSpaceDN/>
              <w:spacing w:line="360" w:lineRule="auto"/>
              <w:jc w:val="both"/>
              <w:rPr>
                <w:rFonts w:hint="eastAsia"/>
                <w:highlight w:val="none"/>
                <w:lang w:eastAsia="zh-CN"/>
              </w:rPr>
            </w:pPr>
            <w:r>
              <w:rPr>
                <w:rFonts w:hint="eastAsia"/>
                <w:highlight w:val="none"/>
                <w:lang w:val="en-US" w:eastAsia="zh-CN"/>
              </w:rPr>
              <w:t>3）具</w:t>
            </w:r>
            <w:r>
              <w:rPr>
                <w:rFonts w:hint="eastAsia" w:ascii="Times New Roman" w:hAnsi="Times New Roman" w:eastAsia="宋体" w:cs="Times New Roman"/>
                <w:kern w:val="2"/>
                <w:sz w:val="21"/>
                <w:szCs w:val="24"/>
                <w:lang w:val="en-US" w:eastAsia="zh-CN" w:bidi="ar"/>
              </w:rPr>
              <w:t>有</w:t>
            </w:r>
            <w:r>
              <w:rPr>
                <w:rFonts w:hint="default" w:ascii="Times New Roman" w:hAnsi="Times New Roman" w:eastAsia="宋体" w:cs="Times New Roman"/>
                <w:kern w:val="2"/>
                <w:sz w:val="21"/>
                <w:szCs w:val="24"/>
                <w:lang w:val="en-US" w:eastAsia="zh-CN" w:bidi="ar"/>
              </w:rPr>
              <w:t>2</w:t>
            </w:r>
            <w:r>
              <w:rPr>
                <w:rFonts w:hint="eastAsia" w:ascii="Times New Roman" w:hAnsi="Times New Roman" w:eastAsia="宋体" w:cs="Times New Roman"/>
                <w:kern w:val="2"/>
                <w:sz w:val="21"/>
                <w:szCs w:val="24"/>
                <w:lang w:val="en-US" w:eastAsia="zh-CN" w:bidi="ar"/>
              </w:rPr>
              <w:t>路</w:t>
            </w:r>
            <w:r>
              <w:rPr>
                <w:rFonts w:hint="default" w:ascii="Times New Roman" w:hAnsi="Times New Roman" w:eastAsia="宋体" w:cs="Times New Roman"/>
                <w:kern w:val="2"/>
                <w:sz w:val="21"/>
                <w:szCs w:val="24"/>
                <w:lang w:val="en-US" w:eastAsia="zh-CN" w:bidi="ar"/>
              </w:rPr>
              <w:t>BNC</w:t>
            </w:r>
            <w:r>
              <w:rPr>
                <w:rFonts w:hint="eastAsia" w:ascii="Times New Roman" w:hAnsi="Times New Roman" w:eastAsia="宋体" w:cs="Times New Roman"/>
                <w:kern w:val="2"/>
                <w:sz w:val="21"/>
                <w:szCs w:val="24"/>
                <w:lang w:val="en-US" w:eastAsia="zh-CN" w:bidi="ar"/>
              </w:rPr>
              <w:t>（母头）天线输入接口、</w:t>
            </w:r>
            <w:r>
              <w:rPr>
                <w:rFonts w:hint="default" w:ascii="Times New Roman" w:hAnsi="Times New Roman" w:eastAsia="宋体" w:cs="Times New Roman"/>
                <w:kern w:val="2"/>
                <w:sz w:val="21"/>
                <w:szCs w:val="24"/>
                <w:lang w:val="en-US" w:eastAsia="zh-CN" w:bidi="ar"/>
              </w:rPr>
              <w:t>2</w:t>
            </w:r>
            <w:r>
              <w:rPr>
                <w:rFonts w:hint="eastAsia" w:ascii="Times New Roman" w:hAnsi="Times New Roman" w:eastAsia="宋体" w:cs="Times New Roman"/>
                <w:kern w:val="2"/>
                <w:sz w:val="21"/>
                <w:szCs w:val="24"/>
                <w:lang w:val="en-US" w:eastAsia="zh-CN" w:bidi="ar"/>
              </w:rPr>
              <w:t>路</w:t>
            </w:r>
            <w:r>
              <w:rPr>
                <w:rFonts w:hint="default" w:ascii="Times New Roman" w:hAnsi="Times New Roman" w:eastAsia="宋体" w:cs="Times New Roman"/>
                <w:kern w:val="2"/>
                <w:sz w:val="21"/>
                <w:szCs w:val="24"/>
                <w:lang w:val="en-US" w:eastAsia="zh-CN" w:bidi="ar"/>
              </w:rPr>
              <w:t>BNC</w:t>
            </w:r>
            <w:r>
              <w:rPr>
                <w:rFonts w:hint="eastAsia" w:ascii="Times New Roman" w:hAnsi="Times New Roman" w:eastAsia="宋体" w:cs="Times New Roman"/>
                <w:kern w:val="2"/>
                <w:sz w:val="21"/>
                <w:szCs w:val="24"/>
                <w:lang w:val="en-US" w:eastAsia="zh-CN" w:bidi="ar"/>
              </w:rPr>
              <w:t>（公头）天线输出接口</w:t>
            </w:r>
            <w:r>
              <w:rPr>
                <w:rFonts w:hint="eastAsia"/>
                <w:highlight w:val="none"/>
                <w:lang w:eastAsia="zh-CN"/>
              </w:rPr>
              <w:t>；</w:t>
            </w:r>
          </w:p>
          <w:p>
            <w:pPr>
              <w:pStyle w:val="11"/>
              <w:numPr>
                <w:ilvl w:val="0"/>
                <w:numId w:val="0"/>
              </w:numPr>
              <w:topLinePunct/>
              <w:autoSpaceDE/>
              <w:autoSpaceDN/>
              <w:spacing w:line="360" w:lineRule="auto"/>
              <w:jc w:val="both"/>
              <w:rPr>
                <w:rFonts w:hint="default"/>
                <w:highlight w:val="none"/>
                <w:lang w:val="en-US" w:eastAsia="zh-CN"/>
              </w:rPr>
            </w:pPr>
            <w:r>
              <w:rPr>
                <w:rFonts w:hint="eastAsia"/>
                <w:highlight w:val="none"/>
                <w:lang w:val="en-US" w:eastAsia="zh-CN"/>
              </w:rPr>
              <w:t>4）需要与避雷器配合，安装于避雷器装置侧使用。</w:t>
            </w:r>
          </w:p>
          <w:p>
            <w:pPr>
              <w:pStyle w:val="11"/>
              <w:numPr>
                <w:ilvl w:val="0"/>
                <w:numId w:val="0"/>
              </w:numPr>
              <w:topLinePunct/>
              <w:autoSpaceDE/>
              <w:autoSpaceDN/>
              <w:spacing w:line="360" w:lineRule="auto"/>
              <w:jc w:val="both"/>
              <w:rPr>
                <w:rFonts w:hint="eastAsia"/>
                <w:highlight w:val="none"/>
                <w:lang w:eastAsia="zh-CN"/>
              </w:rPr>
            </w:pPr>
            <w:r>
              <w:rPr>
                <w:rFonts w:hint="eastAsia"/>
                <w:highlight w:val="none"/>
                <w:lang w:val="en-US" w:eastAsia="zh-CN"/>
              </w:rPr>
              <w:t>5）射频增益</w:t>
            </w:r>
            <w:r>
              <w:rPr>
                <w:rFonts w:hint="eastAsia" w:ascii="Times New Roman" w:hAnsi="Times New Roman" w:eastAsia="宋体" w:cs="Times New Roman"/>
                <w:kern w:val="2"/>
                <w:sz w:val="21"/>
                <w:szCs w:val="24"/>
                <w:lang w:val="en-US" w:eastAsia="zh-CN" w:bidi="ar"/>
              </w:rPr>
              <w:t>：</w:t>
            </w:r>
            <w:r>
              <w:rPr>
                <w:rFonts w:hint="default" w:ascii="Times New Roman" w:hAnsi="Times New Roman" w:eastAsia="宋体" w:cs="Times New Roman"/>
                <w:kern w:val="2"/>
                <w:sz w:val="21"/>
                <w:szCs w:val="24"/>
                <w:lang w:val="en-US" w:eastAsia="zh-CN" w:bidi="ar"/>
              </w:rPr>
              <w:t>-20 ~ 40 dB</w:t>
            </w:r>
            <w:r>
              <w:rPr>
                <w:rFonts w:hint="eastAsia" w:ascii="Times New Roman" w:hAnsi="Times New Roman" w:eastAsia="宋体" w:cs="Times New Roman"/>
                <w:kern w:val="2"/>
                <w:sz w:val="21"/>
                <w:szCs w:val="24"/>
                <w:lang w:val="en-US" w:eastAsia="zh-CN" w:bidi="ar"/>
              </w:rPr>
              <w:t>可调</w:t>
            </w:r>
            <w:r>
              <w:rPr>
                <w:rFonts w:hint="eastAsia"/>
                <w:highlight w:val="none"/>
                <w:lang w:eastAsia="zh-CN"/>
              </w:rPr>
              <w:t>。</w:t>
            </w:r>
          </w:p>
          <w:p>
            <w:pPr>
              <w:pStyle w:val="11"/>
              <w:numPr>
                <w:ilvl w:val="0"/>
                <w:numId w:val="0"/>
              </w:numPr>
              <w:topLinePunct/>
              <w:autoSpaceDE/>
              <w:autoSpaceDN/>
              <w:spacing w:line="360" w:lineRule="auto"/>
              <w:jc w:val="both"/>
              <w:rPr>
                <w:rFonts w:hint="eastAsia"/>
                <w:b/>
                <w:bCs/>
                <w:highlight w:val="none"/>
                <w:lang w:val="en-US" w:eastAsia="zh-CN"/>
              </w:rPr>
            </w:pPr>
            <w:r>
              <w:rPr>
                <w:rFonts w:hint="eastAsia" w:ascii="宋体" w:hAnsi="宋体" w:eastAsia="宋体" w:cs="宋体"/>
                <w:b/>
                <w:bCs/>
                <w:highlight w:val="none"/>
                <w:lang w:val="en-US" w:eastAsia="zh-CN"/>
              </w:rPr>
              <w:t>外部程控接口</w:t>
            </w:r>
            <w:r>
              <w:rPr>
                <w:rFonts w:hint="eastAsia"/>
                <w:b/>
                <w:bCs/>
                <w:highlight w:val="none"/>
                <w:lang w:val="en-US" w:eastAsia="zh-CN"/>
              </w:rPr>
              <w:t>：</w:t>
            </w:r>
          </w:p>
          <w:p>
            <w:pPr>
              <w:pStyle w:val="11"/>
              <w:numPr>
                <w:ilvl w:val="0"/>
                <w:numId w:val="2"/>
              </w:numPr>
              <w:topLinePunct/>
              <w:autoSpaceDE/>
              <w:autoSpaceDN/>
              <w:spacing w:line="360" w:lineRule="auto"/>
              <w:jc w:val="both"/>
              <w:rPr>
                <w:rFonts w:hint="eastAsia"/>
                <w:highlight w:val="none"/>
                <w:lang w:val="en-US" w:eastAsia="zh-CN"/>
              </w:rPr>
            </w:pPr>
            <w:r>
              <w:rPr>
                <w:rFonts w:hint="eastAsia" w:ascii="Times New Roman" w:hAnsi="Times New Roman" w:cs="Times New Roman"/>
                <w:kern w:val="2"/>
                <w:sz w:val="21"/>
                <w:szCs w:val="24"/>
                <w:lang w:val="en-US" w:eastAsia="zh-CN" w:bidi="ar"/>
              </w:rPr>
              <w:t>3寸或以上</w:t>
            </w:r>
            <w:r>
              <w:rPr>
                <w:rFonts w:hint="default" w:ascii="Times New Roman" w:hAnsi="Times New Roman" w:eastAsia="宋体" w:cs="Times New Roman"/>
                <w:kern w:val="2"/>
                <w:sz w:val="21"/>
                <w:szCs w:val="24"/>
                <w:lang w:val="en-US" w:eastAsia="zh-CN" w:bidi="ar"/>
              </w:rPr>
              <w:t>OLED</w:t>
            </w:r>
            <w:r>
              <w:rPr>
                <w:rFonts w:hint="eastAsia" w:ascii="Times New Roman" w:hAnsi="Times New Roman" w:eastAsia="宋体" w:cs="Times New Roman"/>
                <w:kern w:val="2"/>
                <w:sz w:val="21"/>
                <w:szCs w:val="24"/>
                <w:lang w:val="en-US" w:eastAsia="zh-CN" w:bidi="ar"/>
              </w:rPr>
              <w:t>液晶屏</w:t>
            </w:r>
            <w:r>
              <w:rPr>
                <w:rFonts w:hint="default" w:ascii="Times New Roman" w:hAnsi="Times New Roman" w:eastAsia="宋体" w:cs="Times New Roman"/>
                <w:kern w:val="2"/>
                <w:sz w:val="21"/>
                <w:szCs w:val="24"/>
                <w:lang w:val="en-US" w:eastAsia="zh-CN" w:bidi="ar"/>
              </w:rPr>
              <w:t xml:space="preserve"> + 6</w:t>
            </w:r>
            <w:r>
              <w:rPr>
                <w:rFonts w:hint="eastAsia" w:ascii="Times New Roman" w:hAnsi="Times New Roman" w:eastAsia="宋体" w:cs="Times New Roman"/>
                <w:kern w:val="2"/>
                <w:sz w:val="21"/>
                <w:szCs w:val="24"/>
                <w:lang w:val="en-US" w:eastAsia="zh-CN" w:bidi="ar"/>
              </w:rPr>
              <w:t>键按钮</w:t>
            </w:r>
            <w:r>
              <w:rPr>
                <w:rFonts w:hint="eastAsia"/>
                <w:highlight w:val="none"/>
                <w:lang w:val="en-US" w:eastAsia="zh-CN"/>
              </w:rPr>
              <w:t>；（具备不操作时熄屏功能）</w:t>
            </w:r>
          </w:p>
          <w:p>
            <w:pPr>
              <w:pStyle w:val="11"/>
              <w:numPr>
                <w:ilvl w:val="0"/>
                <w:numId w:val="2"/>
              </w:numPr>
              <w:topLinePunct/>
              <w:autoSpaceDE/>
              <w:autoSpaceDN/>
              <w:spacing w:line="360" w:lineRule="auto"/>
              <w:jc w:val="both"/>
              <w:rPr>
                <w:rFonts w:hint="default"/>
                <w:highlight w:val="none"/>
                <w:lang w:val="en-US" w:eastAsia="zh-CN"/>
              </w:rPr>
            </w:pPr>
            <w:r>
              <w:rPr>
                <w:rFonts w:hint="eastAsia" w:ascii="Times New Roman" w:hAnsi="Times New Roman" w:cs="Times New Roman"/>
                <w:kern w:val="2"/>
                <w:sz w:val="21"/>
                <w:szCs w:val="24"/>
                <w:lang w:val="en-US" w:eastAsia="zh-CN" w:bidi="ar"/>
              </w:rPr>
              <w:t>具备</w:t>
            </w:r>
            <w:r>
              <w:rPr>
                <w:rFonts w:hint="eastAsia" w:ascii="Times New Roman" w:hAnsi="Times New Roman" w:eastAsia="宋体" w:cs="Times New Roman"/>
                <w:kern w:val="2"/>
                <w:sz w:val="21"/>
                <w:szCs w:val="24"/>
                <w:lang w:val="en-US" w:eastAsia="zh-CN" w:bidi="ar"/>
              </w:rPr>
              <w:t>面板指示灯</w:t>
            </w:r>
            <w:r>
              <w:rPr>
                <w:rFonts w:hint="eastAsia" w:ascii="Times New Roman" w:hAnsi="Times New Roman" w:cs="Times New Roman"/>
                <w:kern w:val="2"/>
                <w:sz w:val="21"/>
                <w:szCs w:val="24"/>
                <w:lang w:val="en-US" w:eastAsia="zh-CN" w:bidi="ar"/>
              </w:rPr>
              <w:t>、</w:t>
            </w:r>
            <w:r>
              <w:rPr>
                <w:rFonts w:hint="eastAsia" w:ascii="Times New Roman" w:hAnsi="Times New Roman" w:eastAsia="宋体" w:cs="Times New Roman"/>
                <w:kern w:val="2"/>
                <w:sz w:val="21"/>
                <w:szCs w:val="24"/>
                <w:lang w:val="en-US" w:eastAsia="zh-CN" w:bidi="ar"/>
              </w:rPr>
              <w:t>设备开关</w:t>
            </w:r>
            <w:r>
              <w:rPr>
                <w:rFonts w:hint="eastAsia" w:ascii="Times New Roman" w:hAnsi="Times New Roman" w:cs="Times New Roman"/>
                <w:kern w:val="2"/>
                <w:sz w:val="21"/>
                <w:szCs w:val="24"/>
                <w:lang w:val="en-US" w:eastAsia="zh-CN" w:bidi="ar"/>
              </w:rPr>
              <w:t>实现人机交互；</w:t>
            </w:r>
          </w:p>
          <w:p>
            <w:pPr>
              <w:pStyle w:val="11"/>
              <w:numPr>
                <w:ilvl w:val="0"/>
                <w:numId w:val="2"/>
              </w:numPr>
              <w:topLinePunct/>
              <w:autoSpaceDE/>
              <w:autoSpaceDN/>
              <w:spacing w:line="360" w:lineRule="auto"/>
              <w:jc w:val="both"/>
              <w:rPr>
                <w:rFonts w:hint="default"/>
                <w:highlight w:val="none"/>
                <w:lang w:val="en-US" w:eastAsia="zh-CN"/>
              </w:rPr>
            </w:pPr>
            <w:r>
              <w:rPr>
                <w:rFonts w:hint="eastAsia" w:ascii="Times New Roman" w:hAnsi="Times New Roman" w:cs="Times New Roman"/>
                <w:kern w:val="2"/>
                <w:sz w:val="21"/>
                <w:szCs w:val="24"/>
                <w:lang w:val="en-US" w:eastAsia="zh-CN" w:bidi="ar"/>
              </w:rPr>
              <w:t>外壳应有采用内部或外部接地防漏电。</w:t>
            </w:r>
          </w:p>
          <w:p>
            <w:pPr>
              <w:pStyle w:val="11"/>
              <w:numPr>
                <w:ilvl w:val="0"/>
                <w:numId w:val="0"/>
              </w:numPr>
              <w:topLinePunct/>
              <w:autoSpaceDE/>
              <w:autoSpaceDN/>
              <w:spacing w:line="360" w:lineRule="auto"/>
              <w:jc w:val="both"/>
              <w:rPr>
                <w:rFonts w:hint="eastAsia" w:ascii="Times New Roman" w:hAnsi="Times New Roman" w:cs="Times New Roman"/>
                <w:kern w:val="2"/>
                <w:sz w:val="21"/>
                <w:szCs w:val="24"/>
                <w:lang w:val="en-US" w:eastAsia="zh-CN" w:bidi="ar"/>
              </w:rPr>
            </w:pPr>
            <w:r>
              <w:rPr>
                <w:rFonts w:hint="eastAsia" w:ascii="Times New Roman" w:hAnsi="Times New Roman" w:cs="Times New Roman"/>
                <w:b/>
                <w:bCs/>
                <w:kern w:val="2"/>
                <w:sz w:val="21"/>
                <w:szCs w:val="24"/>
                <w:lang w:val="en-US" w:eastAsia="zh-CN" w:bidi="ar"/>
              </w:rPr>
              <w:t>电源模块</w:t>
            </w:r>
            <w:r>
              <w:rPr>
                <w:rFonts w:hint="eastAsia" w:ascii="Times New Roman" w:hAnsi="Times New Roman" w:cs="Times New Roman"/>
                <w:kern w:val="2"/>
                <w:sz w:val="21"/>
                <w:szCs w:val="24"/>
                <w:lang w:val="en-US" w:eastAsia="zh-CN" w:bidi="ar"/>
              </w:rPr>
              <w:t>：</w:t>
            </w:r>
          </w:p>
          <w:p>
            <w:pPr>
              <w:pStyle w:val="11"/>
              <w:numPr>
                <w:ilvl w:val="0"/>
                <w:numId w:val="0"/>
              </w:numPr>
              <w:topLinePunct/>
              <w:autoSpaceDE/>
              <w:autoSpaceDN/>
              <w:spacing w:line="360" w:lineRule="auto"/>
              <w:jc w:val="both"/>
              <w:rPr>
                <w:rFonts w:hint="default"/>
                <w:highlight w:val="none"/>
                <w:lang w:val="en-US" w:eastAsia="zh-CN"/>
              </w:rPr>
            </w:pPr>
            <w:r>
              <w:rPr>
                <w:rFonts w:hint="eastAsia" w:ascii="Times New Roman" w:hAnsi="Times New Roman" w:cs="Times New Roman"/>
                <w:kern w:val="2"/>
                <w:sz w:val="21"/>
                <w:szCs w:val="24"/>
                <w:lang w:val="en-US" w:eastAsia="zh-CN" w:bidi="ar"/>
              </w:rPr>
              <w:t>交流电源</w:t>
            </w:r>
            <w:r>
              <w:rPr>
                <w:rFonts w:hint="default" w:ascii="Times New Roman" w:hAnsi="Times New Roman" w:eastAsia="宋体" w:cs="Times New Roman"/>
                <w:kern w:val="2"/>
                <w:sz w:val="21"/>
                <w:szCs w:val="24"/>
                <w:lang w:val="en-US" w:eastAsia="zh-CN" w:bidi="ar"/>
              </w:rPr>
              <w:t>AC</w:t>
            </w:r>
            <w:r>
              <w:rPr>
                <w:rFonts w:hint="eastAsia" w:ascii="Times New Roman" w:hAnsi="Times New Roman" w:cs="Times New Roman"/>
                <w:kern w:val="2"/>
                <w:sz w:val="21"/>
                <w:szCs w:val="24"/>
                <w:lang w:val="en-US" w:eastAsia="zh-CN" w:bidi="ar"/>
              </w:rPr>
              <w:t>：</w:t>
            </w:r>
            <w:r>
              <w:rPr>
                <w:rFonts w:hint="default" w:ascii="Times New Roman" w:hAnsi="Times New Roman" w:eastAsia="宋体" w:cs="Times New Roman"/>
                <w:kern w:val="2"/>
                <w:sz w:val="21"/>
                <w:szCs w:val="24"/>
                <w:lang w:val="en-US" w:eastAsia="zh-CN" w:bidi="ar"/>
              </w:rPr>
              <w:t xml:space="preserve"> 220V</w:t>
            </w:r>
            <w:r>
              <w:rPr>
                <w:rFonts w:hint="eastAsia"/>
                <w:highlight w:val="none"/>
                <w:lang w:val="en-US" w:eastAsia="zh-CN"/>
              </w:rPr>
              <w:t>。电源线可以以拔插更换。</w:t>
            </w:r>
          </w:p>
          <w:p>
            <w:pPr>
              <w:pStyle w:val="11"/>
              <w:numPr>
                <w:ilvl w:val="0"/>
                <w:numId w:val="0"/>
              </w:numPr>
              <w:topLinePunct/>
              <w:autoSpaceDE/>
              <w:autoSpaceDN/>
              <w:spacing w:line="360" w:lineRule="auto"/>
              <w:jc w:val="both"/>
              <w:rPr>
                <w:rFonts w:ascii="Times New Roman" w:hAnsi="Times New Roman" w:eastAsia="宋体" w:cs="Times New Roman"/>
                <w:kern w:val="21"/>
                <w:highlight w:val="none"/>
                <w:lang w:eastAsia="zh-CN"/>
              </w:rPr>
            </w:pPr>
            <w:r>
              <w:rPr>
                <w:rFonts w:hint="eastAsia"/>
                <w:b/>
                <w:bCs/>
                <w:highlight w:val="none"/>
                <w:lang w:val="en-US" w:eastAsia="zh-CN"/>
              </w:rPr>
              <w:t>工作温度：</w:t>
            </w:r>
            <w:r>
              <w:rPr>
                <w:rFonts w:ascii="Times New Roman" w:hAnsi="Times New Roman" w:eastAsia="宋体" w:cs="Times New Roman"/>
                <w:kern w:val="21"/>
                <w:highlight w:val="none"/>
                <w:lang w:eastAsia="zh-CN"/>
              </w:rPr>
              <w:t>户内设备</w:t>
            </w:r>
            <w:r>
              <w:rPr>
                <w:rFonts w:hint="eastAsia" w:ascii="Times New Roman" w:hAnsi="Times New Roman" w:eastAsia="宋体" w:cs="Times New Roman"/>
                <w:kern w:val="21"/>
                <w:highlight w:val="none"/>
                <w:lang w:val="en-US" w:eastAsia="zh-CN"/>
              </w:rPr>
              <w:t>-10</w:t>
            </w:r>
            <w:r>
              <w:rPr>
                <w:rFonts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6</w:t>
            </w:r>
            <w:r>
              <w:rPr>
                <w:rFonts w:ascii="Times New Roman" w:hAnsi="Times New Roman" w:eastAsia="宋体" w:cs="Times New Roman"/>
                <w:kern w:val="21"/>
                <w:highlight w:val="none"/>
                <w:lang w:eastAsia="zh-CN"/>
              </w:rPr>
              <w:t>5℃</w:t>
            </w:r>
          </w:p>
          <w:p>
            <w:pPr>
              <w:pStyle w:val="11"/>
              <w:numPr>
                <w:ilvl w:val="0"/>
                <w:numId w:val="0"/>
              </w:numPr>
              <w:topLinePunct/>
              <w:autoSpaceDE/>
              <w:autoSpaceDN/>
              <w:spacing w:line="360" w:lineRule="auto"/>
              <w:jc w:val="both"/>
              <w:rPr>
                <w:rFonts w:hint="default" w:ascii="Times New Roman" w:hAnsi="Times New Roman" w:eastAsia="宋体" w:cs="Times New Roman"/>
                <w:kern w:val="21"/>
                <w:highlight w:val="none"/>
                <w:lang w:val="en-US" w:eastAsia="zh-CN"/>
              </w:rPr>
            </w:pPr>
            <w:r>
              <w:rPr>
                <w:rFonts w:hint="eastAsia" w:ascii="Times New Roman" w:hAnsi="Times New Roman" w:cs="Times New Roman"/>
                <w:b/>
                <w:bCs/>
                <w:kern w:val="21"/>
                <w:highlight w:val="none"/>
                <w:lang w:val="en-US" w:eastAsia="zh-CN"/>
              </w:rPr>
              <w:t>包装</w:t>
            </w:r>
            <w:r>
              <w:rPr>
                <w:rFonts w:hint="eastAsia" w:ascii="Times New Roman" w:hAnsi="Times New Roman" w:cs="Times New Roman"/>
                <w:b/>
                <w:bCs/>
                <w:kern w:val="21"/>
                <w:highlight w:val="none"/>
                <w:lang w:val="en-US" w:eastAsia="zh-CN"/>
              </w:rPr>
              <w:t>：</w:t>
            </w:r>
            <w:r>
              <w:rPr>
                <w:rFonts w:hint="eastAsia" w:ascii="Times New Roman" w:hAnsi="Times New Roman" w:cs="Times New Roman"/>
                <w:b w:val="0"/>
                <w:bCs w:val="0"/>
                <w:kern w:val="21"/>
                <w:highlight w:val="none"/>
                <w:lang w:val="en-US" w:eastAsia="zh-CN"/>
              </w:rPr>
              <w:t>仪器需要有专用箱体</w:t>
            </w:r>
            <w:r>
              <w:rPr>
                <w:rFonts w:hint="eastAsia" w:ascii="Times New Roman" w:hAnsi="Times New Roman" w:cs="Times New Roman"/>
                <w:b/>
                <w:bCs/>
                <w:kern w:val="21"/>
                <w:highlight w:val="none"/>
                <w:lang w:val="en-US" w:eastAsia="zh-CN"/>
              </w:rPr>
              <w:t>。</w:t>
            </w:r>
          </w:p>
        </w:tc>
        <w:tc>
          <w:tcPr>
            <w:tcW w:w="67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套</w:t>
            </w:r>
          </w:p>
        </w:tc>
        <w:tc>
          <w:tcPr>
            <w:tcW w:w="76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1</w:t>
            </w: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674" w:type="dxa"/>
            <w:vAlign w:val="center"/>
          </w:tcPr>
          <w:p>
            <w:pPr>
              <w:pStyle w:val="11"/>
              <w:topLinePunct/>
              <w:autoSpaceDE/>
              <w:autoSpaceDN/>
              <w:spacing w:line="360" w:lineRule="auto"/>
              <w:jc w:val="center"/>
              <w:rPr>
                <w:rFonts w:hint="default" w:ascii="Times New Roman" w:hAnsi="Times New Roman" w:eastAsia="宋体" w:cs="Times New Roman"/>
                <w:kern w:val="21"/>
                <w:sz w:val="21"/>
                <w:szCs w:val="21"/>
                <w:highlight w:val="none"/>
                <w:lang w:val="en-US" w:eastAsia="zh-CN"/>
              </w:rPr>
            </w:pPr>
            <w:r>
              <w:rPr>
                <w:rFonts w:hint="eastAsia" w:ascii="Times New Roman" w:hAnsi="Times New Roman" w:cs="Times New Roman"/>
                <w:kern w:val="21"/>
                <w:sz w:val="21"/>
                <w:szCs w:val="21"/>
                <w:highlight w:val="none"/>
                <w:lang w:val="en-US" w:eastAsia="zh-CN"/>
              </w:rPr>
              <w:t>2</w:t>
            </w:r>
          </w:p>
        </w:tc>
        <w:tc>
          <w:tcPr>
            <w:tcW w:w="1708"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其他</w:t>
            </w:r>
          </w:p>
        </w:tc>
        <w:tc>
          <w:tcPr>
            <w:tcW w:w="3356" w:type="dxa"/>
            <w:vAlign w:val="center"/>
          </w:tcPr>
          <w:p>
            <w:pPr>
              <w:topLinePunct/>
              <w:autoSpaceDE/>
              <w:autoSpaceDN/>
              <w:spacing w:line="360" w:lineRule="auto"/>
              <w:jc w:val="center"/>
              <w:rPr>
                <w:rFonts w:ascii="Times New Roman" w:hAnsi="Times New Roman" w:cs="Times New Roman"/>
                <w:kern w:val="21"/>
                <w:highlight w:val="none"/>
              </w:rPr>
            </w:pPr>
          </w:p>
        </w:tc>
        <w:tc>
          <w:tcPr>
            <w:tcW w:w="679" w:type="dxa"/>
            <w:vAlign w:val="center"/>
          </w:tcPr>
          <w:p>
            <w:pPr>
              <w:topLinePunct/>
              <w:autoSpaceDE/>
              <w:autoSpaceDN/>
              <w:spacing w:line="360" w:lineRule="auto"/>
              <w:jc w:val="center"/>
              <w:rPr>
                <w:rFonts w:ascii="Times New Roman" w:hAnsi="Times New Roman" w:cs="Times New Roman"/>
                <w:kern w:val="21"/>
                <w:highlight w:val="none"/>
              </w:rPr>
            </w:pPr>
          </w:p>
        </w:tc>
        <w:tc>
          <w:tcPr>
            <w:tcW w:w="769" w:type="dxa"/>
            <w:vAlign w:val="center"/>
          </w:tcPr>
          <w:p>
            <w:pPr>
              <w:topLinePunct/>
              <w:autoSpaceDE/>
              <w:autoSpaceDN/>
              <w:spacing w:line="360" w:lineRule="auto"/>
              <w:jc w:val="center"/>
              <w:rPr>
                <w:rFonts w:ascii="Times New Roman" w:hAnsi="Times New Roman" w:cs="Times New Roman"/>
                <w:kern w:val="21"/>
                <w:highlight w:val="none"/>
              </w:rPr>
            </w:pP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7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hint="eastAsia" w:ascii="Times New Roman" w:hAnsi="Times New Roman" w:cs="Times New Roman"/>
                <w:kern w:val="21"/>
                <w:sz w:val="21"/>
                <w:szCs w:val="21"/>
                <w:highlight w:val="none"/>
                <w:lang w:val="en-US" w:eastAsia="zh-CN"/>
              </w:rPr>
              <w:t>2</w:t>
            </w:r>
            <w:r>
              <w:rPr>
                <w:rFonts w:ascii="Times New Roman" w:hAnsi="Times New Roman" w:cs="Times New Roman"/>
                <w:kern w:val="21"/>
                <w:sz w:val="21"/>
                <w:szCs w:val="21"/>
                <w:highlight w:val="none"/>
              </w:rPr>
              <w:t>.1</w:t>
            </w:r>
          </w:p>
        </w:tc>
        <w:tc>
          <w:tcPr>
            <w:tcW w:w="1708"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安装、调试</w:t>
            </w:r>
          </w:p>
        </w:tc>
        <w:tc>
          <w:tcPr>
            <w:tcW w:w="3356" w:type="dxa"/>
            <w:vAlign w:val="center"/>
          </w:tcPr>
          <w:p>
            <w:pPr>
              <w:topLinePunct/>
              <w:autoSpaceDE/>
              <w:autoSpaceDN/>
              <w:spacing w:line="360" w:lineRule="auto"/>
              <w:jc w:val="center"/>
              <w:rPr>
                <w:rFonts w:ascii="Times New Roman" w:hAnsi="Times New Roman" w:cs="Times New Roman"/>
                <w:kern w:val="21"/>
                <w:highlight w:val="none"/>
              </w:rPr>
            </w:pPr>
          </w:p>
        </w:tc>
        <w:tc>
          <w:tcPr>
            <w:tcW w:w="67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套</w:t>
            </w:r>
          </w:p>
        </w:tc>
        <w:tc>
          <w:tcPr>
            <w:tcW w:w="76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1</w:t>
            </w: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bl>
    <w:p>
      <w:pPr>
        <w:pStyle w:val="4"/>
        <w:topLinePunct/>
        <w:autoSpaceDE/>
        <w:autoSpaceDN/>
        <w:spacing w:line="360" w:lineRule="auto"/>
        <w:rPr>
          <w:rFonts w:ascii="Times New Roman" w:hAnsi="Times New Roman" w:cs="Times New Roman"/>
          <w:kern w:val="21"/>
          <w:highlight w:val="none"/>
        </w:rPr>
      </w:pPr>
    </w:p>
    <w:p>
      <w:pPr>
        <w:topLinePunct/>
        <w:autoSpaceDE/>
        <w:autoSpaceDN/>
        <w:spacing w:line="360" w:lineRule="auto"/>
        <w:outlineLvl w:val="0"/>
        <w:rPr>
          <w:rFonts w:ascii="Times New Roman" w:hAnsi="Times New Roman" w:eastAsia="宋体" w:cs="Times New Roman"/>
          <w:b/>
          <w:bCs/>
          <w:kern w:val="21"/>
          <w:sz w:val="24"/>
          <w:szCs w:val="24"/>
          <w:highlight w:val="none"/>
        </w:rPr>
      </w:pPr>
      <w:bookmarkStart w:id="2" w:name="_Toc8467"/>
      <w:r>
        <w:rPr>
          <w:rFonts w:ascii="Times New Roman" w:hAnsi="Times New Roman" w:eastAsia="宋体" w:cs="Times New Roman"/>
          <w:b/>
          <w:bCs/>
          <w:kern w:val="21"/>
          <w:sz w:val="24"/>
          <w:szCs w:val="24"/>
          <w:highlight w:val="none"/>
        </w:rPr>
        <w:t>2.</w:t>
      </w:r>
      <w:r>
        <w:rPr>
          <w:rFonts w:hint="eastAsia" w:ascii="Times New Roman" w:hAnsi="Times New Roman" w:eastAsia="宋体" w:cs="Times New Roman"/>
          <w:b/>
          <w:bCs/>
          <w:kern w:val="21"/>
          <w:sz w:val="24"/>
          <w:szCs w:val="24"/>
          <w:highlight w:val="none"/>
          <w:lang w:val="en-US" w:eastAsia="zh-CN"/>
        </w:rPr>
        <w:t>3</w:t>
      </w:r>
      <w:r>
        <w:rPr>
          <w:rFonts w:ascii="Times New Roman" w:hAnsi="Times New Roman" w:eastAsia="宋体" w:cs="Times New Roman"/>
          <w:kern w:val="21"/>
          <w:sz w:val="24"/>
          <w:szCs w:val="24"/>
          <w:highlight w:val="none"/>
        </w:rPr>
        <w:t xml:space="preserve"> </w:t>
      </w:r>
      <w:r>
        <w:rPr>
          <w:rFonts w:ascii="Times New Roman" w:hAnsi="Times New Roman" w:eastAsia="宋体" w:cs="Times New Roman"/>
          <w:b/>
          <w:bCs/>
          <w:kern w:val="21"/>
          <w:sz w:val="24"/>
          <w:szCs w:val="24"/>
          <w:highlight w:val="none"/>
        </w:rPr>
        <w:t>服务范围</w:t>
      </w:r>
      <w:bookmarkEnd w:id="2"/>
    </w:p>
    <w:p>
      <w:pPr>
        <w:topLinePunct/>
        <w:autoSpaceDE/>
        <w:autoSpaceDN/>
        <w:spacing w:line="360" w:lineRule="auto"/>
        <w:outlineLvl w:val="0"/>
        <w:rPr>
          <w:rFonts w:ascii="Times New Roman" w:hAnsi="Times New Roman" w:eastAsia="宋体" w:cs="Times New Roman"/>
          <w:kern w:val="21"/>
          <w:highlight w:val="none"/>
          <w:lang w:eastAsia="zh-CN"/>
        </w:rPr>
      </w:pPr>
      <w:bookmarkStart w:id="3" w:name="_Toc23151"/>
      <w:r>
        <w:rPr>
          <w:rFonts w:hint="eastAsia"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.1 从投标方至招标方指定位置的运输全部由投标方完成。</w:t>
      </w:r>
      <w:bookmarkEnd w:id="3"/>
    </w:p>
    <w:p>
      <w:pPr>
        <w:topLinePunct/>
        <w:autoSpaceDE/>
        <w:autoSpaceDN/>
        <w:spacing w:line="360" w:lineRule="auto"/>
        <w:outlineLvl w:val="0"/>
        <w:rPr>
          <w:rFonts w:ascii="Times New Roman" w:hAnsi="Times New Roman" w:eastAsia="宋体" w:cs="Times New Roman"/>
          <w:kern w:val="21"/>
          <w:highlight w:val="none"/>
          <w:lang w:eastAsia="zh-CN"/>
        </w:rPr>
      </w:pPr>
      <w:bookmarkStart w:id="4" w:name="_Toc6925"/>
      <w:r>
        <w:rPr>
          <w:rFonts w:hint="eastAsia"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.2 投标方协助招标方按验收标准检查产品的到货质量，必要时投标方需提供现场安装或试验的技术指导，对安装和运行人员免费培训。</w:t>
      </w:r>
      <w:bookmarkEnd w:id="4"/>
    </w:p>
    <w:p>
      <w:pPr>
        <w:topLinePunct/>
        <w:autoSpaceDE/>
        <w:autoSpaceDN/>
        <w:spacing w:line="360" w:lineRule="auto"/>
        <w:outlineLvl w:val="0"/>
        <w:rPr>
          <w:rFonts w:ascii="Times New Roman" w:hAnsi="Times New Roman" w:eastAsia="宋体" w:cs="Times New Roman"/>
          <w:kern w:val="21"/>
          <w:highlight w:val="none"/>
          <w:lang w:eastAsia="zh-CN"/>
        </w:rPr>
      </w:pPr>
      <w:bookmarkStart w:id="5" w:name="_Toc11281"/>
      <w:r>
        <w:rPr>
          <w:rFonts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ascii="Times New Roman" w:hAnsi="Times New Roman" w:eastAsia="宋体" w:cs="Times New Roman"/>
          <w:kern w:val="21"/>
          <w:highlight w:val="none"/>
          <w:lang w:eastAsia="zh-CN"/>
        </w:rPr>
        <w:t>.3</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投标方为招标方提供至少</w:t>
      </w:r>
      <w:r>
        <w:rPr>
          <w:rFonts w:hint="eastAsia" w:ascii="Times New Roman" w:hAnsi="Times New Roman" w:eastAsia="宋体" w:cs="Times New Roman"/>
          <w:kern w:val="21"/>
          <w:highlight w:val="none"/>
          <w:lang w:val="en-US" w:eastAsia="zh-CN"/>
        </w:rPr>
        <w:t>两</w:t>
      </w:r>
      <w:r>
        <w:rPr>
          <w:rFonts w:ascii="Times New Roman" w:hAnsi="Times New Roman" w:eastAsia="宋体" w:cs="Times New Roman"/>
          <w:kern w:val="21"/>
          <w:highlight w:val="none"/>
          <w:lang w:eastAsia="zh-CN"/>
        </w:rPr>
        <w:t>年的</w:t>
      </w:r>
      <w:r>
        <w:rPr>
          <w:rFonts w:hint="eastAsia" w:ascii="Times New Roman" w:hAnsi="Times New Roman" w:eastAsia="宋体" w:cs="Times New Roman"/>
          <w:kern w:val="21"/>
          <w:highlight w:val="none"/>
          <w:lang w:eastAsia="zh-CN"/>
        </w:rPr>
        <w:t>程控卫星信号放大器</w:t>
      </w:r>
      <w:r>
        <w:rPr>
          <w:rFonts w:ascii="Times New Roman" w:hAnsi="Times New Roman" w:eastAsia="宋体" w:cs="Times New Roman"/>
          <w:kern w:val="21"/>
          <w:highlight w:val="none"/>
          <w:lang w:eastAsia="zh-CN"/>
        </w:rPr>
        <w:t>通电运行服务</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三年内投标方负责免费维修、更换。</w:t>
      </w:r>
      <w:bookmarkEnd w:id="5"/>
    </w:p>
    <w:p>
      <w:pPr>
        <w:topLinePunct/>
        <w:autoSpaceDE/>
        <w:autoSpaceDN/>
        <w:spacing w:line="360" w:lineRule="auto"/>
        <w:outlineLvl w:val="0"/>
        <w:rPr>
          <w:highlight w:val="none"/>
          <w:lang w:eastAsia="zh-CN"/>
        </w:rPr>
      </w:pPr>
      <w:bookmarkStart w:id="6" w:name="_Toc30113"/>
      <w:r>
        <w:rPr>
          <w:rFonts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ascii="Times New Roman" w:hAnsi="Times New Roman" w:eastAsia="宋体" w:cs="Times New Roman"/>
          <w:kern w:val="21"/>
          <w:highlight w:val="none"/>
          <w:lang w:eastAsia="zh-CN"/>
        </w:rPr>
        <w:t>.4 投标方应协助招标方解决设备运行中出现的问题。</w:t>
      </w:r>
      <w:bookmarkEnd w:id="6"/>
      <w:bookmarkStart w:id="7" w:name="bookmark5"/>
      <w:bookmarkEnd w:id="7"/>
      <w:bookmarkStart w:id="8" w:name="bookmark4"/>
      <w:bookmarkEnd w:id="8"/>
      <w:bookmarkStart w:id="9" w:name="bookmark7"/>
      <w:bookmarkEnd w:id="9"/>
      <w:bookmarkStart w:id="10" w:name="bookmark6"/>
      <w:bookmarkEnd w:id="10"/>
    </w:p>
    <w:p>
      <w:pPr>
        <w:pStyle w:val="2"/>
        <w:rPr>
          <w:highlight w:val="none"/>
          <w:lang w:eastAsia="zh-CN"/>
        </w:rPr>
      </w:pPr>
      <w:bookmarkStart w:id="11" w:name="_Toc905"/>
      <w:r>
        <w:rPr>
          <w:highlight w:val="none"/>
          <w:lang w:eastAsia="zh-CN"/>
        </w:rPr>
        <w:t xml:space="preserve">3 </w:t>
      </w:r>
      <w:r>
        <w:rPr>
          <w:rFonts w:hint="eastAsia"/>
          <w:highlight w:val="none"/>
          <w:lang w:eastAsia="zh-CN"/>
        </w:rPr>
        <w:t xml:space="preserve"> </w:t>
      </w:r>
      <w:r>
        <w:rPr>
          <w:highlight w:val="none"/>
          <w:lang w:eastAsia="zh-CN"/>
        </w:rPr>
        <w:t>应遵循的主要标准</w:t>
      </w:r>
      <w:bookmarkEnd w:id="11"/>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ascii="Times New Roman" w:hAnsi="Times New Roman" w:eastAsia="宋体" w:cs="Times New Roman"/>
          <w:b/>
          <w:bCs/>
          <w:kern w:val="21"/>
          <w:sz w:val="24"/>
          <w:szCs w:val="24"/>
          <w:highlight w:val="none"/>
          <w:lang w:eastAsia="zh-CN"/>
        </w:rPr>
        <w:t>3.1 应遵循的主要现行标准</w:t>
      </w:r>
    </w:p>
    <w:p>
      <w:pPr>
        <w:topLinePunct/>
        <w:autoSpaceDE/>
        <w:autoSpaceDN/>
        <w:spacing w:line="360" w:lineRule="auto"/>
        <w:ind w:firstLine="41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投标方所提供的产品均按规定的标准和规程的最新版本进行设计、制造、试验和</w:t>
      </w:r>
      <w:r>
        <w:rPr>
          <w:rFonts w:hint="eastAsia" w:ascii="Times New Roman" w:hAnsi="Times New Roman" w:eastAsia="宋体" w:cs="Times New Roman"/>
          <w:kern w:val="21"/>
          <w:highlight w:val="none"/>
          <w:lang w:eastAsia="zh-CN"/>
        </w:rPr>
        <w:t>安装。</w:t>
      </w:r>
      <w:r>
        <w:rPr>
          <w:rFonts w:ascii="Times New Roman" w:hAnsi="Times New Roman" w:eastAsia="宋体" w:cs="Times New Roman"/>
          <w:kern w:val="21"/>
          <w:highlight w:val="none"/>
          <w:lang w:eastAsia="zh-CN"/>
        </w:rPr>
        <w:t>如果这些标准内容有矛盾时，应按最高标准的条款执行或按双方商定的标准执行。主要引用标准如下：</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GB2423.1-89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《电工电子产品基本环境试验规程试验A:低温试验方法》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GB/T2423.4-93</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《电工电子产品基本环境试验规程试验Db:交变湿热实验方法》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GB2423.16-81</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《电工电子产品基本环境试验规程试验J:长霉试验方法》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GB/T2423.17-93《电工电子产品基本环境试验规程试验</w:t>
      </w:r>
      <w:r>
        <w:rPr>
          <w:rFonts w:ascii="Times New Roman" w:hAnsi="Times New Roman" w:eastAsia="Times New Roman" w:cs="Times New Roman"/>
          <w:kern w:val="21"/>
          <w:highlight w:val="none"/>
          <w:lang w:eastAsia="zh-CN"/>
        </w:rPr>
        <w:t>Ka:</w:t>
      </w:r>
      <w:r>
        <w:rPr>
          <w:rFonts w:ascii="Times New Roman" w:hAnsi="Times New Roman" w:eastAsia="宋体" w:cs="Times New Roman"/>
          <w:kern w:val="21"/>
          <w:highlight w:val="none"/>
          <w:lang w:eastAsia="zh-CN"/>
        </w:rPr>
        <w:t>盐雾实验方法》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GB2423.37-89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《电工电子产品基本环境试验规程―试验L:沙尘试验方法》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GB2706-89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《交流高压电器动热稳定实验方法》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 4208-2017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《外壳防护等级(IP代码）》</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593-2016</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《高压开关设备和控制标准的共用技术要求》</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GB6833.2-87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《电子测量仪表电磁兼容性实验规范，磁场敏感度试验》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GB6833.3-87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《电子测量仪表电磁兼容性实验规范,静电放电敏感度试验》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GB6833.4-87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《电子测量仪表电磁兼容性实验规范，电源瞬态敏感度试验》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GB6833.5-87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《电子测量仪表电磁兼容性实验规范，辐射敏感度试验》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GB6833.6-87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《电子测量仪表电磁兼容性实验规范，传导敏感度试验》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 9813-2000《微型计算机通用规范》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687-2010</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《微机型防止电气误操作系统通用技术条件》</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667-1999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《继电保护设备信息接口配套标准》</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 5136-2001</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《火力发电厂、变电所二次接线设计技术规程》</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 50062-92</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《电力装置的继电保护及安全自动装置设计规范》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Q/CSG 10011-2005中国南方电网《220kV</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500kV变电站电气技术导则》</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Q/CSG 110023-2012《南方电网公司变电站防止电气误操作闭锁装置技术规范》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南方电网生技〔2017〕6号中国南方电网公司反事故措施（2020年版)</w:t>
      </w:r>
    </w:p>
    <w:p>
      <w:pPr>
        <w:topLinePunct/>
        <w:autoSpaceDE/>
        <w:autoSpaceDN/>
        <w:spacing w:line="360" w:lineRule="auto"/>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以上标准如有新版本，按最新版本执行。</w:t>
      </w:r>
    </w:p>
    <w:p>
      <w:pPr>
        <w:topLinePunct/>
        <w:autoSpaceDE/>
        <w:autoSpaceDN/>
        <w:spacing w:line="360" w:lineRule="auto"/>
        <w:rPr>
          <w:rFonts w:ascii="Times New Roman" w:hAnsi="Times New Roman" w:eastAsia="宋体" w:cs="Times New Roman"/>
          <w:kern w:val="21"/>
          <w:highlight w:val="none"/>
          <w:lang w:eastAsia="zh-CN"/>
        </w:rPr>
      </w:pPr>
    </w:p>
    <w:p>
      <w:pPr>
        <w:topLinePunct/>
        <w:autoSpaceDE/>
        <w:autoSpaceDN/>
        <w:spacing w:line="360" w:lineRule="auto"/>
        <w:outlineLvl w:val="6"/>
        <w:rPr>
          <w:rFonts w:ascii="Times New Roman" w:hAnsi="Times New Roman" w:eastAsia="宋体" w:cs="Times New Roman"/>
          <w:kern w:val="21"/>
          <w:highlight w:val="none"/>
          <w:lang w:eastAsia="zh-CN"/>
        </w:rPr>
      </w:pPr>
      <w:r>
        <w:rPr>
          <w:rFonts w:ascii="Times New Roman" w:hAnsi="Times New Roman" w:eastAsia="宋体" w:cs="Times New Roman"/>
          <w:b/>
          <w:bCs/>
          <w:kern w:val="21"/>
          <w:sz w:val="24"/>
          <w:szCs w:val="24"/>
          <w:highlight w:val="none"/>
          <w:lang w:eastAsia="zh-CN"/>
        </w:rPr>
        <w:t>3.</w:t>
      </w:r>
      <w:r>
        <w:rPr>
          <w:rFonts w:hint="eastAsia" w:ascii="Times New Roman" w:hAnsi="Times New Roman" w:eastAsia="宋体" w:cs="Times New Roman"/>
          <w:b/>
          <w:bCs/>
          <w:kern w:val="21"/>
          <w:sz w:val="24"/>
          <w:szCs w:val="24"/>
          <w:highlight w:val="none"/>
          <w:lang w:eastAsia="zh-CN"/>
        </w:rPr>
        <w:t>2</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b/>
          <w:bCs/>
          <w:kern w:val="21"/>
          <w:sz w:val="24"/>
          <w:szCs w:val="24"/>
          <w:highlight w:val="none"/>
          <w:lang w:eastAsia="zh-CN"/>
        </w:rPr>
        <w:t>使用条件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本物资招标技术文件所规定的物资技术条款和参数要求，适用下列环境条件使用。</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环境温度：户内设备</w:t>
      </w:r>
      <w:r>
        <w:rPr>
          <w:rFonts w:hint="eastAsia" w:ascii="Times New Roman" w:hAnsi="Times New Roman" w:eastAsia="宋体" w:cs="Times New Roman"/>
          <w:kern w:val="21"/>
          <w:highlight w:val="none"/>
          <w:lang w:val="en-US" w:eastAsia="zh-CN"/>
        </w:rPr>
        <w:t>-10</w:t>
      </w:r>
      <w:r>
        <w:rPr>
          <w:rFonts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6</w:t>
      </w:r>
      <w:r>
        <w:rPr>
          <w:rFonts w:ascii="Times New Roman" w:hAnsi="Times New Roman" w:eastAsia="宋体" w:cs="Times New Roman"/>
          <w:kern w:val="21"/>
          <w:highlight w:val="none"/>
          <w:lang w:eastAsia="zh-CN"/>
        </w:rPr>
        <w:t>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户外设备</w:t>
      </w:r>
      <w:r>
        <w:rPr>
          <w:rFonts w:hint="eastAsia" w:ascii="Times New Roman" w:hAnsi="Times New Roman" w:eastAsia="宋体" w:cs="Times New Roman"/>
          <w:kern w:val="21"/>
          <w:highlight w:val="none"/>
          <w:lang w:val="en-US" w:eastAsia="zh-CN"/>
        </w:rPr>
        <w:t>-25</w:t>
      </w:r>
      <w:r>
        <w:rPr>
          <w:rFonts w:ascii="Times New Roman" w:hAnsi="Times New Roman" w:eastAsia="宋体" w:cs="Times New Roman"/>
          <w:kern w:val="21"/>
          <w:highlight w:val="none"/>
          <w:lang w:eastAsia="zh-CN"/>
        </w:rPr>
        <w:t>℃~60℃</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相对湿度：日平均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月平均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90%</w:t>
      </w:r>
    </w:p>
    <w:p>
      <w:pPr>
        <w:topLinePunct/>
        <w:autoSpaceDE/>
        <w:autoSpaceDN/>
        <w:spacing w:line="360" w:lineRule="auto"/>
        <w:ind w:firstLine="420" w:firstLineChars="200"/>
        <w:rPr>
          <w:rFonts w:ascii="Times New Roman" w:hAnsi="Times New Roman" w:eastAsia="Times New Roman" w:cs="Times New Roman"/>
          <w:kern w:val="21"/>
          <w:highlight w:val="none"/>
        </w:rPr>
      </w:pPr>
      <w:r>
        <w:rPr>
          <w:rFonts w:ascii="Times New Roman" w:hAnsi="Times New Roman" w:eastAsia="宋体" w:cs="Times New Roman"/>
          <w:kern w:val="21"/>
          <w:highlight w:val="none"/>
        </w:rPr>
        <w:t>抗震能力：地面水平加速度0.3</w:t>
      </w:r>
      <w:r>
        <w:rPr>
          <w:rFonts w:ascii="Times New Roman" w:hAnsi="Times New Roman" w:eastAsia="Times New Roman" w:cs="Times New Roman"/>
          <w:kern w:val="21"/>
          <w:highlight w:val="none"/>
        </w:rPr>
        <w:t>g</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rPr>
        <w:t>地面垂直加速度0.15</w:t>
      </w:r>
      <w:r>
        <w:rPr>
          <w:rFonts w:ascii="Times New Roman" w:hAnsi="Times New Roman" w:eastAsia="Times New Roman" w:cs="Times New Roman"/>
          <w:kern w:val="21"/>
          <w:highlight w:val="none"/>
        </w:rPr>
        <w:t>g</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海拔高度：</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2500m</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ascii="Times New Roman" w:hAnsi="Times New Roman" w:eastAsia="宋体" w:cs="Times New Roman"/>
          <w:b/>
          <w:bCs/>
          <w:kern w:val="21"/>
          <w:sz w:val="24"/>
          <w:szCs w:val="24"/>
          <w:highlight w:val="none"/>
          <w:lang w:eastAsia="zh-CN"/>
        </w:rPr>
        <w:t>3.3</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基本技术要求</w:t>
      </w:r>
    </w:p>
    <w:p>
      <w:pPr>
        <w:topLinePunct/>
        <w:autoSpaceDE/>
        <w:autoSpaceDN/>
        <w:spacing w:line="360" w:lineRule="auto"/>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1、 硬件规格</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程控卫星信号放大器控制模块包括ARM硬件平台与微波信号动态范围数控增益放大器模块电路，外部程控接口包括液晶屏和按键模块。</w:t>
      </w:r>
    </w:p>
    <w:p>
      <w:pPr>
        <w:numPr>
          <w:ilvl w:val="0"/>
          <w:numId w:val="3"/>
        </w:numPr>
        <w:topLinePunct/>
        <w:autoSpaceDE/>
        <w:autoSpaceDN/>
        <w:spacing w:line="360" w:lineRule="auto"/>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具有以下功能</w:t>
      </w:r>
    </w:p>
    <w:p>
      <w:pPr>
        <w:numPr>
          <w:ilvl w:val="0"/>
          <w:numId w:val="4"/>
        </w:numPr>
        <w:topLinePunct/>
        <w:autoSpaceDE/>
        <w:autoSpaceDN/>
        <w:spacing w:line="360" w:lineRule="auto"/>
        <w:ind w:left="425" w:leftChars="0" w:hanging="425" w:firstLineChars="0"/>
        <w:rPr>
          <w:rFonts w:ascii="Times New Roman" w:hAnsi="Times New Roman" w:eastAsia="宋体" w:cs="Times New Roman"/>
          <w:kern w:val="21"/>
          <w:highlight w:val="none"/>
          <w:lang w:eastAsia="zh-CN"/>
        </w:rPr>
      </w:pPr>
      <w:r>
        <w:rPr>
          <w:rFonts w:hint="eastAsia" w:ascii="Times New Roman" w:hAnsi="Times New Roman" w:eastAsia="宋体" w:cs="Times New Roman"/>
          <w:kern w:val="2"/>
          <w:sz w:val="21"/>
          <w:szCs w:val="24"/>
          <w:lang w:val="en-US" w:eastAsia="zh-CN" w:bidi="ar"/>
        </w:rPr>
        <w:t>接收卫星信号：</w:t>
      </w:r>
      <w:r>
        <w:rPr>
          <w:rFonts w:hint="default" w:ascii="Times New Roman" w:hAnsi="Times New Roman" w:eastAsia="宋体" w:cs="Times New Roman"/>
          <w:kern w:val="2"/>
          <w:sz w:val="21"/>
          <w:szCs w:val="24"/>
          <w:lang w:val="en-US" w:eastAsia="zh-CN" w:bidi="ar"/>
        </w:rPr>
        <w:t>GPS L1/BD2 B1</w:t>
      </w:r>
      <w:r>
        <w:rPr>
          <w:rFonts w:hint="eastAsia" w:ascii="Times New Roman" w:hAnsi="Times New Roman" w:eastAsia="宋体" w:cs="Times New Roman"/>
          <w:kern w:val="2"/>
          <w:sz w:val="21"/>
          <w:szCs w:val="24"/>
          <w:lang w:val="en-US" w:eastAsia="zh-CN" w:bidi="ar"/>
        </w:rPr>
        <w:t>，调节频段：</w:t>
      </w:r>
      <w:r>
        <w:rPr>
          <w:rFonts w:hint="default" w:ascii="Times New Roman" w:hAnsi="Times New Roman" w:eastAsia="宋体" w:cs="Times New Roman"/>
          <w:kern w:val="2"/>
          <w:sz w:val="21"/>
          <w:szCs w:val="24"/>
          <w:lang w:val="en-US" w:eastAsia="zh-CN" w:bidi="ar"/>
        </w:rPr>
        <w:t>100MHz</w:t>
      </w:r>
      <w:r>
        <w:rPr>
          <w:rFonts w:hint="eastAsia" w:ascii="Times New Roman" w:hAnsi="Times New Roman" w:eastAsia="宋体" w:cs="Times New Roman"/>
          <w:kern w:val="2"/>
          <w:sz w:val="21"/>
          <w:szCs w:val="24"/>
          <w:lang w:val="en-US" w:eastAsia="zh-CN" w:bidi="ar"/>
        </w:rPr>
        <w:t>-</w:t>
      </w:r>
      <w:r>
        <w:rPr>
          <w:rFonts w:hint="default" w:ascii="Times New Roman" w:hAnsi="Times New Roman" w:eastAsia="宋体" w:cs="Times New Roman"/>
          <w:kern w:val="2"/>
          <w:sz w:val="21"/>
          <w:szCs w:val="24"/>
          <w:lang w:val="en-US" w:eastAsia="zh-CN" w:bidi="ar"/>
        </w:rPr>
        <w:t>2000MHz</w:t>
      </w:r>
      <w:r>
        <w:rPr>
          <w:rFonts w:hint="eastAsia" w:ascii="Times New Roman" w:hAnsi="Times New Roman" w:eastAsia="宋体" w:cs="Times New Roman"/>
          <w:kern w:val="2"/>
          <w:sz w:val="21"/>
          <w:szCs w:val="24"/>
          <w:lang w:val="en-US" w:eastAsia="zh-CN" w:bidi="ar"/>
        </w:rPr>
        <w:t>。</w:t>
      </w:r>
    </w:p>
    <w:p>
      <w:pPr>
        <w:numPr>
          <w:ilvl w:val="0"/>
          <w:numId w:val="4"/>
        </w:numPr>
        <w:topLinePunct/>
        <w:autoSpaceDE/>
        <w:autoSpaceDN/>
        <w:spacing w:line="360" w:lineRule="auto"/>
        <w:ind w:left="425" w:leftChars="0" w:hanging="425" w:firstLineChars="0"/>
        <w:rPr>
          <w:rFonts w:ascii="Times New Roman" w:hAnsi="Times New Roman" w:eastAsia="宋体" w:cs="Times New Roman"/>
          <w:kern w:val="21"/>
          <w:highlight w:val="none"/>
          <w:lang w:eastAsia="zh-CN"/>
        </w:rPr>
      </w:pPr>
      <w:r>
        <w:rPr>
          <w:rFonts w:hint="eastAsia" w:ascii="Times New Roman" w:hAnsi="Times New Roman" w:eastAsia="宋体" w:cs="Times New Roman"/>
          <w:kern w:val="2"/>
          <w:sz w:val="21"/>
          <w:szCs w:val="24"/>
          <w:lang w:val="en-US" w:eastAsia="zh-CN" w:bidi="ar"/>
        </w:rPr>
        <w:t xml:space="preserve">实现射频增益 </w:t>
      </w:r>
      <w:r>
        <w:rPr>
          <w:rFonts w:hint="default" w:ascii="Times New Roman" w:hAnsi="Times New Roman" w:eastAsia="宋体" w:cs="Times New Roman"/>
          <w:kern w:val="2"/>
          <w:sz w:val="21"/>
          <w:szCs w:val="24"/>
          <w:lang w:val="en-US" w:eastAsia="zh-CN" w:bidi="ar"/>
        </w:rPr>
        <w:t>-20 ~ 40 dB</w:t>
      </w:r>
      <w:r>
        <w:rPr>
          <w:rFonts w:hint="eastAsia" w:ascii="Times New Roman" w:hAnsi="Times New Roman" w:eastAsia="宋体" w:cs="Times New Roman"/>
          <w:kern w:val="2"/>
          <w:sz w:val="21"/>
          <w:szCs w:val="24"/>
          <w:lang w:val="en-US" w:eastAsia="zh-CN" w:bidi="ar"/>
        </w:rPr>
        <w:t>可调。</w:t>
      </w:r>
    </w:p>
    <w:p>
      <w:pPr>
        <w:numPr>
          <w:ilvl w:val="0"/>
          <w:numId w:val="4"/>
        </w:numPr>
        <w:topLinePunct/>
        <w:autoSpaceDE/>
        <w:autoSpaceDN/>
        <w:spacing w:line="360" w:lineRule="auto"/>
        <w:ind w:left="425" w:leftChars="0" w:hanging="425" w:firstLineChars="0"/>
        <w:rPr>
          <w:rFonts w:ascii="Times New Roman" w:hAnsi="Times New Roman" w:eastAsia="宋体" w:cs="Times New Roman"/>
          <w:kern w:val="21"/>
          <w:highlight w:val="none"/>
          <w:lang w:eastAsia="zh-CN"/>
        </w:rPr>
      </w:pPr>
      <w:r>
        <w:rPr>
          <w:rFonts w:hint="eastAsia" w:ascii="Times New Roman" w:hAnsi="Times New Roman" w:eastAsia="宋体" w:cs="Times New Roman"/>
          <w:kern w:val="2"/>
          <w:sz w:val="21"/>
          <w:szCs w:val="24"/>
          <w:lang w:val="en-US" w:eastAsia="zh-CN" w:bidi="ar"/>
        </w:rPr>
        <w:t>分别具有</w:t>
      </w:r>
      <w:r>
        <w:rPr>
          <w:rFonts w:hint="default" w:ascii="Times New Roman" w:hAnsi="Times New Roman" w:eastAsia="宋体" w:cs="Times New Roman"/>
          <w:kern w:val="2"/>
          <w:sz w:val="21"/>
          <w:szCs w:val="24"/>
          <w:lang w:val="en-US" w:eastAsia="zh-CN" w:bidi="ar"/>
        </w:rPr>
        <w:t>2</w:t>
      </w:r>
      <w:r>
        <w:rPr>
          <w:rFonts w:hint="eastAsia" w:ascii="Times New Roman" w:hAnsi="Times New Roman" w:eastAsia="宋体" w:cs="Times New Roman"/>
          <w:kern w:val="2"/>
          <w:sz w:val="21"/>
          <w:szCs w:val="24"/>
          <w:lang w:val="en-US" w:eastAsia="zh-CN" w:bidi="ar"/>
        </w:rPr>
        <w:t>路</w:t>
      </w:r>
      <w:r>
        <w:rPr>
          <w:rFonts w:hint="default" w:ascii="Times New Roman" w:hAnsi="Times New Roman" w:eastAsia="宋体" w:cs="Times New Roman"/>
          <w:kern w:val="2"/>
          <w:sz w:val="21"/>
          <w:szCs w:val="24"/>
          <w:lang w:val="en-US" w:eastAsia="zh-CN" w:bidi="ar"/>
        </w:rPr>
        <w:t>BNC</w:t>
      </w:r>
      <w:r>
        <w:rPr>
          <w:rFonts w:hint="eastAsia" w:ascii="Times New Roman" w:hAnsi="Times New Roman" w:eastAsia="宋体" w:cs="Times New Roman"/>
          <w:kern w:val="2"/>
          <w:sz w:val="21"/>
          <w:szCs w:val="24"/>
          <w:lang w:val="en-US" w:eastAsia="zh-CN" w:bidi="ar"/>
        </w:rPr>
        <w:t>（母头）天线输入接口及</w:t>
      </w:r>
      <w:r>
        <w:rPr>
          <w:rFonts w:hint="default" w:ascii="Times New Roman" w:hAnsi="Times New Roman" w:eastAsia="宋体" w:cs="Times New Roman"/>
          <w:kern w:val="2"/>
          <w:sz w:val="21"/>
          <w:szCs w:val="24"/>
          <w:lang w:val="en-US" w:eastAsia="zh-CN" w:bidi="ar"/>
        </w:rPr>
        <w:t>2</w:t>
      </w:r>
      <w:r>
        <w:rPr>
          <w:rFonts w:hint="eastAsia" w:ascii="Times New Roman" w:hAnsi="Times New Roman" w:eastAsia="宋体" w:cs="Times New Roman"/>
          <w:kern w:val="2"/>
          <w:sz w:val="21"/>
          <w:szCs w:val="24"/>
          <w:lang w:val="en-US" w:eastAsia="zh-CN" w:bidi="ar"/>
        </w:rPr>
        <w:t>路</w:t>
      </w:r>
      <w:r>
        <w:rPr>
          <w:rFonts w:hint="default" w:ascii="Times New Roman" w:hAnsi="Times New Roman" w:eastAsia="宋体" w:cs="Times New Roman"/>
          <w:kern w:val="2"/>
          <w:sz w:val="21"/>
          <w:szCs w:val="24"/>
          <w:lang w:val="en-US" w:eastAsia="zh-CN" w:bidi="ar"/>
        </w:rPr>
        <w:t>BNC</w:t>
      </w:r>
      <w:r>
        <w:rPr>
          <w:rFonts w:hint="eastAsia" w:ascii="Times New Roman" w:hAnsi="Times New Roman" w:eastAsia="宋体" w:cs="Times New Roman"/>
          <w:kern w:val="2"/>
          <w:sz w:val="21"/>
          <w:szCs w:val="24"/>
          <w:lang w:val="en-US" w:eastAsia="zh-CN" w:bidi="ar"/>
        </w:rPr>
        <w:t>（公头）天线输出接口。</w:t>
      </w:r>
    </w:p>
    <w:p>
      <w:pPr>
        <w:numPr>
          <w:ilvl w:val="0"/>
          <w:numId w:val="4"/>
        </w:numPr>
        <w:topLinePunct/>
        <w:autoSpaceDE/>
        <w:autoSpaceDN/>
        <w:spacing w:line="360" w:lineRule="auto"/>
        <w:ind w:left="425" w:leftChars="0" w:hanging="425" w:firstLineChars="0"/>
        <w:rPr>
          <w:rFonts w:hint="eastAsia" w:ascii="Times New Roman" w:hAnsi="Times New Roman" w:eastAsia="宋体" w:cs="Times New Roman"/>
          <w:kern w:val="2"/>
          <w:sz w:val="21"/>
          <w:szCs w:val="24"/>
          <w:lang w:val="en-US" w:eastAsia="zh-CN" w:bidi="ar"/>
        </w:rPr>
      </w:pPr>
      <w:r>
        <w:rPr>
          <w:rFonts w:hint="eastAsia" w:ascii="Times New Roman" w:hAnsi="Times New Roman" w:eastAsia="宋体" w:cs="Times New Roman"/>
          <w:kern w:val="2"/>
          <w:sz w:val="21"/>
          <w:szCs w:val="24"/>
          <w:lang w:val="en-US" w:eastAsia="zh-CN" w:bidi="ar"/>
        </w:rPr>
        <w:t>可利用</w:t>
      </w:r>
      <w:r>
        <w:rPr>
          <w:rFonts w:hint="default" w:ascii="Times New Roman" w:hAnsi="Times New Roman" w:eastAsia="宋体" w:cs="Times New Roman"/>
          <w:kern w:val="2"/>
          <w:sz w:val="21"/>
          <w:szCs w:val="24"/>
          <w:lang w:val="en-US" w:eastAsia="zh-CN" w:bidi="ar"/>
        </w:rPr>
        <w:t>OLED</w:t>
      </w:r>
      <w:r>
        <w:rPr>
          <w:rFonts w:hint="eastAsia" w:ascii="Times New Roman" w:hAnsi="Times New Roman" w:eastAsia="宋体" w:cs="Times New Roman"/>
          <w:kern w:val="2"/>
          <w:sz w:val="21"/>
          <w:szCs w:val="24"/>
          <w:lang w:val="en-US" w:eastAsia="zh-CN" w:bidi="ar"/>
        </w:rPr>
        <w:t>液晶屏</w:t>
      </w:r>
      <w:r>
        <w:rPr>
          <w:rFonts w:hint="default" w:ascii="Times New Roman" w:hAnsi="Times New Roman" w:eastAsia="宋体" w:cs="Times New Roman"/>
          <w:kern w:val="2"/>
          <w:sz w:val="21"/>
          <w:szCs w:val="24"/>
          <w:lang w:val="en-US" w:eastAsia="zh-CN" w:bidi="ar"/>
        </w:rPr>
        <w:t>+6</w:t>
      </w:r>
      <w:r>
        <w:rPr>
          <w:rFonts w:hint="eastAsia" w:ascii="Times New Roman" w:hAnsi="Times New Roman" w:eastAsia="宋体" w:cs="Times New Roman"/>
          <w:kern w:val="2"/>
          <w:sz w:val="21"/>
          <w:szCs w:val="24"/>
          <w:lang w:val="en-US" w:eastAsia="zh-CN" w:bidi="ar"/>
        </w:rPr>
        <w:t>键按钮实现设备数据查看及修改，具有面板指示灯反映设备运行状况。</w:t>
      </w:r>
    </w:p>
    <w:p>
      <w:pPr>
        <w:numPr>
          <w:ilvl w:val="0"/>
          <w:numId w:val="4"/>
        </w:numPr>
        <w:topLinePunct/>
        <w:autoSpaceDE/>
        <w:autoSpaceDN/>
        <w:spacing w:line="360" w:lineRule="auto"/>
        <w:ind w:left="425" w:leftChars="0" w:hanging="425" w:firstLineChars="0"/>
        <w:rPr>
          <w:rFonts w:ascii="Times New Roman" w:hAnsi="Times New Roman" w:eastAsia="宋体" w:cs="Times New Roman"/>
          <w:b/>
          <w:bCs/>
          <w:kern w:val="21"/>
          <w:highlight w:val="none"/>
          <w:lang w:eastAsia="zh-CN"/>
        </w:rPr>
      </w:pPr>
      <w:r>
        <w:rPr>
          <w:rFonts w:hint="eastAsia" w:ascii="Times New Roman" w:hAnsi="Times New Roman" w:eastAsia="宋体" w:cs="Times New Roman"/>
          <w:kern w:val="2"/>
          <w:sz w:val="21"/>
          <w:szCs w:val="24"/>
          <w:lang w:val="en-US" w:eastAsia="zh-CN" w:bidi="ar"/>
        </w:rPr>
        <w:t>采用</w:t>
      </w:r>
      <w:r>
        <w:rPr>
          <w:rFonts w:hint="default" w:ascii="Times New Roman" w:hAnsi="Times New Roman" w:eastAsia="宋体" w:cs="Times New Roman"/>
          <w:kern w:val="2"/>
          <w:sz w:val="21"/>
          <w:szCs w:val="24"/>
          <w:lang w:val="en-US" w:eastAsia="zh-CN" w:bidi="ar"/>
        </w:rPr>
        <w:t>AC</w:t>
      </w:r>
      <w:bookmarkStart w:id="21" w:name="_GoBack"/>
      <w:bookmarkEnd w:id="21"/>
      <w:r>
        <w:rPr>
          <w:rFonts w:hint="default" w:ascii="Times New Roman" w:hAnsi="Times New Roman" w:eastAsia="宋体" w:cs="Times New Roman"/>
          <w:kern w:val="2"/>
          <w:sz w:val="21"/>
          <w:szCs w:val="24"/>
          <w:lang w:val="en-US" w:eastAsia="zh-CN" w:bidi="ar"/>
        </w:rPr>
        <w:t xml:space="preserve"> 220V</w:t>
      </w:r>
      <w:r>
        <w:rPr>
          <w:rFonts w:hint="eastAsia" w:ascii="Times New Roman" w:hAnsi="Times New Roman" w:eastAsia="宋体" w:cs="Times New Roman"/>
          <w:kern w:val="2"/>
          <w:sz w:val="21"/>
          <w:szCs w:val="24"/>
          <w:lang w:val="en-US" w:eastAsia="zh-CN" w:bidi="ar"/>
        </w:rPr>
        <w:t>电源对该</w:t>
      </w:r>
      <w:r>
        <w:rPr>
          <w:rFonts w:hint="eastAsia" w:ascii="Times New Roman" w:hAnsi="Times New Roman" w:eastAsia="宋体" w:cs="Times New Roman"/>
          <w:kern w:val="21"/>
          <w:highlight w:val="none"/>
          <w:lang w:eastAsia="zh-CN"/>
        </w:rPr>
        <w:t>程控卫星信号放大器</w:t>
      </w:r>
      <w:r>
        <w:rPr>
          <w:rFonts w:hint="eastAsia" w:ascii="Times New Roman" w:hAnsi="Times New Roman" w:eastAsia="宋体" w:cs="Times New Roman"/>
          <w:kern w:val="21"/>
          <w:highlight w:val="none"/>
          <w:lang w:val="en-US" w:eastAsia="zh-CN"/>
        </w:rPr>
        <w:t>供电。</w:t>
      </w:r>
    </w:p>
    <w:p>
      <w:pPr>
        <w:topLinePunct/>
        <w:autoSpaceDE/>
        <w:autoSpaceDN/>
        <w:spacing w:line="360" w:lineRule="auto"/>
        <w:rPr>
          <w:rFonts w:hint="eastAsia" w:ascii="Times New Roman" w:hAnsi="Times New Roman" w:eastAsia="宋体" w:cs="Times New Roman"/>
          <w:b/>
          <w:bCs/>
          <w:kern w:val="21"/>
          <w:highlight w:val="none"/>
          <w:lang w:eastAsia="zh-CN"/>
        </w:rPr>
      </w:pPr>
    </w:p>
    <w:p>
      <w:pPr>
        <w:topLinePunct/>
        <w:autoSpaceDE/>
        <w:autoSpaceDN/>
        <w:spacing w:line="360" w:lineRule="auto"/>
        <w:rPr>
          <w:rFonts w:hint="eastAsia" w:ascii="Times New Roman" w:hAnsi="Times New Roman" w:eastAsia="宋体" w:cs="Times New Roman"/>
          <w:b/>
          <w:bCs/>
          <w:kern w:val="21"/>
          <w:highlight w:val="none"/>
          <w:lang w:eastAsia="zh-CN"/>
        </w:rPr>
      </w:pPr>
      <w:r>
        <w:rPr>
          <w:rFonts w:ascii="Times New Roman" w:hAnsi="Times New Roman" w:eastAsia="宋体" w:cs="Times New Roman"/>
          <w:b/>
          <w:bCs/>
          <w:kern w:val="21"/>
          <w:highlight w:val="none"/>
          <w:lang w:eastAsia="zh-CN"/>
        </w:rPr>
        <w:t>注：投标单位产品与以上指标及功能有差异时，可在项目需求部分的项目单位技术差异表中给出，投标人应对该差异表</w:t>
      </w:r>
      <w:r>
        <w:rPr>
          <w:rFonts w:hint="eastAsia" w:ascii="Times New Roman" w:hAnsi="Times New Roman" w:eastAsia="宋体" w:cs="Times New Roman"/>
          <w:b/>
          <w:bCs/>
          <w:kern w:val="21"/>
          <w:highlight w:val="none"/>
          <w:lang w:eastAsia="zh-CN"/>
        </w:rPr>
        <w:t>响应。</w:t>
      </w:r>
    </w:p>
    <w:p>
      <w:pPr>
        <w:topLinePunct/>
        <w:autoSpaceDE/>
        <w:autoSpaceDN/>
        <w:spacing w:line="360" w:lineRule="auto"/>
        <w:rPr>
          <w:rFonts w:hint="eastAsia" w:ascii="Times New Roman" w:hAnsi="Times New Roman" w:eastAsia="宋体" w:cs="Times New Roman"/>
          <w:b/>
          <w:bCs/>
          <w:kern w:val="21"/>
          <w:highlight w:val="none"/>
          <w:lang w:eastAsia="zh-CN"/>
        </w:rPr>
      </w:pPr>
    </w:p>
    <w:p>
      <w:pPr>
        <w:topLinePunct/>
        <w:autoSpaceDE/>
        <w:autoSpaceDN/>
        <w:spacing w:line="360" w:lineRule="auto"/>
        <w:rPr>
          <w:rFonts w:hint="eastAsia" w:ascii="Times New Roman" w:hAnsi="Times New Roman" w:eastAsia="宋体" w:cs="Times New Roman"/>
          <w:b/>
          <w:bCs/>
          <w:kern w:val="21"/>
          <w:highlight w:val="none"/>
          <w:lang w:eastAsia="zh-CN"/>
        </w:rPr>
      </w:pPr>
    </w:p>
    <w:p>
      <w:pPr>
        <w:pStyle w:val="2"/>
        <w:rPr>
          <w:kern w:val="21"/>
          <w:highlight w:val="none"/>
          <w:lang w:eastAsia="zh-CN"/>
        </w:rPr>
      </w:pPr>
      <w:bookmarkStart w:id="12" w:name="_Toc14522"/>
      <w:r>
        <w:rPr>
          <w:highlight w:val="none"/>
          <w:lang w:eastAsia="zh-CN"/>
        </w:rPr>
        <w:t>4  质量保证</w:t>
      </w:r>
      <w:bookmarkEnd w:id="12"/>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4.1订购的产品应满足本规范要求，并提供该产品的试验报告和产品合格证。</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4.2投标方应保证制造过程中的所有工艺、材料试验等均应符合本规范的规定。</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4.3投标方应有遵守本规范中各条款和工作项目的IS0900-GB/T1900-质量保证体系</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该质量保证体系已经通过国家认证和正常运转。</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ind w:firstLine="420" w:firstLineChars="200"/>
        <w:rPr>
          <w:rFonts w:hint="eastAsia" w:ascii="Times New Roman" w:hAnsi="Times New Roman" w:eastAsia="宋体" w:cs="Times New Roman"/>
          <w:kern w:val="21"/>
          <w:highlight w:val="none"/>
          <w:lang w:val="en-US" w:eastAsia="zh-CN"/>
        </w:rPr>
      </w:pPr>
    </w:p>
    <w:p>
      <w:pPr>
        <w:pStyle w:val="2"/>
        <w:rPr>
          <w:kern w:val="21"/>
          <w:highlight w:val="none"/>
          <w:lang w:eastAsia="zh-CN"/>
        </w:rPr>
      </w:pPr>
      <w:bookmarkStart w:id="13" w:name="_Toc24670"/>
      <w:r>
        <w:rPr>
          <w:rFonts w:hint="eastAsia"/>
          <w:highlight w:val="none"/>
          <w:lang w:val="en-US" w:eastAsia="zh-CN"/>
        </w:rPr>
        <w:t>5</w:t>
      </w:r>
      <w:r>
        <w:rPr>
          <w:highlight w:val="none"/>
          <w:lang w:eastAsia="zh-CN"/>
        </w:rPr>
        <w:t xml:space="preserve">  包装、运输和储存</w:t>
      </w:r>
      <w:bookmarkEnd w:id="13"/>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.1有部件经妥善包装或装箱后，在运输过程中尚应采取其它防护措施，以免散失损坏或被盗。</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.2在包装箱外应标明需方的订货号、发货号。</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.3各种包装应能确保各零部件在运输过程中不致遭到损坏、丢失、变形、受潮和腐蚀。</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5.4</w:t>
      </w:r>
      <w:r>
        <w:rPr>
          <w:rFonts w:hint="eastAsia" w:ascii="Times New Roman" w:hAnsi="Times New Roman" w:eastAsia="宋体" w:cs="Times New Roman"/>
          <w:kern w:val="21"/>
          <w:highlight w:val="none"/>
          <w:lang w:eastAsia="zh-CN"/>
        </w:rPr>
        <w:t>包装箱上应有明显的包装储运图示标志(按GB/T 191-2008)。</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整体产品或分别运输的部件都要适合运输和装载的要求。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随产品提供的技术资料应完整无缺。</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.7 质量保证期为程控卫星信号放大器设备通电运行后三年，三年内卖方负责免费维修、更换。</w:t>
      </w:r>
    </w:p>
    <w:p>
      <w:pPr>
        <w:pStyle w:val="2"/>
        <w:rPr>
          <w:rFonts w:hint="eastAsia"/>
          <w:highlight w:val="none"/>
          <w:lang w:val="en-US" w:eastAsia="zh-CN"/>
        </w:rPr>
      </w:pPr>
      <w:bookmarkStart w:id="14" w:name="_Toc10235"/>
      <w:r>
        <w:rPr>
          <w:rFonts w:hint="eastAsia"/>
          <w:highlight w:val="none"/>
          <w:lang w:val="en-US" w:eastAsia="zh-CN"/>
        </w:rPr>
        <w:t>6、双方工作安排</w:t>
      </w:r>
      <w:bookmarkEnd w:id="14"/>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.1 需求方应向供货方提供有特殊要求的设备技术文件。</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.2设备安装调试过程中，需求方为供货方现场人员提供工作和生活方便。设备制造过程中，需求方可派出到供货方进行监造和验收，供货方应积极配合7.37.4 供货方收到技术条件书后如有异议，在5天内书面通知需求方，否则认为供货方同意技术条件书中的全部要求。</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 xml:space="preserve"> 根据工程需要，可召开设计联络会或以其他形式解决设计制造中的问题。</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 xml:space="preserve">4 </w:t>
      </w:r>
      <w:r>
        <w:rPr>
          <w:rFonts w:hint="eastAsia" w:ascii="Times New Roman" w:hAnsi="Times New Roman" w:eastAsia="宋体" w:cs="Times New Roman"/>
          <w:kern w:val="21"/>
          <w:highlight w:val="none"/>
          <w:lang w:eastAsia="zh-CN"/>
        </w:rPr>
        <w:t>对需求方的缺陷通知，供货方应在 24 小时内作出回应，48 小时内赴现场予以解决</w:t>
      </w:r>
      <w:r>
        <w:rPr>
          <w:rFonts w:hint="eastAsia" w:ascii="Times New Roman" w:hAnsi="Times New Roman" w:eastAsia="宋体" w:cs="Times New Roman"/>
          <w:kern w:val="21"/>
          <w:highlight w:val="none"/>
          <w:lang w:val="en-US" w:eastAsia="zh-CN"/>
        </w:rPr>
        <w:t>。</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 xml:space="preserve"> 资料的组织结构清晰、逻辑性强。资料内容正确、准确、一致、清晰完整，满足工程要求。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pStyle w:val="2"/>
        <w:rPr>
          <w:highlight w:val="none"/>
          <w:lang w:eastAsia="zh-CN"/>
        </w:rPr>
      </w:pPr>
      <w:bookmarkStart w:id="15" w:name="_Toc6391"/>
      <w:r>
        <w:rPr>
          <w:rFonts w:hint="eastAsia"/>
          <w:highlight w:val="none"/>
          <w:lang w:val="en-US" w:eastAsia="zh-CN"/>
        </w:rPr>
        <w:t>7</w:t>
      </w:r>
      <w:r>
        <w:rPr>
          <w:highlight w:val="none"/>
          <w:lang w:eastAsia="zh-CN"/>
        </w:rPr>
        <w:t xml:space="preserve">  备品备件及专用工具</w:t>
      </w:r>
      <w:bookmarkEnd w:id="15"/>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根据产品的技术性能、运行经验，厂家对招标方必须购买的备品备件及专用工具应有详细说明。</w:t>
      </w:r>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hint="eastAsia" w:ascii="Times New Roman" w:hAnsi="Times New Roman" w:eastAsia="宋体" w:cs="Times New Roman"/>
          <w:b/>
          <w:bCs/>
          <w:kern w:val="21"/>
          <w:sz w:val="24"/>
          <w:szCs w:val="24"/>
          <w:highlight w:val="none"/>
          <w:lang w:val="en-US" w:eastAsia="zh-CN"/>
        </w:rPr>
        <w:t>7.</w:t>
      </w:r>
      <w:r>
        <w:rPr>
          <w:rFonts w:ascii="Times New Roman" w:hAnsi="Times New Roman" w:eastAsia="宋体" w:cs="Times New Roman"/>
          <w:b/>
          <w:bCs/>
          <w:kern w:val="21"/>
          <w:sz w:val="24"/>
          <w:szCs w:val="24"/>
          <w:highlight w:val="none"/>
          <w:lang w:eastAsia="zh-CN"/>
        </w:rPr>
        <w:t>1</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备品备件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投标方应向招标方提供必要的备品备件，备品备件应是新品，与设备同型号、同工艺。备品备件清单见表1。</w:t>
      </w:r>
    </w:p>
    <w:p>
      <w:pPr>
        <w:topLinePunct/>
        <w:autoSpaceDE/>
        <w:autoSpaceDN/>
        <w:spacing w:line="360" w:lineRule="auto"/>
        <w:jc w:val="center"/>
        <w:rPr>
          <w:rFonts w:ascii="Times New Roman" w:hAnsi="Times New Roman" w:cs="Times New Roman"/>
          <w:kern w:val="21"/>
          <w:highlight w:val="none"/>
          <w:lang w:eastAsia="zh-CN"/>
        </w:rPr>
      </w:pPr>
      <w:r>
        <w:rPr>
          <w:rFonts w:ascii="Times New Roman" w:hAnsi="Times New Roman" w:eastAsia="黑体" w:cs="Times New Roman"/>
          <w:b/>
          <w:bCs/>
          <w:kern w:val="21"/>
          <w:highlight w:val="none"/>
          <w:lang w:eastAsia="zh-CN"/>
        </w:rPr>
        <w:t>表1备品备件清单</w:t>
      </w:r>
    </w:p>
    <w:tbl>
      <w:tblPr>
        <w:tblStyle w:val="10"/>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4"/>
        <w:gridCol w:w="2017"/>
        <w:gridCol w:w="2767"/>
        <w:gridCol w:w="749"/>
        <w:gridCol w:w="759"/>
        <w:gridCol w:w="889"/>
        <w:gridCol w:w="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201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276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型号及规范</w:t>
            </w:r>
          </w:p>
        </w:tc>
        <w:tc>
          <w:tcPr>
            <w:tcW w:w="74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75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88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用途</w:t>
            </w:r>
          </w:p>
        </w:tc>
        <w:tc>
          <w:tcPr>
            <w:tcW w:w="88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1</w:t>
            </w:r>
          </w:p>
        </w:tc>
        <w:tc>
          <w:tcPr>
            <w:tcW w:w="201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276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74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75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88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88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2</w:t>
            </w:r>
          </w:p>
        </w:tc>
        <w:tc>
          <w:tcPr>
            <w:tcW w:w="201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276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74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75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88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c>
          <w:tcPr>
            <w:tcW w:w="88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p>
        </w:tc>
      </w:tr>
    </w:tbl>
    <w:p>
      <w:pPr>
        <w:topLinePunct/>
        <w:autoSpaceDE/>
        <w:autoSpaceDN/>
        <w:spacing w:line="360" w:lineRule="auto"/>
        <w:outlineLvl w:val="9"/>
        <w:rPr>
          <w:rFonts w:hint="eastAsia" w:ascii="Times New Roman" w:hAnsi="Times New Roman" w:eastAsia="宋体" w:cs="Times New Roman"/>
          <w:b/>
          <w:bCs/>
          <w:kern w:val="21"/>
          <w:sz w:val="24"/>
          <w:szCs w:val="24"/>
          <w:highlight w:val="none"/>
          <w:lang w:val="en-US" w:eastAsia="zh-CN"/>
        </w:rPr>
      </w:pPr>
    </w:p>
    <w:p>
      <w:pPr>
        <w:topLinePunct/>
        <w:autoSpaceDE/>
        <w:autoSpaceDN/>
        <w:spacing w:line="360" w:lineRule="auto"/>
        <w:outlineLvl w:val="6"/>
        <w:rPr>
          <w:rFonts w:ascii="Times New Roman" w:hAnsi="Times New Roman" w:eastAsia="宋体" w:cs="Times New Roman"/>
          <w:kern w:val="21"/>
          <w:highlight w:val="none"/>
          <w:lang w:eastAsia="zh-CN"/>
        </w:rPr>
      </w:pPr>
      <w:r>
        <w:rPr>
          <w:rFonts w:hint="eastAsia" w:ascii="Times New Roman" w:hAnsi="Times New Roman" w:eastAsia="宋体" w:cs="Times New Roman"/>
          <w:b/>
          <w:bCs/>
          <w:kern w:val="21"/>
          <w:sz w:val="24"/>
          <w:szCs w:val="24"/>
          <w:highlight w:val="none"/>
          <w:lang w:val="en-US" w:eastAsia="zh-CN"/>
        </w:rPr>
        <w:t>7.2</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kern w:val="21"/>
          <w:sz w:val="24"/>
          <w:szCs w:val="24"/>
          <w:highlight w:val="none"/>
          <w:lang w:val="en-US" w:eastAsia="zh-CN"/>
        </w:rPr>
        <w:t>专用工具</w:t>
      </w:r>
    </w:p>
    <w:p>
      <w:pPr>
        <w:topLinePunct/>
        <w:autoSpaceDE/>
        <w:autoSpaceDN/>
        <w:spacing w:line="360" w:lineRule="auto"/>
        <w:ind w:firstLine="420" w:firstLineChars="200"/>
        <w:rPr>
          <w:rFonts w:ascii="Times New Roman" w:hAnsi="Times New Roman" w:cs="Times New Roman"/>
          <w:kern w:val="21"/>
          <w:highlight w:val="none"/>
          <w:lang w:eastAsia="zh-CN"/>
        </w:rPr>
      </w:pPr>
      <w:r>
        <w:rPr>
          <w:rFonts w:ascii="Times New Roman" w:hAnsi="Times New Roman" w:eastAsia="宋体" w:cs="Times New Roman"/>
          <w:kern w:val="21"/>
          <w:highlight w:val="none"/>
          <w:lang w:eastAsia="zh-CN"/>
        </w:rPr>
        <w:t>投标方应提供安装、运行检修所需要的非常规及非标准的专用工具，包括专用测试设备，提供的工具清单见表2。</w:t>
      </w:r>
    </w:p>
    <w:p>
      <w:pPr>
        <w:topLinePunct/>
        <w:autoSpaceDE/>
        <w:autoSpaceDN/>
        <w:spacing w:line="360" w:lineRule="auto"/>
        <w:jc w:val="center"/>
        <w:rPr>
          <w:rFonts w:ascii="Times New Roman" w:hAnsi="Times New Roman" w:eastAsia="黑体" w:cs="Times New Roman"/>
          <w:kern w:val="21"/>
          <w:highlight w:val="none"/>
          <w:lang w:eastAsia="zh-CN"/>
        </w:rPr>
      </w:pPr>
      <w:r>
        <w:rPr>
          <w:rFonts w:ascii="Times New Roman" w:hAnsi="Times New Roman" w:eastAsia="黑体" w:cs="Times New Roman"/>
          <w:b/>
          <w:bCs/>
          <w:kern w:val="21"/>
          <w:highlight w:val="none"/>
          <w:lang w:eastAsia="zh-CN"/>
        </w:rPr>
        <w:t>表2</w:t>
      </w:r>
      <w:r>
        <w:rPr>
          <w:rFonts w:ascii="Times New Roman" w:hAnsi="Times New Roman" w:eastAsia="黑体" w:cs="Times New Roman"/>
          <w:kern w:val="21"/>
          <w:highlight w:val="none"/>
          <w:lang w:eastAsia="zh-CN"/>
        </w:rPr>
        <w:t xml:space="preserve"> </w:t>
      </w:r>
      <w:r>
        <w:rPr>
          <w:rFonts w:ascii="Times New Roman" w:hAnsi="Times New Roman" w:eastAsia="黑体" w:cs="Times New Roman"/>
          <w:b/>
          <w:bCs/>
          <w:kern w:val="21"/>
          <w:highlight w:val="none"/>
          <w:lang w:eastAsia="zh-CN"/>
        </w:rPr>
        <w:t>专用工具清单</w:t>
      </w:r>
    </w:p>
    <w:tbl>
      <w:tblPr>
        <w:tblStyle w:val="10"/>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907"/>
        <w:gridCol w:w="2477"/>
        <w:gridCol w:w="989"/>
        <w:gridCol w:w="869"/>
        <w:gridCol w:w="70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74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190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2477"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型号及规范</w:t>
            </w:r>
          </w:p>
        </w:tc>
        <w:tc>
          <w:tcPr>
            <w:tcW w:w="98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86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709"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用途</w:t>
            </w:r>
          </w:p>
        </w:tc>
        <w:tc>
          <w:tcPr>
            <w:tcW w:w="754" w:type="dxa"/>
            <w:vAlign w:val="center"/>
          </w:tcPr>
          <w:p>
            <w:pPr>
              <w:pStyle w:val="11"/>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1</w:t>
            </w:r>
          </w:p>
        </w:tc>
        <w:tc>
          <w:tcPr>
            <w:tcW w:w="1907" w:type="dxa"/>
            <w:vAlign w:val="center"/>
          </w:tcPr>
          <w:p>
            <w:pPr>
              <w:topLinePunct/>
              <w:autoSpaceDE/>
              <w:autoSpaceDN/>
              <w:spacing w:line="360" w:lineRule="auto"/>
              <w:jc w:val="center"/>
              <w:rPr>
                <w:rFonts w:ascii="Times New Roman" w:hAnsi="Times New Roman" w:cs="Times New Roman"/>
                <w:kern w:val="21"/>
                <w:highlight w:val="none"/>
              </w:rPr>
            </w:pPr>
          </w:p>
        </w:tc>
        <w:tc>
          <w:tcPr>
            <w:tcW w:w="2477" w:type="dxa"/>
            <w:vAlign w:val="center"/>
          </w:tcPr>
          <w:p>
            <w:pPr>
              <w:topLinePunct/>
              <w:autoSpaceDE/>
              <w:autoSpaceDN/>
              <w:spacing w:line="360" w:lineRule="auto"/>
              <w:jc w:val="center"/>
              <w:rPr>
                <w:rFonts w:ascii="Times New Roman" w:hAnsi="Times New Roman" w:cs="Times New Roman"/>
                <w:kern w:val="21"/>
                <w:highlight w:val="none"/>
              </w:rPr>
            </w:pPr>
          </w:p>
        </w:tc>
        <w:tc>
          <w:tcPr>
            <w:tcW w:w="989" w:type="dxa"/>
            <w:vAlign w:val="center"/>
          </w:tcPr>
          <w:p>
            <w:pPr>
              <w:topLinePunct/>
              <w:autoSpaceDE/>
              <w:autoSpaceDN/>
              <w:spacing w:line="360" w:lineRule="auto"/>
              <w:jc w:val="center"/>
              <w:rPr>
                <w:rFonts w:ascii="Times New Roman" w:hAnsi="Times New Roman" w:cs="Times New Roman"/>
                <w:kern w:val="21"/>
                <w:highlight w:val="none"/>
              </w:rPr>
            </w:pPr>
          </w:p>
        </w:tc>
        <w:tc>
          <w:tcPr>
            <w:tcW w:w="869" w:type="dxa"/>
            <w:vAlign w:val="center"/>
          </w:tcPr>
          <w:p>
            <w:pPr>
              <w:topLinePunct/>
              <w:autoSpaceDE/>
              <w:autoSpaceDN/>
              <w:spacing w:line="360" w:lineRule="auto"/>
              <w:jc w:val="center"/>
              <w:rPr>
                <w:rFonts w:ascii="Times New Roman" w:hAnsi="Times New Roman" w:cs="Times New Roman"/>
                <w:kern w:val="21"/>
                <w:highlight w:val="none"/>
              </w:rPr>
            </w:pPr>
          </w:p>
        </w:tc>
        <w:tc>
          <w:tcPr>
            <w:tcW w:w="709" w:type="dxa"/>
            <w:vAlign w:val="center"/>
          </w:tcPr>
          <w:p>
            <w:pPr>
              <w:topLinePunct/>
              <w:autoSpaceDE/>
              <w:autoSpaceDN/>
              <w:spacing w:line="360" w:lineRule="auto"/>
              <w:jc w:val="center"/>
              <w:rPr>
                <w:rFonts w:ascii="Times New Roman" w:hAnsi="Times New Roman" w:cs="Times New Roman"/>
                <w:kern w:val="21"/>
                <w:highlight w:val="none"/>
              </w:rPr>
            </w:pPr>
          </w:p>
        </w:tc>
        <w:tc>
          <w:tcPr>
            <w:tcW w:w="754"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2</w:t>
            </w:r>
          </w:p>
        </w:tc>
        <w:tc>
          <w:tcPr>
            <w:tcW w:w="1907" w:type="dxa"/>
            <w:vAlign w:val="center"/>
          </w:tcPr>
          <w:p>
            <w:pPr>
              <w:topLinePunct/>
              <w:autoSpaceDE/>
              <w:autoSpaceDN/>
              <w:spacing w:line="360" w:lineRule="auto"/>
              <w:jc w:val="center"/>
              <w:rPr>
                <w:rFonts w:ascii="Times New Roman" w:hAnsi="Times New Roman" w:cs="Times New Roman"/>
                <w:kern w:val="21"/>
                <w:highlight w:val="none"/>
              </w:rPr>
            </w:pPr>
          </w:p>
        </w:tc>
        <w:tc>
          <w:tcPr>
            <w:tcW w:w="2477" w:type="dxa"/>
            <w:vAlign w:val="center"/>
          </w:tcPr>
          <w:p>
            <w:pPr>
              <w:topLinePunct/>
              <w:autoSpaceDE/>
              <w:autoSpaceDN/>
              <w:spacing w:line="360" w:lineRule="auto"/>
              <w:jc w:val="center"/>
              <w:rPr>
                <w:rFonts w:ascii="Times New Roman" w:hAnsi="Times New Roman" w:cs="Times New Roman"/>
                <w:kern w:val="21"/>
                <w:highlight w:val="none"/>
              </w:rPr>
            </w:pPr>
          </w:p>
        </w:tc>
        <w:tc>
          <w:tcPr>
            <w:tcW w:w="989" w:type="dxa"/>
            <w:vAlign w:val="center"/>
          </w:tcPr>
          <w:p>
            <w:pPr>
              <w:topLinePunct/>
              <w:autoSpaceDE/>
              <w:autoSpaceDN/>
              <w:spacing w:line="360" w:lineRule="auto"/>
              <w:jc w:val="center"/>
              <w:rPr>
                <w:rFonts w:ascii="Times New Roman" w:hAnsi="Times New Roman" w:cs="Times New Roman"/>
                <w:kern w:val="21"/>
                <w:highlight w:val="none"/>
              </w:rPr>
            </w:pPr>
          </w:p>
        </w:tc>
        <w:tc>
          <w:tcPr>
            <w:tcW w:w="869" w:type="dxa"/>
            <w:vAlign w:val="center"/>
          </w:tcPr>
          <w:p>
            <w:pPr>
              <w:topLinePunct/>
              <w:autoSpaceDE/>
              <w:autoSpaceDN/>
              <w:spacing w:line="360" w:lineRule="auto"/>
              <w:jc w:val="center"/>
              <w:rPr>
                <w:rFonts w:ascii="Times New Roman" w:hAnsi="Times New Roman" w:cs="Times New Roman"/>
                <w:kern w:val="21"/>
                <w:highlight w:val="none"/>
              </w:rPr>
            </w:pPr>
          </w:p>
        </w:tc>
        <w:tc>
          <w:tcPr>
            <w:tcW w:w="709" w:type="dxa"/>
            <w:vAlign w:val="center"/>
          </w:tcPr>
          <w:p>
            <w:pPr>
              <w:topLinePunct/>
              <w:autoSpaceDE/>
              <w:autoSpaceDN/>
              <w:spacing w:line="360" w:lineRule="auto"/>
              <w:jc w:val="center"/>
              <w:rPr>
                <w:rFonts w:ascii="Times New Roman" w:hAnsi="Times New Roman" w:cs="Times New Roman"/>
                <w:kern w:val="21"/>
                <w:highlight w:val="none"/>
              </w:rPr>
            </w:pPr>
          </w:p>
        </w:tc>
        <w:tc>
          <w:tcPr>
            <w:tcW w:w="754" w:type="dxa"/>
            <w:vAlign w:val="center"/>
          </w:tcPr>
          <w:p>
            <w:pPr>
              <w:topLinePunct/>
              <w:autoSpaceDE/>
              <w:autoSpaceDN/>
              <w:spacing w:line="360" w:lineRule="auto"/>
              <w:jc w:val="center"/>
              <w:rPr>
                <w:rFonts w:ascii="Times New Roman" w:hAnsi="Times New Roman" w:cs="Times New Roman"/>
                <w:kern w:val="21"/>
                <w:highlight w:val="none"/>
              </w:rPr>
            </w:pPr>
          </w:p>
        </w:tc>
      </w:tr>
    </w:tbl>
    <w:p>
      <w:pPr>
        <w:pStyle w:val="4"/>
        <w:topLinePunct/>
        <w:autoSpaceDE/>
        <w:autoSpaceDN/>
        <w:spacing w:line="360" w:lineRule="auto"/>
        <w:rPr>
          <w:rFonts w:ascii="Times New Roman" w:hAnsi="Times New Roman" w:cs="Times New Roman"/>
          <w:kern w:val="21"/>
          <w:highlight w:val="none"/>
        </w:rPr>
      </w:pPr>
    </w:p>
    <w:p>
      <w:pPr>
        <w:pStyle w:val="2"/>
        <w:rPr>
          <w:highlight w:val="none"/>
          <w:lang w:eastAsia="zh-CN"/>
        </w:rPr>
      </w:pPr>
      <w:bookmarkStart w:id="16" w:name="_Toc9278"/>
      <w:r>
        <w:rPr>
          <w:highlight w:val="none"/>
        </w:rPr>
        <mc:AlternateContent>
          <mc:Choice Requires="wps">
            <w:drawing>
              <wp:anchor distT="0" distB="0" distL="114300" distR="114300" simplePos="0" relativeHeight="251660288" behindDoc="0" locked="0" layoutInCell="1" allowOverlap="1">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wps:txbx>
                      <wps:bodyPr lIns="0" tIns="0" rIns="0" bIns="0" upright="1"/>
                    </wps:wsp>
                  </a:graphicData>
                </a:graphic>
              </wp:anchor>
            </w:drawing>
          </mc:Choice>
          <mc:Fallback>
            <w:pict>
              <v:shape id="_x0000_s1026" o:spid="_x0000_s1026" o:spt="202" type="#_x0000_t202" style="position:absolute;left:0pt;margin-left:483.2pt;margin-top:7.75pt;height:8.95pt;width:4.8pt;z-index:251660288;mso-width-relative:page;mso-height-relative:page;" filled="f" stroked="f" coordsize="21600,21600" o:gfxdata="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Coc7I2AAAAAkBAAAPAAAAAAAAAAEAIAAAACIAAABkcnMvZG93bnJldi54bWxQSwECFAAU&#10;AAAACACHTuJANonf5rgBAABwAwAADgAAAAAAAAABACAAAAAnAQAAZHJzL2Uyb0RvYy54bWxQSwUG&#10;AAAAAAYABgBZAQAAUQUAAAAA&#10;">
                <v:fill on="f" focussize="0,0"/>
                <v:stroke on="f"/>
                <v:imagedata o:title=""/>
                <o:lock v:ext="edit" aspectratio="f"/>
                <v:textbox inset="0mm,0mm,0mm,0mm">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v:textbox>
              </v:shape>
            </w:pict>
          </mc:Fallback>
        </mc:AlternateContent>
      </w:r>
      <w:r>
        <w:rPr>
          <w:highlight w:val="none"/>
          <w:lang w:eastAsia="zh-CN"/>
        </w:rPr>
        <w:t>8  投标方应填写主要部件来源、规范一览表</w:t>
      </w:r>
      <w:bookmarkEnd w:id="16"/>
    </w:p>
    <w:p>
      <w:pPr>
        <w:topLinePunct/>
        <w:autoSpaceDE/>
        <w:autoSpaceDN/>
        <w:spacing w:line="360" w:lineRule="auto"/>
        <w:ind w:firstLine="420" w:firstLineChars="200"/>
        <w:rPr>
          <w:rFonts w:ascii="Times New Roman" w:hAnsi="Times New Roman" w:eastAsia="黑体" w:cs="Times New Roman"/>
          <w:b/>
          <w:bCs/>
          <w:kern w:val="21"/>
          <w:highlight w:val="none"/>
          <w:lang w:eastAsia="zh-CN"/>
        </w:rPr>
      </w:pPr>
      <w:r>
        <w:rPr>
          <w:rFonts w:ascii="Times New Roman" w:hAnsi="Times New Roman" w:eastAsia="宋体" w:cs="Times New Roman"/>
          <w:kern w:val="21"/>
          <w:highlight w:val="none"/>
          <w:lang w:eastAsia="zh-CN"/>
        </w:rPr>
        <w:t>投标方应填写主要部件来源、规范一览表，其格式如表3。</w:t>
      </w:r>
    </w:p>
    <w:p>
      <w:pPr>
        <w:pStyle w:val="4"/>
        <w:topLinePunct/>
        <w:autoSpaceDE/>
        <w:autoSpaceDN/>
        <w:jc w:val="center"/>
        <w:rPr>
          <w:rFonts w:ascii="Times New Roman" w:hAnsi="Times New Roman" w:eastAsia="黑体" w:cs="Times New Roman"/>
          <w:b/>
          <w:bCs/>
          <w:kern w:val="21"/>
          <w:highlight w:val="none"/>
          <w:lang w:eastAsia="zh-CN"/>
        </w:rPr>
      </w:pPr>
      <w:r>
        <w:rPr>
          <w:rFonts w:ascii="Times New Roman" w:hAnsi="Times New Roman" w:eastAsia="黑体" w:cs="Times New Roman"/>
          <w:b/>
          <w:bCs/>
          <w:kern w:val="21"/>
          <w:highlight w:val="none"/>
          <w:lang w:eastAsia="zh-CN"/>
        </w:rPr>
        <w:t>表3</w:t>
      </w:r>
      <w:r>
        <w:rPr>
          <w:rFonts w:ascii="Times New Roman" w:hAnsi="Times New Roman" w:eastAsia="黑体" w:cs="Times New Roman"/>
          <w:kern w:val="21"/>
          <w:highlight w:val="none"/>
          <w:lang w:eastAsia="zh-CN"/>
        </w:rPr>
        <w:t xml:space="preserve">  </w:t>
      </w:r>
      <w:r>
        <w:rPr>
          <w:rFonts w:ascii="Times New Roman" w:hAnsi="Times New Roman" w:eastAsia="黑体" w:cs="Times New Roman"/>
          <w:b/>
          <w:bCs/>
          <w:kern w:val="21"/>
          <w:highlight w:val="none"/>
          <w:lang w:eastAsia="zh-CN"/>
        </w:rPr>
        <w:t>主要部件来源、规范一览</w:t>
      </w:r>
      <w:r>
        <w:rPr>
          <w:rFonts w:hint="eastAsia" w:ascii="Times New Roman" w:hAnsi="Times New Roman" w:eastAsia="黑体" w:cs="Times New Roman"/>
          <w:b/>
          <w:bCs/>
          <w:kern w:val="21"/>
          <w:highlight w:val="none"/>
          <w:lang w:eastAsia="zh-CN"/>
        </w:rPr>
        <w:t>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705"/>
        <w:gridCol w:w="1705"/>
        <w:gridCol w:w="1705"/>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r>
              <w:rPr>
                <w:rFonts w:hint="eastAsia" w:ascii="宋体" w:hAnsi="宋体" w:eastAsia="宋体" w:cs="宋体"/>
                <w:kern w:val="21"/>
                <w:highlight w:val="none"/>
              </w:rPr>
              <w:t>序</w:t>
            </w:r>
            <w:r>
              <w:rPr>
                <w:rFonts w:hint="default" w:ascii="Times New Roman" w:hAnsi="Times New Roman" w:cs="Times New Roman"/>
                <w:kern w:val="21"/>
                <w:highlight w:val="none"/>
              </w:rPr>
              <w:t>号</w:t>
            </w:r>
          </w:p>
        </w:tc>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r>
              <w:rPr>
                <w:rFonts w:hint="eastAsia" w:ascii="宋体" w:hAnsi="宋体" w:eastAsia="宋体" w:cs="宋体"/>
                <w:kern w:val="21"/>
                <w:highlight w:val="none"/>
              </w:rPr>
              <w:t>部</w:t>
            </w:r>
            <w:r>
              <w:rPr>
                <w:rFonts w:hint="default" w:ascii="Times New Roman" w:hAnsi="Times New Roman" w:cs="Times New Roman"/>
                <w:kern w:val="21"/>
                <w:highlight w:val="none"/>
              </w:rPr>
              <w:t>件名称</w:t>
            </w:r>
          </w:p>
        </w:tc>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r>
              <w:rPr>
                <w:rFonts w:hint="eastAsia" w:ascii="宋体" w:hAnsi="宋体" w:eastAsia="宋体" w:cs="宋体"/>
                <w:kern w:val="21"/>
                <w:highlight w:val="none"/>
              </w:rPr>
              <w:t>产</w:t>
            </w:r>
            <w:r>
              <w:rPr>
                <w:rFonts w:hint="default" w:ascii="Times New Roman" w:hAnsi="Times New Roman" w:cs="Times New Roman"/>
                <w:kern w:val="21"/>
                <w:highlight w:val="none"/>
              </w:rPr>
              <w:t>地、厂家</w:t>
            </w:r>
          </w:p>
        </w:tc>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r>
              <w:rPr>
                <w:rFonts w:hint="eastAsia" w:ascii="宋体" w:hAnsi="宋体" w:eastAsia="宋体" w:cs="宋体"/>
                <w:kern w:val="21"/>
                <w:highlight w:val="none"/>
              </w:rPr>
              <w:t>型</w:t>
            </w:r>
            <w:r>
              <w:rPr>
                <w:rFonts w:hint="default" w:ascii="Times New Roman" w:hAnsi="Times New Roman" w:cs="Times New Roman"/>
                <w:kern w:val="21"/>
                <w:highlight w:val="none"/>
              </w:rPr>
              <w:t>号及规范</w:t>
            </w:r>
          </w:p>
        </w:tc>
        <w:tc>
          <w:tcPr>
            <w:tcW w:w="1706"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r>
              <w:rPr>
                <w:rFonts w:hint="eastAsia" w:ascii="宋体" w:hAnsi="宋体" w:eastAsia="宋体" w:cs="宋体"/>
                <w:kern w:val="21"/>
                <w:highlight w:val="none"/>
              </w:rPr>
              <w:t>备</w:t>
            </w:r>
            <w:r>
              <w:rPr>
                <w:rFonts w:hint="default" w:ascii="Times New Roman" w:hAnsi="Times New Roman" w:cs="Times New Roman"/>
                <w:kern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p>
        </w:tc>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p>
        </w:tc>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p>
        </w:tc>
        <w:tc>
          <w:tcPr>
            <w:tcW w:w="1705"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p>
        </w:tc>
        <w:tc>
          <w:tcPr>
            <w:tcW w:w="1706" w:type="dxa"/>
            <w:vAlign w:val="center"/>
          </w:tcPr>
          <w:p>
            <w:pPr>
              <w:pStyle w:val="4"/>
              <w:keepNext w:val="0"/>
              <w:keepLines w:val="0"/>
              <w:widowControl/>
              <w:suppressLineNumbers w:val="0"/>
              <w:topLinePunct/>
              <w:autoSpaceDE/>
              <w:autoSpaceDN/>
              <w:spacing w:before="0" w:beforeAutospacing="0" w:after="0" w:afterAutospacing="0"/>
              <w:ind w:left="0" w:right="0"/>
              <w:jc w:val="center"/>
              <w:rPr>
                <w:rFonts w:hint="default" w:ascii="Times New Roman" w:hAnsi="Times New Roman" w:eastAsia="黑体" w:cs="Times New Roman"/>
                <w:b/>
                <w:bCs/>
                <w:kern w:val="21"/>
                <w:highlight w:val="none"/>
                <w:lang w:eastAsia="zh-CN"/>
              </w:rPr>
            </w:pPr>
          </w:p>
        </w:tc>
      </w:tr>
    </w:tbl>
    <w:p>
      <w:pPr>
        <w:pStyle w:val="2"/>
        <w:outlineLvl w:val="9"/>
        <w:rPr>
          <w:highlight w:val="none"/>
          <w:lang w:eastAsia="zh-CN"/>
        </w:rPr>
      </w:pPr>
    </w:p>
    <w:p>
      <w:pPr>
        <w:rPr>
          <w:highlight w:val="none"/>
          <w:lang w:eastAsia="zh-CN"/>
        </w:rPr>
      </w:pPr>
    </w:p>
    <w:p>
      <w:pPr>
        <w:pStyle w:val="2"/>
        <w:rPr>
          <w:rFonts w:hint="eastAsia"/>
          <w:highlight w:val="none"/>
          <w:lang w:eastAsia="zh-CN"/>
        </w:rPr>
      </w:pPr>
      <w:bookmarkStart w:id="17" w:name="_Toc1704"/>
      <w:r>
        <w:rPr>
          <w:rFonts w:hint="eastAsia"/>
          <w:highlight w:val="none"/>
          <w:lang w:eastAsia="zh-CN"/>
        </w:rPr>
        <w:t>9、技术标书评价依据</w:t>
      </w:r>
      <w:bookmarkEnd w:id="17"/>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1、</w:t>
      </w:r>
      <w:r>
        <w:rPr>
          <w:rFonts w:hint="eastAsia" w:ascii="Times New Roman" w:hAnsi="Times New Roman" w:eastAsia="宋体" w:cs="Times New Roman"/>
          <w:kern w:val="21"/>
          <w:highlight w:val="none"/>
          <w:lang w:eastAsia="zh-CN"/>
        </w:rPr>
        <w:t>投标方所提供的技术服务与本项目技术要求的对比差异。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2、</w:t>
      </w:r>
      <w:r>
        <w:rPr>
          <w:rFonts w:hint="eastAsia" w:ascii="Times New Roman" w:hAnsi="Times New Roman" w:eastAsia="宋体" w:cs="Times New Roman"/>
          <w:kern w:val="21"/>
          <w:highlight w:val="none"/>
          <w:lang w:eastAsia="zh-CN"/>
        </w:rPr>
        <w:t>投标方安排参与项目的专业人员的数量、素质、技术能力、工作经验。</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投标方关于本项目的时间进度安排。</w:t>
      </w:r>
    </w:p>
    <w:p>
      <w:pPr>
        <w:rPr>
          <w:rFonts w:hint="eastAsia"/>
          <w:highlight w:val="none"/>
          <w:lang w:eastAsia="zh-CN"/>
        </w:rPr>
      </w:pPr>
    </w:p>
    <w:p>
      <w:pPr>
        <w:rPr>
          <w:rFonts w:hint="eastAsia"/>
          <w:highlight w:val="none"/>
          <w:lang w:eastAsia="zh-CN"/>
        </w:rPr>
      </w:pPr>
    </w:p>
    <w:p>
      <w:pPr>
        <w:pStyle w:val="2"/>
        <w:rPr>
          <w:rFonts w:hint="eastAsia"/>
          <w:highlight w:val="none"/>
          <w:lang w:eastAsia="zh-CN"/>
        </w:rPr>
      </w:pPr>
      <w:bookmarkStart w:id="18" w:name="_Toc13789"/>
      <w:r>
        <w:rPr>
          <w:rFonts w:hint="eastAsia"/>
          <w:highlight w:val="none"/>
          <w:lang w:eastAsia="zh-CN"/>
        </w:rPr>
        <w:t>10、技术应答及技术差异表</w:t>
      </w:r>
      <w:bookmarkEnd w:id="18"/>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投标方应针对本招标文件的“3.工作范围”、“4.使用条件”、“5.技术要求”内容进行详细的技术应答并编制技术差异表(见附表1)。</w:t>
      </w:r>
    </w:p>
    <w:p>
      <w:pPr>
        <w:rPr>
          <w:rFonts w:hint="eastAsia"/>
          <w:highlight w:val="none"/>
          <w:lang w:eastAsia="zh-CN"/>
        </w:rPr>
      </w:pPr>
    </w:p>
    <w:p>
      <w:pPr>
        <w:rPr>
          <w:rFonts w:hint="eastAsia"/>
          <w:highlight w:val="none"/>
          <w:lang w:eastAsia="zh-CN"/>
        </w:rPr>
      </w:pPr>
    </w:p>
    <w:p>
      <w:pPr>
        <w:pStyle w:val="2"/>
        <w:rPr>
          <w:rFonts w:hint="eastAsia"/>
          <w:highlight w:val="none"/>
          <w:lang w:eastAsia="zh-CN"/>
        </w:rPr>
      </w:pPr>
      <w:bookmarkStart w:id="19" w:name="_Toc15189"/>
      <w:r>
        <w:rPr>
          <w:rFonts w:hint="eastAsia"/>
          <w:highlight w:val="none"/>
          <w:lang w:eastAsia="zh-CN"/>
        </w:rPr>
        <w:t>11、其它</w:t>
      </w:r>
      <w:bookmarkEnd w:id="19"/>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本标书的最终解释权归招标方。</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spacing w:line="360" w:lineRule="auto"/>
        <w:outlineLvl w:val="0"/>
        <w:rPr>
          <w:rFonts w:hint="default" w:ascii="黑体" w:hAnsi="黑体" w:eastAsia="黑体" w:cs="黑体"/>
          <w:bCs/>
          <w:sz w:val="24"/>
          <w:highlight w:val="none"/>
          <w:lang w:val="en-US" w:eastAsia="zh-CN"/>
        </w:rPr>
      </w:pPr>
      <w:bookmarkStart w:id="20" w:name="_Toc28247"/>
      <w:r>
        <w:rPr>
          <w:rFonts w:hint="eastAsia" w:ascii="黑体" w:hAnsi="黑体" w:eastAsia="黑体" w:cs="黑体"/>
          <w:bCs/>
          <w:sz w:val="24"/>
          <w:highlight w:val="none"/>
          <w:lang w:val="en-US" w:eastAsia="zh-CN"/>
        </w:rPr>
        <w:t>附表1 技术差异表</w:t>
      </w:r>
      <w:bookmarkEnd w:id="20"/>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投标方应将所提供服务差异如实填写在下面空栏里，包括所有试验项目的试验能力差异。</w:t>
      </w:r>
    </w:p>
    <w:tbl>
      <w:tblPr>
        <w:tblStyle w:val="7"/>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pPr>
              <w:keepNext w:val="0"/>
              <w:keepLines w:val="0"/>
              <w:widowControl/>
              <w:suppressLineNumbers w:val="0"/>
              <w:spacing w:before="0" w:beforeAutospacing="0" w:after="0" w:afterAutospacing="0"/>
              <w:ind w:left="0" w:right="0"/>
              <w:jc w:val="center"/>
              <w:rPr>
                <w:rFonts w:hint="default"/>
                <w:szCs w:val="21"/>
                <w:highlight w:val="none"/>
              </w:rPr>
            </w:pPr>
            <w:r>
              <w:rPr>
                <w:rFonts w:hint="eastAsia"/>
                <w:szCs w:val="21"/>
                <w:highlight w:val="none"/>
              </w:rPr>
              <w:t>序号</w:t>
            </w:r>
          </w:p>
        </w:tc>
        <w:tc>
          <w:tcPr>
            <w:tcW w:w="1783" w:type="dxa"/>
            <w:tcBorders>
              <w:tl2br w:val="nil"/>
              <w:tr2bl w:val="nil"/>
            </w:tcBorders>
            <w:vAlign w:val="center"/>
          </w:tcPr>
          <w:p>
            <w:pPr>
              <w:keepNext w:val="0"/>
              <w:keepLines w:val="0"/>
              <w:widowControl/>
              <w:suppressLineNumbers w:val="0"/>
              <w:spacing w:before="0" w:beforeAutospacing="0" w:after="0" w:afterAutospacing="0"/>
              <w:ind w:left="0" w:right="0"/>
              <w:jc w:val="center"/>
              <w:rPr>
                <w:rFonts w:hint="default"/>
                <w:szCs w:val="21"/>
                <w:highlight w:val="none"/>
              </w:rPr>
            </w:pPr>
            <w:r>
              <w:rPr>
                <w:rFonts w:hint="eastAsia"/>
                <w:szCs w:val="21"/>
                <w:highlight w:val="none"/>
              </w:rPr>
              <w:t>条目</w:t>
            </w:r>
          </w:p>
        </w:tc>
        <w:tc>
          <w:tcPr>
            <w:tcW w:w="2639" w:type="dxa"/>
            <w:tcBorders>
              <w:tl2br w:val="nil"/>
              <w:tr2bl w:val="nil"/>
            </w:tcBorders>
            <w:vAlign w:val="center"/>
          </w:tcPr>
          <w:p>
            <w:pPr>
              <w:keepNext w:val="0"/>
              <w:keepLines w:val="0"/>
              <w:widowControl/>
              <w:suppressLineNumbers w:val="0"/>
              <w:spacing w:before="0" w:beforeAutospacing="0" w:after="0" w:afterAutospacing="0"/>
              <w:ind w:left="0" w:right="0"/>
              <w:jc w:val="center"/>
              <w:rPr>
                <w:rFonts w:hint="default"/>
                <w:szCs w:val="21"/>
                <w:highlight w:val="none"/>
              </w:rPr>
            </w:pPr>
            <w:r>
              <w:rPr>
                <w:rFonts w:hint="eastAsia"/>
                <w:szCs w:val="21"/>
                <w:highlight w:val="none"/>
              </w:rPr>
              <w:t>标书所要求的技术服务能力</w:t>
            </w:r>
          </w:p>
        </w:tc>
        <w:tc>
          <w:tcPr>
            <w:tcW w:w="2819" w:type="dxa"/>
            <w:tcBorders>
              <w:tl2br w:val="nil"/>
              <w:tr2bl w:val="nil"/>
            </w:tcBorders>
            <w:vAlign w:val="center"/>
          </w:tcPr>
          <w:p>
            <w:pPr>
              <w:keepNext w:val="0"/>
              <w:keepLines w:val="0"/>
              <w:widowControl/>
              <w:suppressLineNumbers w:val="0"/>
              <w:spacing w:before="0" w:beforeAutospacing="0" w:after="0" w:afterAutospacing="0"/>
              <w:ind w:left="0" w:right="0"/>
              <w:jc w:val="center"/>
              <w:rPr>
                <w:rFonts w:hint="default"/>
                <w:szCs w:val="21"/>
                <w:highlight w:val="none"/>
              </w:rPr>
            </w:pPr>
            <w:r>
              <w:rPr>
                <w:rFonts w:hint="eastAsia"/>
                <w:szCs w:val="21"/>
                <w:highlight w:val="none"/>
              </w:rPr>
              <w:t>投标者所提供的技术服务能力</w:t>
            </w:r>
          </w:p>
        </w:tc>
        <w:tc>
          <w:tcPr>
            <w:tcW w:w="598" w:type="dxa"/>
            <w:tcBorders>
              <w:tl2br w:val="nil"/>
              <w:tr2bl w:val="nil"/>
            </w:tcBorders>
            <w:vAlign w:val="center"/>
          </w:tcPr>
          <w:p>
            <w:pPr>
              <w:keepNext w:val="0"/>
              <w:keepLines w:val="0"/>
              <w:widowControl/>
              <w:suppressLineNumbers w:val="0"/>
              <w:spacing w:before="0" w:beforeAutospacing="0" w:after="0" w:afterAutospacing="0"/>
              <w:ind w:left="0" w:right="0"/>
              <w:jc w:val="center"/>
              <w:rPr>
                <w:rFonts w:hint="default"/>
                <w:szCs w:val="21"/>
                <w:highlight w:val="none"/>
              </w:rPr>
            </w:pPr>
            <w:r>
              <w:rPr>
                <w:rFonts w:hint="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1783"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63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81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598"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1783"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63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81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598"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552"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1783"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63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81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598"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rPr>
        <w:tc>
          <w:tcPr>
            <w:tcW w:w="552"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1783"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63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2819"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c>
          <w:tcPr>
            <w:tcW w:w="598" w:type="dxa"/>
            <w:tcBorders>
              <w:tl2br w:val="nil"/>
              <w:tr2bl w:val="nil"/>
            </w:tcBorders>
          </w:tcPr>
          <w:p>
            <w:pPr>
              <w:keepNext w:val="0"/>
              <w:keepLines w:val="0"/>
              <w:widowControl/>
              <w:suppressLineNumbers w:val="0"/>
              <w:spacing w:before="0" w:beforeAutospacing="0" w:after="0" w:afterAutospacing="0"/>
              <w:ind w:left="0" w:right="0"/>
              <w:rPr>
                <w:rFonts w:hint="default"/>
                <w:szCs w:val="21"/>
                <w:highlight w:val="none"/>
              </w:rPr>
            </w:pPr>
          </w:p>
        </w:tc>
      </w:tr>
    </w:tbl>
    <w:p>
      <w:pPr>
        <w:keepNext w:val="0"/>
        <w:keepLines w:val="0"/>
        <w:pageBreakBefore w:val="0"/>
        <w:widowControl/>
        <w:kinsoku w:val="0"/>
        <w:wordWrap/>
        <w:overflowPunct/>
        <w:topLinePunct/>
        <w:autoSpaceDE/>
        <w:autoSpaceDN/>
        <w:bidi w:val="0"/>
        <w:adjustRightInd w:val="0"/>
        <w:snapToGrid w:val="0"/>
        <w:spacing w:line="20" w:lineRule="exact"/>
        <w:textAlignment w:val="baseline"/>
        <w:rPr>
          <w:rFonts w:hint="eastAsia" w:ascii="Times New Roman" w:hAnsi="Times New Roman" w:eastAsia="宋体" w:cs="Times New Roman"/>
          <w:kern w:val="21"/>
          <w:highlight w:val="none"/>
          <w:lang w:eastAsia="zh-CN"/>
        </w:rPr>
      </w:pPr>
    </w:p>
    <w:sectPr>
      <w:pgSz w:w="11910" w:h="16850"/>
      <w:pgMar w:top="1440" w:right="1800" w:bottom="1440" w:left="1800" w:header="0" w:footer="130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06009"/>
    <w:multiLevelType w:val="singleLevel"/>
    <w:tmpl w:val="14106009"/>
    <w:lvl w:ilvl="0" w:tentative="0">
      <w:start w:val="2"/>
      <w:numFmt w:val="decimal"/>
      <w:suff w:val="nothing"/>
      <w:lvlText w:val="%1、"/>
      <w:lvlJc w:val="left"/>
    </w:lvl>
  </w:abstractNum>
  <w:abstractNum w:abstractNumId="1">
    <w:nsid w:val="47C83CB2"/>
    <w:multiLevelType w:val="singleLevel"/>
    <w:tmpl w:val="47C83CB2"/>
    <w:lvl w:ilvl="0" w:tentative="0">
      <w:start w:val="1"/>
      <w:numFmt w:val="decimal"/>
      <w:lvlText w:val="%1)"/>
      <w:lvlJc w:val="left"/>
      <w:pPr>
        <w:ind w:left="425" w:hanging="425"/>
      </w:pPr>
      <w:rPr>
        <w:rFonts w:hint="default"/>
        <w:b w:val="0"/>
        <w:bCs w:val="0"/>
      </w:rPr>
    </w:lvl>
  </w:abstractNum>
  <w:abstractNum w:abstractNumId="2">
    <w:nsid w:val="48A6CB85"/>
    <w:multiLevelType w:val="multilevel"/>
    <w:tmpl w:val="48A6CB8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6AB7B44F"/>
    <w:multiLevelType w:val="singleLevel"/>
    <w:tmpl w:val="6AB7B44F"/>
    <w:lvl w:ilvl="0" w:tentative="0">
      <w:start w:val="1"/>
      <w:numFmt w:val="decimal"/>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0"/>
  <w:displayHorizontalDrawingGridEvery w:val="0"/>
  <w:displayVerticalDrawingGridEvery w:val="2"/>
  <w:characterSpacingControl w:val="doNotCompress"/>
  <w:compat>
    <w:spaceForUL/>
    <w:balanceSingleByteDoubleByteWidth/>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FlMWZkMjU4MzYyNjQwN2Y3OWNmOGIzMDRjNzYyY2UifQ=="/>
  </w:docVars>
  <w:rsids>
    <w:rsidRoot w:val="0057600A"/>
    <w:rsid w:val="00285A30"/>
    <w:rsid w:val="002F3AAF"/>
    <w:rsid w:val="0031006E"/>
    <w:rsid w:val="00433278"/>
    <w:rsid w:val="005522AF"/>
    <w:rsid w:val="0057600A"/>
    <w:rsid w:val="006C7BB9"/>
    <w:rsid w:val="007E6585"/>
    <w:rsid w:val="00827078"/>
    <w:rsid w:val="00962637"/>
    <w:rsid w:val="009954DD"/>
    <w:rsid w:val="00A21025"/>
    <w:rsid w:val="00A43F7A"/>
    <w:rsid w:val="00A91A71"/>
    <w:rsid w:val="00BF483D"/>
    <w:rsid w:val="00C5457F"/>
    <w:rsid w:val="00C95DFE"/>
    <w:rsid w:val="00E6653E"/>
    <w:rsid w:val="00EE45A3"/>
    <w:rsid w:val="01D86B2C"/>
    <w:rsid w:val="04763B3C"/>
    <w:rsid w:val="059C6EED"/>
    <w:rsid w:val="066D5311"/>
    <w:rsid w:val="06C578AE"/>
    <w:rsid w:val="097D3D78"/>
    <w:rsid w:val="0ACC6AD4"/>
    <w:rsid w:val="0E0F17E1"/>
    <w:rsid w:val="0ECC4CAD"/>
    <w:rsid w:val="0F2130DE"/>
    <w:rsid w:val="0FCD6711"/>
    <w:rsid w:val="128C448C"/>
    <w:rsid w:val="13E141D1"/>
    <w:rsid w:val="18BD6DAF"/>
    <w:rsid w:val="1A1E7509"/>
    <w:rsid w:val="1C8B1227"/>
    <w:rsid w:val="1EAB2D64"/>
    <w:rsid w:val="1F0E047B"/>
    <w:rsid w:val="2198186C"/>
    <w:rsid w:val="21D84C54"/>
    <w:rsid w:val="22B03983"/>
    <w:rsid w:val="234709BF"/>
    <w:rsid w:val="25C85593"/>
    <w:rsid w:val="265B24AB"/>
    <w:rsid w:val="294011EC"/>
    <w:rsid w:val="2F3026A5"/>
    <w:rsid w:val="2F597F13"/>
    <w:rsid w:val="31226AD3"/>
    <w:rsid w:val="370205F8"/>
    <w:rsid w:val="3806447F"/>
    <w:rsid w:val="3A1853F9"/>
    <w:rsid w:val="3A4C3185"/>
    <w:rsid w:val="3FD4579C"/>
    <w:rsid w:val="41FC2380"/>
    <w:rsid w:val="4260502C"/>
    <w:rsid w:val="432B5BA6"/>
    <w:rsid w:val="44711559"/>
    <w:rsid w:val="4A041AF8"/>
    <w:rsid w:val="4B174716"/>
    <w:rsid w:val="4D900E39"/>
    <w:rsid w:val="4E38610A"/>
    <w:rsid w:val="50933D37"/>
    <w:rsid w:val="5376147C"/>
    <w:rsid w:val="557D4997"/>
    <w:rsid w:val="5615762C"/>
    <w:rsid w:val="568E65D6"/>
    <w:rsid w:val="56956775"/>
    <w:rsid w:val="59E0323A"/>
    <w:rsid w:val="5ADD3B02"/>
    <w:rsid w:val="5B791ADF"/>
    <w:rsid w:val="5B8D108C"/>
    <w:rsid w:val="5BA710D6"/>
    <w:rsid w:val="5D9E7F4F"/>
    <w:rsid w:val="5E8B0EE0"/>
    <w:rsid w:val="5EF0005A"/>
    <w:rsid w:val="605D6E26"/>
    <w:rsid w:val="61366906"/>
    <w:rsid w:val="62310410"/>
    <w:rsid w:val="66E6646D"/>
    <w:rsid w:val="67002A3B"/>
    <w:rsid w:val="67FF5FAE"/>
    <w:rsid w:val="6D484061"/>
    <w:rsid w:val="6D9958BA"/>
    <w:rsid w:val="73CB6AAE"/>
    <w:rsid w:val="76B11F15"/>
    <w:rsid w:val="794C2F0D"/>
    <w:rsid w:val="79AC10E3"/>
    <w:rsid w:val="7C475ADD"/>
    <w:rsid w:val="7E816641"/>
    <w:rsid w:val="7EF531F3"/>
    <w:rsid w:val="7EF64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line="360" w:lineRule="auto"/>
      <w:outlineLvl w:val="0"/>
    </w:pPr>
    <w:rPr>
      <w:rFonts w:ascii="Times New Roman" w:hAnsi="Times New Roman" w:eastAsia="宋体" w:cs="Times New Roman"/>
      <w:b/>
      <w:kern w:val="44"/>
      <w:sz w:val="24"/>
    </w:rPr>
  </w:style>
  <w:style w:type="character" w:default="1" w:styleId="9">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annotation text"/>
    <w:basedOn w:val="1"/>
    <w:qFormat/>
    <w:uiPriority w:val="0"/>
  </w:style>
  <w:style w:type="paragraph" w:styleId="4">
    <w:name w:val="Body Text"/>
    <w:basedOn w:val="1"/>
    <w:qFormat/>
    <w:uiPriority w:val="0"/>
  </w:style>
  <w:style w:type="paragraph" w:styleId="5">
    <w:name w:val="footer"/>
    <w:basedOn w:val="1"/>
    <w:qFormat/>
    <w:uiPriority w:val="0"/>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0"/>
      <w:szCs w:val="20"/>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542</Words>
  <Characters>3094</Characters>
  <Lines>25</Lines>
  <Paragraphs>7</Paragraphs>
  <TotalTime>11</TotalTime>
  <ScaleCrop>false</ScaleCrop>
  <LinksUpToDate>false</LinksUpToDate>
  <CharactersWithSpaces>3629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2024-02-21T02:20:00Z</dcterms:created>
  <dc:creator>Kingsoft-PDF</dc:creator>
  <cp:lastModifiedBy>15CA360935BBFD52E053380F0A0A1B10</cp:lastModifiedBy>
  <dcterms:modified xsi:type="dcterms:W3CDTF">2024-04-03T02:38:46Z</dcterms:modified>
  <dc:subject>pdfbuilder</dc:subject>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A11AD01C86CE4ADC98EA5DCF60BD46D7</vt:lpwstr>
  </property>
</Properties>
</file>