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opLinePunct/>
        <w:autoSpaceDE/>
        <w:autoSpaceDN/>
        <w:spacing w:line="259" w:lineRule="auto"/>
        <w:rPr>
          <w:rFonts w:ascii="Times New Roman" w:hAnsi="Times New Roman" w:cs="Times New Roman"/>
          <w:kern w:val="21"/>
          <w:highlight w:val="none"/>
        </w:rPr>
      </w:pPr>
      <w:r>
        <w:rPr>
          <w:rFonts w:ascii="Times New Roman" w:hAnsi="Times New Roman" w:cs="Times New Roman"/>
          <w:kern w:val="21"/>
          <w:highlight w:val="none"/>
        </w:rPr>
        <w:drawing>
          <wp:anchor distT="0" distB="0" distL="114300" distR="114300" simplePos="0" relativeHeight="251659264" behindDoc="0" locked="0" layoutInCell="1" allowOverlap="1">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9"/>
                    <a:srcRect b="75984"/>
                    <a:stretch>
                      <a:fillRect/>
                    </a:stretch>
                  </pic:blipFill>
                  <pic:spPr>
                    <a:xfrm>
                      <a:off x="0" y="0"/>
                      <a:ext cx="7635875" cy="2567940"/>
                    </a:xfrm>
                    <a:prstGeom prst="rect">
                      <a:avLst/>
                    </a:prstGeom>
                    <a:noFill/>
                    <a:ln>
                      <a:noFill/>
                    </a:ln>
                  </pic:spPr>
                </pic:pic>
              </a:graphicData>
            </a:graphic>
          </wp:anchor>
        </w:drawing>
      </w:r>
    </w:p>
    <w:p>
      <w:pPr>
        <w:pStyle w:val="4"/>
        <w:topLinePunct/>
        <w:autoSpaceDE/>
        <w:autoSpaceDN/>
        <w:spacing w:line="259"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topLinePunct/>
        <w:autoSpaceDE/>
        <w:autoSpaceDN/>
        <w:spacing w:before="149" w:line="1229" w:lineRule="exact"/>
        <w:ind w:left="2280"/>
        <w:rPr>
          <w:rFonts w:ascii="Times New Roman" w:hAnsi="Times New Roman" w:eastAsia="宋体" w:cs="Times New Roman"/>
          <w:b/>
          <w:bCs/>
          <w:kern w:val="21"/>
          <w:sz w:val="46"/>
          <w:szCs w:val="46"/>
          <w:highlight w:val="none"/>
        </w:rPr>
      </w:pPr>
    </w:p>
    <w:p>
      <w:pPr>
        <w:topLinePunct/>
        <w:autoSpaceDE/>
        <w:autoSpaceDN/>
        <w:spacing w:before="1" w:line="218" w:lineRule="auto"/>
        <w:jc w:val="left"/>
        <w:rPr>
          <w:rFonts w:hint="eastAsia" w:ascii="Times New Roman" w:hAnsi="Times New Roman" w:eastAsia="宋体" w:cs="Times New Roman"/>
          <w:b/>
          <w:bCs/>
          <w:kern w:val="21"/>
          <w:sz w:val="46"/>
          <w:szCs w:val="46"/>
          <w:highlight w:val="none"/>
          <w:lang w:eastAsia="zh-CN"/>
        </w:rPr>
      </w:pPr>
    </w:p>
    <w:p>
      <w:pPr>
        <w:topLinePunct/>
        <w:autoSpaceDE/>
        <w:autoSpaceDN/>
        <w:spacing w:before="1" w:line="218" w:lineRule="auto"/>
        <w:jc w:val="left"/>
        <w:rPr>
          <w:rFonts w:hint="eastAsia" w:ascii="Times New Roman" w:hAnsi="Times New Roman" w:eastAsia="宋体" w:cs="Times New Roman"/>
          <w:b/>
          <w:bCs/>
          <w:kern w:val="21"/>
          <w:sz w:val="46"/>
          <w:szCs w:val="46"/>
          <w:highlight w:val="none"/>
          <w:lang w:eastAsia="zh-CN"/>
        </w:rPr>
      </w:pPr>
    </w:p>
    <w:p>
      <w:pPr>
        <w:topLinePunct/>
        <w:autoSpaceDE/>
        <w:autoSpaceDN/>
        <w:spacing w:before="1" w:line="218" w:lineRule="auto"/>
        <w:jc w:val="left"/>
        <w:rPr>
          <w:rFonts w:hint="eastAsia" w:ascii="Times New Roman" w:hAnsi="Times New Roman" w:eastAsia="宋体" w:cs="Times New Roman"/>
          <w:b/>
          <w:bCs/>
          <w:kern w:val="21"/>
          <w:sz w:val="46"/>
          <w:szCs w:val="46"/>
          <w:highlight w:val="none"/>
          <w:lang w:eastAsia="zh-CN"/>
        </w:rPr>
      </w:pPr>
    </w:p>
    <w:p>
      <w:pPr>
        <w:topLinePunct/>
        <w:autoSpaceDE/>
        <w:autoSpaceDN/>
        <w:spacing w:before="1" w:line="360" w:lineRule="auto"/>
        <w:jc w:val="left"/>
        <w:rPr>
          <w:rFonts w:ascii="Times New Roman" w:hAnsi="Times New Roman" w:eastAsia="宋体" w:cs="Times New Roman"/>
          <w:b/>
          <w:bCs/>
          <w:kern w:val="21"/>
          <w:sz w:val="46"/>
          <w:szCs w:val="46"/>
          <w:highlight w:val="none"/>
          <w:lang w:eastAsia="zh-CN"/>
        </w:rPr>
      </w:pPr>
      <w:r>
        <w:rPr>
          <w:rFonts w:hint="eastAsia" w:ascii="Times New Roman" w:hAnsi="Times New Roman" w:eastAsia="宋体" w:cs="Times New Roman"/>
          <w:b/>
          <w:bCs/>
          <w:kern w:val="21"/>
          <w:sz w:val="46"/>
          <w:szCs w:val="46"/>
          <w:highlight w:val="none"/>
          <w:lang w:eastAsia="zh-CN"/>
        </w:rPr>
        <w:t>基于变电站自动化系统的开关特性监测系统</w:t>
      </w:r>
    </w:p>
    <w:p>
      <w:pPr>
        <w:topLinePunct/>
        <w:autoSpaceDE/>
        <w:autoSpaceDN/>
        <w:spacing w:before="1" w:line="360" w:lineRule="auto"/>
        <w:ind w:left="2990"/>
        <w:jc w:val="left"/>
        <w:rPr>
          <w:rFonts w:ascii="Times New Roman" w:hAnsi="Times New Roman" w:eastAsia="宋体" w:cs="Times New Roman"/>
          <w:kern w:val="21"/>
          <w:sz w:val="46"/>
          <w:szCs w:val="46"/>
          <w:highlight w:val="none"/>
          <w:lang w:eastAsia="zh-CN"/>
        </w:rPr>
      </w:pPr>
      <w:r>
        <w:rPr>
          <w:rFonts w:ascii="Times New Roman" w:hAnsi="Times New Roman" w:eastAsia="宋体" w:cs="Times New Roman"/>
          <w:b/>
          <w:bCs/>
          <w:kern w:val="21"/>
          <w:sz w:val="46"/>
          <w:szCs w:val="46"/>
          <w:highlight w:val="none"/>
          <w:lang w:eastAsia="zh-CN"/>
        </w:rPr>
        <w:t>技术条件书</w:t>
      </w: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topLinePunct/>
        <w:autoSpaceDE/>
        <w:autoSpaceDN/>
        <w:spacing w:before="133" w:line="709" w:lineRule="exact"/>
        <w:ind w:left="839"/>
        <w:rPr>
          <w:rFonts w:ascii="Times New Roman" w:hAnsi="Times New Roman" w:eastAsia="宋体" w:cs="Times New Roman"/>
          <w:kern w:val="21"/>
          <w:sz w:val="41"/>
          <w:szCs w:val="41"/>
          <w:highlight w:val="none"/>
          <w:lang w:eastAsia="zh-CN"/>
        </w:rPr>
      </w:pPr>
      <w:r>
        <w:rPr>
          <w:rFonts w:ascii="Times New Roman" w:hAnsi="Times New Roman" w:eastAsia="宋体" w:cs="Times New Roman"/>
          <w:b/>
          <w:bCs/>
          <w:kern w:val="21"/>
          <w:sz w:val="41"/>
          <w:szCs w:val="41"/>
          <w:highlight w:val="none"/>
          <w:lang w:eastAsia="zh-CN"/>
        </w:rPr>
        <w:t>广东电网有限责任公司广州供电局</w:t>
      </w:r>
    </w:p>
    <w:p>
      <w:pPr>
        <w:topLinePunct/>
        <w:autoSpaceDE/>
        <w:autoSpaceDN/>
        <w:spacing w:before="1" w:line="219" w:lineRule="auto"/>
        <w:ind w:left="3138"/>
        <w:rPr>
          <w:rFonts w:ascii="Times New Roman" w:hAnsi="Times New Roman" w:eastAsia="宋体" w:cs="Times New Roman"/>
          <w:kern w:val="21"/>
          <w:sz w:val="32"/>
          <w:szCs w:val="32"/>
          <w:highlight w:val="none"/>
          <w:lang w:eastAsia="zh-CN"/>
        </w:rPr>
        <w:sectPr>
          <w:pgSz w:w="11910" w:h="16850"/>
          <w:pgMar w:top="1432" w:right="226" w:bottom="0" w:left="1786" w:header="0" w:footer="0" w:gutter="0"/>
          <w:pgNumType w:fmt="decimal" w:start="1"/>
          <w:cols w:space="720" w:num="1"/>
        </w:sectPr>
      </w:pPr>
      <w:r>
        <w:rPr>
          <w:rFonts w:ascii="Times New Roman" w:hAnsi="Times New Roman" w:eastAsia="宋体" w:cs="Times New Roman"/>
          <w:b/>
          <w:bCs/>
          <w:kern w:val="21"/>
          <w:sz w:val="32"/>
          <w:szCs w:val="32"/>
          <w:highlight w:val="none"/>
          <w:lang w:eastAsia="zh-CN"/>
        </w:rPr>
        <w:t>2</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0</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2</w:t>
      </w:r>
      <w:r>
        <w:rPr>
          <w:rFonts w:ascii="Times New Roman" w:hAnsi="Times New Roman" w:eastAsia="宋体" w:cs="Times New Roman"/>
          <w:kern w:val="21"/>
          <w:sz w:val="32"/>
          <w:szCs w:val="32"/>
          <w:highlight w:val="none"/>
          <w:lang w:eastAsia="zh-CN"/>
        </w:rPr>
        <w:t xml:space="preserve"> </w:t>
      </w:r>
      <w:r>
        <w:rPr>
          <w:rFonts w:hint="eastAsia" w:ascii="Times New Roman" w:hAnsi="Times New Roman" w:eastAsia="宋体" w:cs="Times New Roman"/>
          <w:b/>
          <w:bCs/>
          <w:kern w:val="21"/>
          <w:sz w:val="32"/>
          <w:szCs w:val="32"/>
          <w:highlight w:val="none"/>
          <w:lang w:eastAsia="zh-CN"/>
        </w:rPr>
        <w:t>4</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年</w:t>
      </w:r>
      <w:r>
        <w:rPr>
          <w:rFonts w:hint="eastAsia" w:ascii="Times New Roman" w:hAnsi="Times New Roman" w:eastAsia="宋体" w:cs="Times New Roman"/>
          <w:b/>
          <w:bCs/>
          <w:kern w:val="21"/>
          <w:sz w:val="32"/>
          <w:szCs w:val="32"/>
          <w:highlight w:val="none"/>
          <w:lang w:eastAsia="zh-CN"/>
        </w:rPr>
        <w:t>03</w:t>
      </w:r>
      <w:r>
        <w:rPr>
          <w:rFonts w:ascii="Times New Roman" w:hAnsi="Times New Roman" w:eastAsia="宋体" w:cs="Times New Roman"/>
          <w:b/>
          <w:bCs/>
          <w:kern w:val="21"/>
          <w:sz w:val="32"/>
          <w:szCs w:val="32"/>
          <w:highlight w:val="none"/>
          <w:lang w:eastAsia="zh-CN"/>
        </w:rPr>
        <w:t>月</w:t>
      </w:r>
    </w:p>
    <w:sdt>
      <w:sdtPr>
        <w:rPr>
          <w:rFonts w:hint="eastAsia" w:ascii="黑体" w:hAnsi="黑体" w:eastAsia="黑体" w:cs="黑体"/>
          <w:snapToGrid w:val="0"/>
          <w:color w:val="000000"/>
          <w:sz w:val="28"/>
          <w:szCs w:val="28"/>
          <w:highlight w:val="none"/>
          <w:lang w:val="en-US" w:eastAsia="en-US" w:bidi="ar-SA"/>
        </w:rPr>
        <w:id w:val="147463193"/>
        <w15:color w:val="DBDBDB"/>
        <w:docPartObj>
          <w:docPartGallery w:val="Table of Contents"/>
          <w:docPartUnique/>
        </w:docPartObj>
      </w:sdtPr>
      <w:sdtEndPr>
        <w:rPr>
          <w:rFonts w:hint="eastAsia" w:ascii="Times New Roman" w:hAnsi="Times New Roman" w:eastAsia="Arial" w:cs="Times New Roman"/>
          <w:snapToGrid w:val="0"/>
          <w:color w:val="000000"/>
          <w:kern w:val="21"/>
          <w:sz w:val="21"/>
          <w:szCs w:val="21"/>
          <w:highlight w:val="none"/>
          <w:lang w:val="en-US" w:eastAsia="zh-CN" w:bidi="ar-SA"/>
        </w:rPr>
      </w:sdtEndPr>
      <w:sdtContent>
        <w:p>
          <w:pPr>
            <w:spacing w:before="0" w:beforeLines="0" w:after="0" w:afterLines="0" w:line="480" w:lineRule="auto"/>
            <w:ind w:left="0" w:leftChars="0" w:right="0" w:rightChars="0" w:firstLine="0" w:firstLineChars="0"/>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目录</w:t>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TOC \o "1-1" \h \u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_Toc27858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rPr>
            <w:t>1</w:t>
          </w:r>
          <w:r>
            <w:rPr>
              <w:rFonts w:hint="eastAsia" w:ascii="黑体" w:hAnsi="黑体" w:eastAsia="黑体" w:cs="黑体"/>
              <w:sz w:val="28"/>
              <w:szCs w:val="28"/>
              <w:highlight w:val="none"/>
              <w:lang w:eastAsia="zh-CN"/>
            </w:rPr>
            <w:t xml:space="preserve">  </w:t>
          </w:r>
          <w:r>
            <w:rPr>
              <w:rFonts w:hint="eastAsia" w:ascii="黑体" w:hAnsi="黑体" w:eastAsia="黑体" w:cs="黑体"/>
              <w:sz w:val="28"/>
              <w:szCs w:val="28"/>
              <w:highlight w:val="none"/>
            </w:rPr>
            <w:t>总则</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1</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_Toc32091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2  工作范围</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1</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_Toc905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3  应遵循的主要标准</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3</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_Toc14522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4  质量保证</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4</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_Toc24670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5</w:t>
          </w:r>
          <w:r>
            <w:rPr>
              <w:rFonts w:hint="eastAsia" w:ascii="黑体" w:hAnsi="黑体" w:eastAsia="黑体" w:cs="黑体"/>
              <w:sz w:val="28"/>
              <w:szCs w:val="28"/>
              <w:highlight w:val="none"/>
              <w:lang w:eastAsia="zh-CN"/>
            </w:rPr>
            <w:t xml:space="preserve">  包装、运输和储存</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_Toc10235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6、双方工作安排</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_Toc6391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7</w:t>
          </w:r>
          <w:r>
            <w:rPr>
              <w:rFonts w:hint="eastAsia" w:ascii="黑体" w:hAnsi="黑体" w:eastAsia="黑体" w:cs="黑体"/>
              <w:sz w:val="28"/>
              <w:szCs w:val="28"/>
              <w:highlight w:val="none"/>
              <w:lang w:eastAsia="zh-CN"/>
            </w:rPr>
            <w:t xml:space="preserve">  备品备件及专用工具</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_Toc9278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8  投标方应填写主要部件来源、规范一览表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_Toc1704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9</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技术标书评价依据</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_Toc13789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10</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技术应答及技术差异表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_Toc15189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11</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其它</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_Toc28247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bCs/>
              <w:sz w:val="28"/>
              <w:szCs w:val="28"/>
              <w:highlight w:val="none"/>
              <w:lang w:val="en-US" w:eastAsia="zh-CN"/>
            </w:rPr>
            <w:t>附表1 技术差异表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7</w:t>
          </w:r>
          <w:r>
            <w:rPr>
              <w:rFonts w:hint="eastAsia" w:ascii="黑体" w:hAnsi="黑体" w:eastAsia="黑体" w:cs="黑体"/>
              <w:kern w:val="21"/>
              <w:sz w:val="28"/>
              <w:szCs w:val="28"/>
              <w:highlight w:val="none"/>
              <w:lang w:eastAsia="zh-CN"/>
            </w:rPr>
            <w:fldChar w:fldCharType="end"/>
          </w:r>
        </w:p>
        <w:p>
          <w:pPr>
            <w:pStyle w:val="4"/>
            <w:topLinePunct/>
            <w:autoSpaceDE/>
            <w:autoSpaceDN/>
            <w:spacing w:line="480" w:lineRule="auto"/>
            <w:rPr>
              <w:rFonts w:ascii="Times New Roman" w:hAnsi="Times New Roman" w:cs="Times New Roman"/>
              <w:kern w:val="21"/>
              <w:highlight w:val="none"/>
              <w:lang w:eastAsia="zh-CN"/>
            </w:rPr>
          </w:pPr>
          <w:r>
            <w:rPr>
              <w:rFonts w:hint="eastAsia" w:ascii="黑体" w:hAnsi="黑体" w:eastAsia="黑体" w:cs="黑体"/>
              <w:kern w:val="21"/>
              <w:sz w:val="28"/>
              <w:szCs w:val="28"/>
              <w:highlight w:val="none"/>
              <w:lang w:eastAsia="zh-CN"/>
            </w:rPr>
            <w:fldChar w:fldCharType="end"/>
          </w:r>
        </w:p>
      </w:sdtContent>
    </w:sdt>
    <w:p>
      <w:pPr>
        <w:pStyle w:val="2"/>
        <w:rPr>
          <w:rFonts w:hint="eastAsia"/>
          <w:highlight w:val="none"/>
          <w:lang w:eastAsia="zh-CN"/>
        </w:rPr>
      </w:pPr>
      <w:bookmarkStart w:id="0" w:name="_Toc27858"/>
    </w:p>
    <w:p>
      <w:pPr>
        <w:rPr>
          <w:rFonts w:hint="eastAsia"/>
          <w:highlight w:val="none"/>
          <w:lang w:eastAsia="zh-CN"/>
        </w:rPr>
      </w:pPr>
    </w:p>
    <w:p>
      <w:pPr>
        <w:rPr>
          <w:rFonts w:hint="eastAsia"/>
          <w:highlight w:val="none"/>
          <w:lang w:eastAsia="zh-CN"/>
        </w:rPr>
      </w:pPr>
    </w:p>
    <w:p>
      <w:pPr>
        <w:pStyle w:val="2"/>
        <w:rPr>
          <w:highlight w:val="none"/>
        </w:rPr>
        <w:sectPr>
          <w:footerReference r:id="rId5" w:type="first"/>
          <w:headerReference r:id="rId3" w:type="default"/>
          <w:footerReference r:id="rId4" w:type="default"/>
          <w:pgSz w:w="11910" w:h="16850"/>
          <w:pgMar w:top="1440" w:right="1800" w:bottom="1440" w:left="1800" w:header="0" w:footer="1292" w:gutter="0"/>
          <w:pgNumType w:fmt="decimal"/>
          <w:cols w:space="720" w:num="1"/>
          <w:titlePg/>
        </w:sectPr>
      </w:pPr>
    </w:p>
    <w:p>
      <w:pPr>
        <w:pStyle w:val="2"/>
        <w:rPr>
          <w:highlight w:val="none"/>
        </w:rPr>
      </w:pPr>
      <w:r>
        <w:rPr>
          <w:highlight w:val="none"/>
        </w:rPr>
        <w:t>1</w:t>
      </w:r>
      <w:r>
        <w:rPr>
          <w:rFonts w:hint="eastAsia"/>
          <w:highlight w:val="none"/>
          <w:lang w:eastAsia="zh-CN"/>
        </w:rPr>
        <w:t xml:space="preserve">  </w:t>
      </w:r>
      <w:r>
        <w:rPr>
          <w:highlight w:val="none"/>
        </w:rPr>
        <w:t>总则</w:t>
      </w:r>
      <w:bookmarkEnd w:id="0"/>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本招标技术文件适用于</w:t>
      </w:r>
      <w:r>
        <w:rPr>
          <w:rFonts w:hint="eastAsia" w:ascii="Times New Roman" w:hAnsi="Times New Roman" w:eastAsia="宋体" w:cs="Times New Roman"/>
          <w:kern w:val="21"/>
          <w:highlight w:val="none"/>
          <w:lang w:eastAsia="zh-CN"/>
        </w:rPr>
        <w:t>基于变电站自动化系统的开关特性监测系统</w:t>
      </w:r>
      <w:r>
        <w:rPr>
          <w:rFonts w:ascii="Times New Roman" w:hAnsi="Times New Roman" w:eastAsia="宋体" w:cs="Times New Roman"/>
          <w:kern w:val="21"/>
          <w:highlight w:val="none"/>
          <w:lang w:eastAsia="zh-CN"/>
        </w:rPr>
        <w:t>的订货。它提出了</w:t>
      </w:r>
      <w:r>
        <w:rPr>
          <w:rFonts w:hint="eastAsia" w:ascii="Times New Roman" w:hAnsi="Times New Roman" w:eastAsia="宋体" w:cs="Times New Roman"/>
          <w:kern w:val="21"/>
          <w:highlight w:val="none"/>
          <w:lang w:eastAsia="zh-CN"/>
        </w:rPr>
        <w:t>基于变电站自动化系统的开关特性监测系统</w:t>
      </w:r>
      <w:r>
        <w:rPr>
          <w:rFonts w:ascii="Times New Roman" w:hAnsi="Times New Roman" w:eastAsia="宋体" w:cs="Times New Roman"/>
          <w:kern w:val="21"/>
          <w:highlight w:val="none"/>
          <w:lang w:eastAsia="zh-CN"/>
        </w:rPr>
        <w:t>的功能、性能、结构、安装等方面的技术要求</w:t>
      </w:r>
      <w:r>
        <w:rPr>
          <w:rFonts w:hint="eastAsia" w:ascii="Times New Roman" w:hAnsi="Times New Roman" w:eastAsia="宋体" w:cs="Times New Roman"/>
          <w:kern w:val="21"/>
          <w:highlight w:val="none"/>
          <w:lang w:eastAsia="zh-CN"/>
        </w:rPr>
        <w:t>。</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本招标技术文件提出的是最低限度的技术要求，并未对一切技术细节做出规定， 也未充分引述有关标准和规范的条文，投标方应提供符合本规范书和工业标准的优质产品。凡本技术条件中未规定，但在相关设备的国家标准或</w:t>
      </w:r>
      <w:r>
        <w:rPr>
          <w:rFonts w:ascii="Times New Roman" w:hAnsi="Times New Roman" w:eastAsia="Times New Roman" w:cs="Times New Roman"/>
          <w:kern w:val="21"/>
          <w:highlight w:val="none"/>
          <w:lang w:eastAsia="zh-CN"/>
        </w:rPr>
        <w:t xml:space="preserve">IEC </w:t>
      </w:r>
      <w:r>
        <w:rPr>
          <w:rFonts w:ascii="Times New Roman" w:hAnsi="Times New Roman" w:eastAsia="宋体" w:cs="Times New Roman"/>
          <w:kern w:val="21"/>
          <w:highlight w:val="none"/>
          <w:lang w:eastAsia="zh-CN"/>
        </w:rPr>
        <w:t>标准中有规定的规范条文，投标 方应按相应标准的条文进行设备设计、制造、试验和安装。对国家有关安全、环保等强制性标准，必须满足其要求。</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如果投标方没有以书面形式对本招标技术文件的条文提出异议，则意味着投标方提供的设备完全符合本招标技术文件的要求。如有异议，不管是多么微小，都应在报价书中以</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对招标技术文件的意见和同招标技术文件的差异</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为标题的专门章节中加以详细描述。</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本招标技术文件所使用的标准如遇与招标方所执行的标准不一致时，按照较高标准执行。</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本技术条件书经招、投标双方确认后作为订货合同的技术附件，与合同正文具有同等法律效力。</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本招标技术文件未尽事宜，由招、投标双方协商确定。</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numPr>
          <w:ilvl w:val="1"/>
          <w:numId w:val="1"/>
        </w:numPr>
        <w:kinsoku/>
        <w:topLinePunct/>
        <w:autoSpaceDE/>
        <w:autoSpaceDN/>
        <w:spacing w:line="360" w:lineRule="auto"/>
        <w:ind w:firstLine="420" w:firstLineChars="200"/>
        <w:jc w:val="both"/>
        <w:rPr>
          <w:rFonts w:hint="eastAsia" w:eastAsia="宋体"/>
          <w:highlight w:val="none"/>
          <w:lang w:eastAsia="zh-CN"/>
        </w:rPr>
      </w:pPr>
      <w:r>
        <w:rPr>
          <w:rFonts w:ascii="Times New Roman" w:hAnsi="Times New Roman" w:eastAsia="宋体" w:cs="Times New Roman"/>
          <w:kern w:val="21"/>
          <w:highlight w:val="none"/>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numPr>
          <w:ilvl w:val="0"/>
          <w:numId w:val="0"/>
        </w:numPr>
        <w:kinsoku/>
        <w:topLinePunct/>
        <w:autoSpaceDE/>
        <w:autoSpaceDN/>
        <w:spacing w:line="360" w:lineRule="auto"/>
        <w:jc w:val="both"/>
        <w:rPr>
          <w:rFonts w:ascii="Times New Roman" w:hAnsi="Times New Roman" w:eastAsia="宋体" w:cs="Times New Roman"/>
          <w:kern w:val="21"/>
          <w:highlight w:val="none"/>
          <w:lang w:eastAsia="zh-CN"/>
        </w:rPr>
      </w:pPr>
    </w:p>
    <w:p>
      <w:pPr>
        <w:numPr>
          <w:ilvl w:val="0"/>
          <w:numId w:val="0"/>
        </w:numPr>
        <w:kinsoku/>
        <w:topLinePunct/>
        <w:autoSpaceDE/>
        <w:autoSpaceDN/>
        <w:spacing w:line="360" w:lineRule="auto"/>
        <w:jc w:val="both"/>
        <w:rPr>
          <w:rFonts w:ascii="Times New Roman" w:hAnsi="Times New Roman" w:eastAsia="宋体" w:cs="Times New Roman"/>
          <w:kern w:val="21"/>
          <w:highlight w:val="none"/>
          <w:lang w:eastAsia="zh-CN"/>
        </w:rPr>
      </w:pPr>
    </w:p>
    <w:p>
      <w:pPr>
        <w:pStyle w:val="2"/>
        <w:rPr>
          <w:rFonts w:hint="eastAsia"/>
          <w:highlight w:val="none"/>
          <w:lang w:val="en-US" w:eastAsia="zh-CN"/>
        </w:rPr>
      </w:pPr>
      <w:r>
        <w:rPr>
          <w:rFonts w:hint="eastAsia"/>
          <w:highlight w:val="none"/>
          <w:lang w:val="en-US" w:eastAsia="zh-CN"/>
        </w:rPr>
        <w:t>2</w:t>
      </w:r>
      <w:r>
        <w:rPr>
          <w:rFonts w:hint="eastAsia"/>
          <w:highlight w:val="none"/>
          <w:lang w:eastAsia="zh-CN"/>
        </w:rPr>
        <w:t xml:space="preserve">  </w:t>
      </w:r>
      <w:r>
        <w:rPr>
          <w:rFonts w:hint="eastAsia"/>
          <w:highlight w:val="none"/>
          <w:lang w:val="en-US" w:eastAsia="zh-CN"/>
        </w:rPr>
        <w:t>工作范围</w:t>
      </w:r>
    </w:p>
    <w:p>
      <w:pPr>
        <w:topLinePunct/>
        <w:autoSpaceDE/>
        <w:autoSpaceDN/>
        <w:spacing w:line="360" w:lineRule="auto"/>
        <w:outlineLvl w:val="0"/>
        <w:rPr>
          <w:rFonts w:hint="eastAsia" w:ascii="Times New Roman" w:hAnsi="Times New Roman" w:eastAsia="宋体" w:cs="Times New Roman"/>
          <w:b/>
          <w:bCs/>
          <w:kern w:val="21"/>
          <w:sz w:val="24"/>
          <w:szCs w:val="24"/>
          <w:highlight w:val="none"/>
          <w:lang w:val="en-US" w:eastAsia="zh-CN"/>
        </w:rPr>
      </w:pPr>
      <w:r>
        <w:rPr>
          <w:rFonts w:ascii="Times New Roman" w:hAnsi="Times New Roman" w:eastAsia="宋体" w:cs="Times New Roman"/>
          <w:b/>
          <w:bCs/>
          <w:kern w:val="21"/>
          <w:sz w:val="24"/>
          <w:szCs w:val="24"/>
          <w:highlight w:val="none"/>
          <w:lang w:eastAsia="zh-CN"/>
        </w:rPr>
        <w:t>2.</w:t>
      </w:r>
      <w:r>
        <w:rPr>
          <w:rFonts w:hint="eastAsia" w:ascii="Times New Roman" w:hAnsi="Times New Roman" w:eastAsia="宋体" w:cs="Times New Roman"/>
          <w:b/>
          <w:bCs/>
          <w:kern w:val="21"/>
          <w:sz w:val="24"/>
          <w:szCs w:val="24"/>
          <w:highlight w:val="none"/>
          <w:lang w:val="en-US" w:eastAsia="zh-CN"/>
        </w:rPr>
        <w:t>1</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b/>
          <w:bCs/>
          <w:kern w:val="21"/>
          <w:sz w:val="24"/>
          <w:szCs w:val="24"/>
          <w:highlight w:val="none"/>
          <w:lang w:val="en-US" w:eastAsia="zh-CN"/>
        </w:rPr>
        <w:t>项目概况</w:t>
      </w:r>
    </w:p>
    <w:p>
      <w:pPr>
        <w:topLinePunct/>
        <w:autoSpaceDE/>
        <w:autoSpaceDN/>
        <w:spacing w:line="360" w:lineRule="auto"/>
        <w:ind w:firstLine="480" w:firstLineChars="200"/>
        <w:jc w:val="both"/>
        <w:rPr>
          <w:rFonts w:hint="eastAsia" w:ascii="Times New Roman" w:hAnsi="Times New Roman" w:eastAsia="宋体" w:cs="Times New Roman"/>
          <w:kern w:val="21"/>
          <w:highlight w:val="none"/>
          <w:lang w:eastAsia="zh-CN"/>
        </w:rPr>
        <w:sectPr>
          <w:footerReference r:id="rId7" w:type="first"/>
          <w:footerReference r:id="rId6" w:type="default"/>
          <w:pgSz w:w="11910" w:h="16850"/>
          <w:pgMar w:top="1440" w:right="1800" w:bottom="1440" w:left="1800" w:header="0" w:footer="1292" w:gutter="0"/>
          <w:pgNumType w:fmt="decimal" w:start="1"/>
          <w:cols w:space="720" w:num="1"/>
        </w:sectPr>
      </w:pPr>
      <w:r>
        <w:rPr>
          <w:rFonts w:hint="eastAsia" w:ascii="宋体" w:hAnsi="宋体" w:eastAsia="宋体" w:cs="Times New Roman"/>
          <w:vanish w:val="0"/>
          <w:sz w:val="24"/>
          <w:lang w:val="en-US" w:eastAsia="zh-CN"/>
        </w:rPr>
        <w:t>基于变电站自动化系统，研发</w:t>
      </w:r>
      <w:r>
        <w:rPr>
          <w:rFonts w:hint="eastAsia" w:ascii="宋体" w:hAnsi="宋体"/>
          <w:vanish w:val="0"/>
          <w:sz w:val="24"/>
        </w:rPr>
        <w:t>开关特性监测</w:t>
      </w:r>
      <w:r>
        <w:rPr>
          <w:rFonts w:hint="eastAsia" w:ascii="宋体" w:hAnsi="宋体" w:eastAsia="宋体" w:cs="Times New Roman"/>
          <w:vanish w:val="0"/>
          <w:sz w:val="24"/>
          <w:lang w:val="en-US" w:eastAsia="zh-CN"/>
        </w:rPr>
        <w:t>功能模块，远方实现</w:t>
      </w:r>
      <w:r>
        <w:rPr>
          <w:rFonts w:hint="eastAsia" w:ascii="宋体" w:hAnsi="宋体"/>
          <w:vanish w:val="0"/>
          <w:sz w:val="24"/>
        </w:rPr>
        <w:t>开关特性监测</w:t>
      </w:r>
      <w:r>
        <w:rPr>
          <w:rFonts w:hint="eastAsia" w:ascii="宋体" w:hAnsi="宋体" w:eastAsia="宋体" w:cs="Times New Roman"/>
          <w:vanish w:val="0"/>
          <w:sz w:val="24"/>
          <w:lang w:val="en-US" w:eastAsia="zh-CN"/>
        </w:rPr>
        <w:t>功能</w:t>
      </w:r>
      <w:r>
        <w:rPr>
          <w:rFonts w:hint="eastAsia" w:ascii="Times New Roman" w:hAnsi="Times New Roman" w:eastAsia="宋体" w:cs="Times New Roman"/>
          <w:kern w:val="21"/>
          <w:highlight w:val="none"/>
          <w:lang w:val="en-US" w:eastAsia="zh-CN"/>
        </w:rPr>
        <w:t>。</w:t>
      </w:r>
    </w:p>
    <w:p>
      <w:pPr>
        <w:topLinePunct/>
        <w:autoSpaceDE/>
        <w:autoSpaceDN/>
        <w:spacing w:line="360" w:lineRule="auto"/>
        <w:outlineLvl w:val="0"/>
        <w:rPr>
          <w:rFonts w:ascii="Times New Roman" w:hAnsi="Times New Roman" w:eastAsia="宋体" w:cs="Times New Roman"/>
          <w:kern w:val="21"/>
          <w:sz w:val="24"/>
          <w:szCs w:val="24"/>
          <w:highlight w:val="none"/>
          <w:lang w:eastAsia="zh-CN"/>
        </w:rPr>
      </w:pPr>
      <w:bookmarkStart w:id="1" w:name="_Toc18511"/>
      <w:r>
        <w:rPr>
          <w:rFonts w:ascii="Times New Roman" w:hAnsi="Times New Roman" w:eastAsia="宋体" w:cs="Times New Roman"/>
          <w:b/>
          <w:bCs/>
          <w:kern w:val="21"/>
          <w:sz w:val="24"/>
          <w:szCs w:val="24"/>
          <w:highlight w:val="none"/>
          <w:lang w:eastAsia="zh-CN"/>
        </w:rPr>
        <w:t>2.</w:t>
      </w:r>
      <w:r>
        <w:rPr>
          <w:rFonts w:hint="eastAsia" w:ascii="Times New Roman" w:hAnsi="Times New Roman" w:eastAsia="宋体" w:cs="Times New Roman"/>
          <w:b/>
          <w:bCs/>
          <w:kern w:val="21"/>
          <w:sz w:val="24"/>
          <w:szCs w:val="24"/>
          <w:highlight w:val="none"/>
          <w:lang w:val="en-US" w:eastAsia="zh-CN"/>
        </w:rPr>
        <w:t>2</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供货范围</w:t>
      </w:r>
      <w:bookmarkEnd w:id="1"/>
    </w:p>
    <w:p>
      <w:pPr>
        <w:topLinePunct/>
        <w:autoSpaceDE/>
        <w:autoSpaceDN/>
        <w:spacing w:line="360" w:lineRule="auto"/>
        <w:ind w:firstLine="420" w:firstLineChars="200"/>
        <w:jc w:val="both"/>
        <w:rPr>
          <w:rFonts w:hint="default" w:ascii="Times New Roman" w:hAnsi="Times New Roman" w:eastAsia="宋体" w:cs="Times New Roman"/>
          <w:kern w:val="21"/>
          <w:highlight w:val="none"/>
          <w:lang w:val="en-US" w:eastAsia="zh-CN"/>
        </w:rPr>
      </w:pPr>
      <w:r>
        <w:rPr>
          <w:rFonts w:ascii="Times New Roman" w:hAnsi="Times New Roman" w:eastAsia="宋体" w:cs="Times New Roman"/>
          <w:kern w:val="21"/>
          <w:highlight w:val="none"/>
          <w:lang w:eastAsia="zh-CN"/>
        </w:rPr>
        <w:t>本技术条件书要求采购的设备规范详见</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3.应遵循的主要标准</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 xml:space="preserve">。供货范围包括: </w:t>
      </w:r>
      <w:r>
        <w:rPr>
          <w:rFonts w:hint="eastAsia" w:ascii="Times New Roman" w:hAnsi="Times New Roman" w:eastAsia="宋体" w:cs="Times New Roman"/>
          <w:kern w:val="21"/>
          <w:highlight w:val="none"/>
          <w:lang w:eastAsia="zh-CN"/>
        </w:rPr>
        <w:t>1）</w:t>
      </w:r>
      <w:r>
        <w:rPr>
          <w:rFonts w:hint="eastAsia" w:ascii="Times New Roman" w:hAnsi="Times New Roman" w:eastAsia="宋体" w:cs="Times New Roman"/>
          <w:kern w:val="21"/>
          <w:highlight w:val="none"/>
          <w:lang w:eastAsia="zh-CN"/>
        </w:rPr>
        <w:t>基于变电站自动化系统的开关特性监测</w:t>
      </w:r>
      <w:r>
        <w:rPr>
          <w:rFonts w:hint="eastAsia" w:ascii="Times New Roman" w:hAnsi="Times New Roman" w:eastAsia="宋体" w:cs="Times New Roman"/>
          <w:kern w:val="21"/>
          <w:highlight w:val="none"/>
          <w:lang w:val="en-US" w:eastAsia="zh-CN"/>
        </w:rPr>
        <w:t>功能</w:t>
      </w:r>
      <w:r>
        <w:rPr>
          <w:rFonts w:hint="eastAsia" w:ascii="Times New Roman" w:hAnsi="Times New Roman" w:eastAsia="宋体" w:cs="Times New Roman"/>
          <w:kern w:val="21"/>
          <w:highlight w:val="none"/>
          <w:lang w:eastAsia="zh-CN"/>
        </w:rPr>
        <w:t>的框</w:t>
      </w:r>
      <w:r>
        <w:rPr>
          <w:rFonts w:hint="eastAsia" w:ascii="Times New Roman" w:hAnsi="Times New Roman" w:eastAsia="宋体" w:cs="Times New Roman"/>
          <w:kern w:val="21"/>
          <w:highlight w:val="none"/>
          <w:lang w:eastAsia="zh-CN"/>
        </w:rPr>
        <w:t>架搭建、</w:t>
      </w:r>
      <w:r>
        <w:rPr>
          <w:rFonts w:hint="eastAsia" w:ascii="Times New Roman" w:hAnsi="Times New Roman" w:eastAsia="宋体" w:cs="Times New Roman"/>
          <w:kern w:val="21"/>
          <w:highlight w:val="none"/>
          <w:lang w:val="en-US" w:eastAsia="zh-CN"/>
        </w:rPr>
        <w:t>调试及实施研究</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2）发表论文1篇。</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具体的供货范围详见下表:</w:t>
      </w:r>
    </w:p>
    <w:tbl>
      <w:tblPr>
        <w:tblStyle w:val="11"/>
        <w:tblW w:w="8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708"/>
        <w:gridCol w:w="3356"/>
        <w:gridCol w:w="679"/>
        <w:gridCol w:w="769"/>
        <w:gridCol w:w="10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67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1708"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3356"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color w:val="auto"/>
                <w:kern w:val="21"/>
                <w:sz w:val="21"/>
                <w:szCs w:val="21"/>
                <w:highlight w:val="none"/>
              </w:rPr>
              <w:t>规格型号</w:t>
            </w:r>
          </w:p>
        </w:tc>
        <w:tc>
          <w:tcPr>
            <w:tcW w:w="67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7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1093"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8" w:hRule="atLeast"/>
        </w:trPr>
        <w:tc>
          <w:tcPr>
            <w:tcW w:w="674" w:type="dxa"/>
            <w:vAlign w:val="center"/>
          </w:tcPr>
          <w:p>
            <w:pPr>
              <w:topLinePunct/>
              <w:autoSpaceDE/>
              <w:autoSpaceDN/>
              <w:spacing w:line="360" w:lineRule="auto"/>
              <w:jc w:val="both"/>
              <w:rPr>
                <w:rFonts w:ascii="Times New Roman" w:hAnsi="Times New Roman" w:cs="Times New Roman"/>
                <w:kern w:val="21"/>
                <w:highlight w:val="none"/>
              </w:rPr>
            </w:pPr>
          </w:p>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1</w:t>
            </w:r>
          </w:p>
        </w:tc>
        <w:tc>
          <w:tcPr>
            <w:tcW w:w="1708" w:type="dxa"/>
            <w:vAlign w:val="center"/>
          </w:tcPr>
          <w:p>
            <w:pPr>
              <w:topLinePunct/>
              <w:autoSpaceDE/>
              <w:autoSpaceDN/>
              <w:spacing w:line="360" w:lineRule="auto"/>
              <w:jc w:val="center"/>
              <w:rPr>
                <w:rFonts w:ascii="Times New Roman" w:hAnsi="Times New Roman" w:eastAsia="宋体" w:cs="Times New Roman"/>
                <w:kern w:val="21"/>
                <w:highlight w:val="none"/>
                <w:lang w:eastAsia="zh-CN"/>
              </w:rPr>
            </w:pPr>
          </w:p>
          <w:p>
            <w:pPr>
              <w:topLinePunct/>
              <w:autoSpaceDE/>
              <w:autoSpaceDN/>
              <w:spacing w:line="360" w:lineRule="auto"/>
              <w:jc w:val="center"/>
              <w:rPr>
                <w:rFonts w:ascii="Times New Roman" w:hAnsi="Times New Roman" w:eastAsia="宋体" w:cs="Times New Roman"/>
                <w:kern w:val="21"/>
                <w:highlight w:val="none"/>
                <w:lang w:eastAsia="zh-CN"/>
              </w:rPr>
            </w:pPr>
            <w:r>
              <w:rPr>
                <w:rFonts w:hint="eastAsia" w:ascii="宋体" w:hAnsi="宋体"/>
                <w:vanish w:val="0"/>
                <w:sz w:val="24"/>
              </w:rPr>
              <w:t>基于变电站自动化系统的开关特性监测</w:t>
            </w:r>
            <w:r>
              <w:rPr>
                <w:rFonts w:hint="eastAsia" w:ascii="宋体" w:hAnsi="宋体"/>
                <w:vanish w:val="0"/>
                <w:sz w:val="24"/>
                <w:lang w:val="en-US" w:eastAsia="zh-CN"/>
              </w:rPr>
              <w:t>功能</w:t>
            </w:r>
          </w:p>
        </w:tc>
        <w:tc>
          <w:tcPr>
            <w:tcW w:w="3356" w:type="dxa"/>
            <w:vAlign w:val="center"/>
          </w:tcPr>
          <w:p>
            <w:pPr>
              <w:topLinePunct/>
              <w:autoSpaceDE/>
              <w:autoSpaceDN/>
              <w:spacing w:line="360" w:lineRule="auto"/>
              <w:ind w:firstLine="420" w:firstLineChars="200"/>
              <w:jc w:val="both"/>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1）计算保护分闸或遥控分闸脉冲命令发出后，开关返回位置信号的时间差，并设置告警阈值。时间差值与告警阈值的准确级为ms级。</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2）将开关疑似慢分的情况，通过远动通道上送调度自动化主站。</w:t>
            </w:r>
          </w:p>
          <w:p>
            <w:pPr>
              <w:topLinePunct/>
              <w:autoSpaceDE/>
              <w:autoSpaceDN/>
              <w:spacing w:line="360" w:lineRule="auto"/>
              <w:ind w:firstLine="420" w:firstLineChars="200"/>
              <w:jc w:val="both"/>
              <w:rPr>
                <w:rFonts w:hint="default"/>
                <w:highlight w:val="none"/>
                <w:lang w:val="en-US" w:eastAsia="zh-CN"/>
              </w:rPr>
            </w:pPr>
            <w:r>
              <w:rPr>
                <w:rFonts w:hint="eastAsia" w:ascii="Times New Roman" w:hAnsi="Times New Roman" w:eastAsia="宋体" w:cs="Times New Roman"/>
                <w:kern w:val="21"/>
                <w:highlight w:val="none"/>
                <w:lang w:val="en-US" w:eastAsia="zh-CN"/>
              </w:rPr>
              <w:t>3）历史告警信息及报表，提供报备及曲线调阅分析，在当地监控后台至少存储6个月。</w:t>
            </w:r>
          </w:p>
        </w:tc>
        <w:tc>
          <w:tcPr>
            <w:tcW w:w="67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套</w:t>
            </w:r>
          </w:p>
        </w:tc>
        <w:tc>
          <w:tcPr>
            <w:tcW w:w="7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1</w:t>
            </w: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674" w:type="dxa"/>
            <w:vAlign w:val="center"/>
          </w:tcPr>
          <w:p>
            <w:pPr>
              <w:pStyle w:val="12"/>
              <w:topLinePunct/>
              <w:autoSpaceDE/>
              <w:autoSpaceDN/>
              <w:spacing w:line="360" w:lineRule="auto"/>
              <w:jc w:val="center"/>
              <w:rPr>
                <w:rFonts w:hint="eastAsia" w:ascii="Times New Roman" w:hAnsi="Times New Roman" w:eastAsia="宋体" w:cs="Times New Roman"/>
                <w:kern w:val="21"/>
                <w:sz w:val="21"/>
                <w:szCs w:val="21"/>
                <w:highlight w:val="none"/>
                <w:lang w:eastAsia="zh-CN"/>
              </w:rPr>
            </w:pPr>
            <w:r>
              <w:rPr>
                <w:rFonts w:hint="eastAsia" w:ascii="Times New Roman" w:hAnsi="Times New Roman" w:cs="Times New Roman"/>
                <w:kern w:val="21"/>
                <w:sz w:val="21"/>
                <w:szCs w:val="21"/>
                <w:highlight w:val="none"/>
                <w:lang w:val="en-US" w:eastAsia="zh-CN"/>
              </w:rPr>
              <w:t>2</w:t>
            </w:r>
          </w:p>
        </w:tc>
        <w:tc>
          <w:tcPr>
            <w:tcW w:w="1708"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其他</w:t>
            </w:r>
          </w:p>
        </w:tc>
        <w:tc>
          <w:tcPr>
            <w:tcW w:w="3356" w:type="dxa"/>
            <w:vAlign w:val="center"/>
          </w:tcPr>
          <w:p>
            <w:pPr>
              <w:topLinePunct/>
              <w:autoSpaceDE/>
              <w:autoSpaceDN/>
              <w:spacing w:line="360" w:lineRule="auto"/>
              <w:jc w:val="center"/>
              <w:rPr>
                <w:rFonts w:ascii="Times New Roman" w:hAnsi="Times New Roman" w:cs="Times New Roman"/>
                <w:kern w:val="21"/>
                <w:highlight w:val="none"/>
              </w:rPr>
            </w:pPr>
          </w:p>
        </w:tc>
        <w:tc>
          <w:tcPr>
            <w:tcW w:w="679" w:type="dxa"/>
            <w:vAlign w:val="center"/>
          </w:tcPr>
          <w:p>
            <w:pPr>
              <w:topLinePunct/>
              <w:autoSpaceDE/>
              <w:autoSpaceDN/>
              <w:spacing w:line="360" w:lineRule="auto"/>
              <w:jc w:val="center"/>
              <w:rPr>
                <w:rFonts w:ascii="Times New Roman" w:hAnsi="Times New Roman" w:cs="Times New Roman"/>
                <w:kern w:val="21"/>
                <w:highlight w:val="none"/>
              </w:rPr>
            </w:pPr>
          </w:p>
        </w:tc>
        <w:tc>
          <w:tcPr>
            <w:tcW w:w="769" w:type="dxa"/>
            <w:vAlign w:val="center"/>
          </w:tcPr>
          <w:p>
            <w:pPr>
              <w:topLinePunct/>
              <w:autoSpaceDE/>
              <w:autoSpaceDN/>
              <w:spacing w:line="360" w:lineRule="auto"/>
              <w:jc w:val="center"/>
              <w:rPr>
                <w:rFonts w:ascii="Times New Roman" w:hAnsi="Times New Roman" w:cs="Times New Roman"/>
                <w:kern w:val="21"/>
                <w:highlight w:val="none"/>
              </w:rPr>
            </w:pP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7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hint="eastAsia" w:ascii="Times New Roman" w:hAnsi="Times New Roman" w:cs="Times New Roman"/>
                <w:kern w:val="21"/>
                <w:sz w:val="21"/>
                <w:szCs w:val="21"/>
                <w:highlight w:val="none"/>
                <w:lang w:val="en-US" w:eastAsia="zh-CN"/>
              </w:rPr>
              <w:t>2</w:t>
            </w:r>
            <w:r>
              <w:rPr>
                <w:rFonts w:ascii="Times New Roman" w:hAnsi="Times New Roman" w:cs="Times New Roman"/>
                <w:kern w:val="21"/>
                <w:sz w:val="21"/>
                <w:szCs w:val="21"/>
                <w:highlight w:val="none"/>
              </w:rPr>
              <w:t>.1</w:t>
            </w:r>
          </w:p>
        </w:tc>
        <w:tc>
          <w:tcPr>
            <w:tcW w:w="1708"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安装、调试</w:t>
            </w:r>
          </w:p>
        </w:tc>
        <w:tc>
          <w:tcPr>
            <w:tcW w:w="3356" w:type="dxa"/>
            <w:vAlign w:val="center"/>
          </w:tcPr>
          <w:p>
            <w:pPr>
              <w:topLinePunct/>
              <w:autoSpaceDE/>
              <w:autoSpaceDN/>
              <w:spacing w:line="360" w:lineRule="auto"/>
              <w:jc w:val="center"/>
              <w:rPr>
                <w:rFonts w:ascii="Times New Roman" w:hAnsi="Times New Roman" w:cs="Times New Roman"/>
                <w:kern w:val="21"/>
                <w:highlight w:val="none"/>
              </w:rPr>
            </w:pPr>
          </w:p>
        </w:tc>
        <w:tc>
          <w:tcPr>
            <w:tcW w:w="67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套</w:t>
            </w:r>
          </w:p>
        </w:tc>
        <w:tc>
          <w:tcPr>
            <w:tcW w:w="7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1</w:t>
            </w: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bl>
    <w:p>
      <w:pPr>
        <w:pStyle w:val="4"/>
        <w:topLinePunct/>
        <w:autoSpaceDE/>
        <w:autoSpaceDN/>
        <w:spacing w:line="360" w:lineRule="auto"/>
        <w:rPr>
          <w:rFonts w:ascii="Times New Roman" w:hAnsi="Times New Roman" w:cs="Times New Roman"/>
          <w:kern w:val="21"/>
          <w:highlight w:val="none"/>
        </w:rPr>
      </w:pPr>
    </w:p>
    <w:p>
      <w:pPr>
        <w:topLinePunct/>
        <w:autoSpaceDE/>
        <w:autoSpaceDN/>
        <w:spacing w:line="360" w:lineRule="auto"/>
        <w:outlineLvl w:val="0"/>
        <w:rPr>
          <w:rFonts w:ascii="Times New Roman" w:hAnsi="Times New Roman" w:eastAsia="宋体" w:cs="Times New Roman"/>
          <w:b/>
          <w:bCs/>
          <w:kern w:val="21"/>
          <w:sz w:val="24"/>
          <w:szCs w:val="24"/>
          <w:highlight w:val="none"/>
        </w:rPr>
      </w:pPr>
      <w:bookmarkStart w:id="2" w:name="_Toc8467"/>
      <w:r>
        <w:rPr>
          <w:rFonts w:ascii="Times New Roman" w:hAnsi="Times New Roman" w:eastAsia="宋体" w:cs="Times New Roman"/>
          <w:b/>
          <w:bCs/>
          <w:kern w:val="21"/>
          <w:sz w:val="24"/>
          <w:szCs w:val="24"/>
          <w:highlight w:val="none"/>
        </w:rPr>
        <w:t>2.</w:t>
      </w:r>
      <w:r>
        <w:rPr>
          <w:rFonts w:hint="eastAsia" w:ascii="Times New Roman" w:hAnsi="Times New Roman" w:eastAsia="宋体" w:cs="Times New Roman"/>
          <w:b/>
          <w:bCs/>
          <w:kern w:val="21"/>
          <w:sz w:val="24"/>
          <w:szCs w:val="24"/>
          <w:highlight w:val="none"/>
          <w:lang w:val="en-US" w:eastAsia="zh-CN"/>
        </w:rPr>
        <w:t>3</w:t>
      </w:r>
      <w:r>
        <w:rPr>
          <w:rFonts w:ascii="Times New Roman" w:hAnsi="Times New Roman" w:eastAsia="宋体" w:cs="Times New Roman"/>
          <w:kern w:val="21"/>
          <w:sz w:val="24"/>
          <w:szCs w:val="24"/>
          <w:highlight w:val="none"/>
        </w:rPr>
        <w:t xml:space="preserve"> </w:t>
      </w:r>
      <w:r>
        <w:rPr>
          <w:rFonts w:ascii="Times New Roman" w:hAnsi="Times New Roman" w:eastAsia="宋体" w:cs="Times New Roman"/>
          <w:b/>
          <w:bCs/>
          <w:kern w:val="21"/>
          <w:sz w:val="24"/>
          <w:szCs w:val="24"/>
          <w:highlight w:val="none"/>
        </w:rPr>
        <w:t>服务范围</w:t>
      </w:r>
      <w:bookmarkEnd w:id="2"/>
    </w:p>
    <w:p>
      <w:pPr>
        <w:topLinePunct/>
        <w:autoSpaceDE/>
        <w:autoSpaceDN/>
        <w:spacing w:line="360" w:lineRule="auto"/>
        <w:outlineLvl w:val="0"/>
        <w:rPr>
          <w:rFonts w:ascii="Times New Roman" w:hAnsi="Times New Roman" w:eastAsia="宋体" w:cs="Times New Roman"/>
          <w:kern w:val="21"/>
          <w:highlight w:val="none"/>
          <w:lang w:eastAsia="zh-CN"/>
        </w:rPr>
      </w:pPr>
      <w:bookmarkStart w:id="3" w:name="_Toc23151"/>
      <w:r>
        <w:rPr>
          <w:rFonts w:hint="eastAsia"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.1 从投标方至招标方指定位置的运输全部由投标方完成。</w:t>
      </w:r>
      <w:bookmarkEnd w:id="3"/>
    </w:p>
    <w:p>
      <w:pPr>
        <w:topLinePunct/>
        <w:autoSpaceDE/>
        <w:autoSpaceDN/>
        <w:spacing w:line="360" w:lineRule="auto"/>
        <w:outlineLvl w:val="0"/>
        <w:rPr>
          <w:rFonts w:ascii="Times New Roman" w:hAnsi="Times New Roman" w:eastAsia="宋体" w:cs="Times New Roman"/>
          <w:kern w:val="21"/>
          <w:highlight w:val="none"/>
          <w:lang w:eastAsia="zh-CN"/>
        </w:rPr>
      </w:pPr>
      <w:bookmarkStart w:id="4" w:name="_Toc6925"/>
      <w:r>
        <w:rPr>
          <w:rFonts w:hint="eastAsia"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.2 投标方协助招标方按验收标准检查产品的到货质量，必要时投标方需提供现场安装或试验的技术指导，对安装和运行人员免费培训。</w:t>
      </w:r>
      <w:bookmarkEnd w:id="4"/>
    </w:p>
    <w:p>
      <w:pPr>
        <w:topLinePunct/>
        <w:autoSpaceDE/>
        <w:autoSpaceDN/>
        <w:spacing w:line="360" w:lineRule="auto"/>
        <w:outlineLvl w:val="0"/>
        <w:rPr>
          <w:rFonts w:ascii="Times New Roman" w:hAnsi="Times New Roman" w:eastAsia="宋体" w:cs="Times New Roman"/>
          <w:kern w:val="21"/>
          <w:highlight w:val="none"/>
          <w:lang w:eastAsia="zh-CN"/>
        </w:rPr>
      </w:pPr>
      <w:bookmarkStart w:id="5" w:name="_Toc11281"/>
      <w:r>
        <w:rPr>
          <w:rFonts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ascii="Times New Roman" w:hAnsi="Times New Roman" w:eastAsia="宋体" w:cs="Times New Roman"/>
          <w:kern w:val="21"/>
          <w:highlight w:val="none"/>
          <w:lang w:eastAsia="zh-CN"/>
        </w:rPr>
        <w:t>.3</w:t>
      </w:r>
      <w:r>
        <w:rPr>
          <w:rFonts w:hint="eastAsia" w:ascii="Times New Roman" w:hAnsi="Times New Roman" w:eastAsia="宋体" w:cs="Times New Roman"/>
          <w:kern w:val="21"/>
          <w:highlight w:val="none"/>
          <w:lang w:eastAsia="zh-CN"/>
        </w:rPr>
        <w:t xml:space="preserve"> </w:t>
      </w:r>
      <w:bookmarkEnd w:id="5"/>
      <w:r>
        <w:rPr>
          <w:rFonts w:ascii="Times New Roman" w:hAnsi="Times New Roman" w:eastAsia="宋体" w:cs="Times New Roman"/>
          <w:kern w:val="21"/>
          <w:highlight w:val="none"/>
          <w:lang w:eastAsia="zh-CN"/>
        </w:rPr>
        <w:t>投标方为招标方提供至少两年</w:t>
      </w:r>
      <w:r>
        <w:rPr>
          <w:rFonts w:hint="eastAsia" w:ascii="Times New Roman" w:hAnsi="Times New Roman" w:eastAsia="宋体" w:cs="Times New Roman"/>
          <w:kern w:val="21"/>
          <w:highlight w:val="none"/>
          <w:lang w:eastAsia="zh-CN"/>
        </w:rPr>
        <w:t>的基于变电站自动化系统的开关特性监测</w:t>
      </w:r>
      <w:r>
        <w:rPr>
          <w:rFonts w:hint="eastAsia" w:ascii="Times New Roman" w:hAnsi="Times New Roman" w:eastAsia="宋体" w:cs="Times New Roman"/>
          <w:kern w:val="21"/>
          <w:highlight w:val="none"/>
          <w:lang w:val="en-US" w:eastAsia="zh-CN"/>
        </w:rPr>
        <w:t>功能</w:t>
      </w:r>
      <w:r>
        <w:rPr>
          <w:rFonts w:hint="eastAsia" w:ascii="Times New Roman" w:hAnsi="Times New Roman" w:eastAsia="宋体" w:cs="Times New Roman"/>
          <w:kern w:val="21"/>
          <w:highlight w:val="none"/>
          <w:lang w:val="en-US" w:eastAsia="zh-CN"/>
        </w:rPr>
        <w:t>维护</w:t>
      </w:r>
      <w:r>
        <w:rPr>
          <w:rFonts w:ascii="Times New Roman" w:hAnsi="Times New Roman" w:eastAsia="宋体" w:cs="Times New Roman"/>
          <w:kern w:val="21"/>
          <w:highlight w:val="none"/>
          <w:lang w:eastAsia="zh-CN"/>
        </w:rPr>
        <w:t>服务</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三年内投标方负责免费维修、</w:t>
      </w:r>
      <w:r>
        <w:rPr>
          <w:rFonts w:hint="eastAsia" w:ascii="Times New Roman" w:hAnsi="Times New Roman" w:eastAsia="宋体" w:cs="Times New Roman"/>
          <w:kern w:val="21"/>
          <w:highlight w:val="none"/>
          <w:lang w:val="en-US" w:eastAsia="zh-CN"/>
        </w:rPr>
        <w:t>调试</w:t>
      </w:r>
      <w:r>
        <w:rPr>
          <w:rFonts w:ascii="Times New Roman" w:hAnsi="Times New Roman" w:eastAsia="宋体" w:cs="Times New Roman"/>
          <w:kern w:val="21"/>
          <w:highlight w:val="none"/>
          <w:lang w:eastAsia="zh-CN"/>
        </w:rPr>
        <w:t>。</w:t>
      </w:r>
    </w:p>
    <w:p>
      <w:pPr>
        <w:topLinePunct/>
        <w:autoSpaceDE/>
        <w:autoSpaceDN/>
        <w:spacing w:line="360" w:lineRule="auto"/>
        <w:outlineLvl w:val="0"/>
        <w:rPr>
          <w:rFonts w:ascii="Times New Roman" w:hAnsi="Times New Roman" w:eastAsia="宋体" w:cs="Times New Roman"/>
          <w:kern w:val="21"/>
          <w:highlight w:val="none"/>
          <w:lang w:eastAsia="zh-CN"/>
        </w:rPr>
      </w:pPr>
      <w:bookmarkStart w:id="6" w:name="_Toc30113"/>
      <w:r>
        <w:rPr>
          <w:rFonts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ascii="Times New Roman" w:hAnsi="Times New Roman" w:eastAsia="宋体" w:cs="Times New Roman"/>
          <w:kern w:val="21"/>
          <w:highlight w:val="none"/>
          <w:lang w:eastAsia="zh-CN"/>
        </w:rPr>
        <w:t>.4 投标方应协助招标方解决设备运行中出现的问题。</w:t>
      </w:r>
      <w:bookmarkEnd w:id="6"/>
      <w:bookmarkStart w:id="7" w:name="bookmark5"/>
      <w:bookmarkEnd w:id="7"/>
      <w:bookmarkStart w:id="8" w:name="bookmark6"/>
      <w:bookmarkEnd w:id="8"/>
      <w:bookmarkStart w:id="9" w:name="bookmark4"/>
      <w:bookmarkEnd w:id="9"/>
      <w:bookmarkStart w:id="10" w:name="bookmark7"/>
      <w:bookmarkEnd w:id="10"/>
    </w:p>
    <w:p>
      <w:pPr>
        <w:topLinePunct/>
        <w:autoSpaceDE/>
        <w:autoSpaceDN/>
        <w:spacing w:line="360" w:lineRule="auto"/>
        <w:outlineLvl w:val="0"/>
        <w:rPr>
          <w:rFonts w:ascii="Times New Roman" w:hAnsi="Times New Roman" w:eastAsia="宋体" w:cs="Times New Roman"/>
          <w:kern w:val="21"/>
          <w:highlight w:val="none"/>
          <w:lang w:eastAsia="zh-CN"/>
        </w:rPr>
      </w:pPr>
    </w:p>
    <w:p>
      <w:pPr>
        <w:topLinePunct/>
        <w:autoSpaceDE/>
        <w:autoSpaceDN/>
        <w:spacing w:line="360" w:lineRule="auto"/>
        <w:outlineLvl w:val="0"/>
        <w:rPr>
          <w:rFonts w:ascii="Times New Roman" w:hAnsi="Times New Roman" w:eastAsia="宋体" w:cs="Times New Roman"/>
          <w:kern w:val="21"/>
          <w:highlight w:val="none"/>
          <w:lang w:eastAsia="zh-CN"/>
        </w:rPr>
      </w:pPr>
    </w:p>
    <w:p>
      <w:pPr>
        <w:pStyle w:val="2"/>
        <w:rPr>
          <w:highlight w:val="none"/>
          <w:lang w:eastAsia="zh-CN"/>
        </w:rPr>
      </w:pPr>
      <w:bookmarkStart w:id="11" w:name="_Toc905"/>
      <w:r>
        <w:rPr>
          <w:highlight w:val="none"/>
          <w:lang w:eastAsia="zh-CN"/>
        </w:rPr>
        <w:t xml:space="preserve">3 </w:t>
      </w:r>
      <w:r>
        <w:rPr>
          <w:rFonts w:hint="eastAsia"/>
          <w:highlight w:val="none"/>
          <w:lang w:eastAsia="zh-CN"/>
        </w:rPr>
        <w:t xml:space="preserve"> </w:t>
      </w:r>
      <w:r>
        <w:rPr>
          <w:highlight w:val="none"/>
          <w:lang w:eastAsia="zh-CN"/>
        </w:rPr>
        <w:t>应遵循的主要标准</w:t>
      </w:r>
      <w:bookmarkEnd w:id="11"/>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ascii="Times New Roman" w:hAnsi="Times New Roman" w:eastAsia="宋体" w:cs="Times New Roman"/>
          <w:b/>
          <w:bCs/>
          <w:kern w:val="21"/>
          <w:sz w:val="24"/>
          <w:szCs w:val="24"/>
          <w:highlight w:val="none"/>
          <w:lang w:eastAsia="zh-CN"/>
        </w:rPr>
        <w:t>3.1 应遵循的主要现行标准</w:t>
      </w:r>
    </w:p>
    <w:p>
      <w:pPr>
        <w:topLinePunct/>
        <w:autoSpaceDE/>
        <w:autoSpaceDN/>
        <w:spacing w:line="360" w:lineRule="auto"/>
        <w:ind w:firstLine="41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投标方所提供的产品均按规定的标准和规程的最新版本进行设计、制造、试验和</w:t>
      </w:r>
      <w:r>
        <w:rPr>
          <w:rFonts w:hint="eastAsia" w:ascii="Times New Roman" w:hAnsi="Times New Roman" w:eastAsia="宋体" w:cs="Times New Roman"/>
          <w:kern w:val="21"/>
          <w:highlight w:val="none"/>
          <w:lang w:eastAsia="zh-CN"/>
        </w:rPr>
        <w:t>安装。</w:t>
      </w:r>
      <w:r>
        <w:rPr>
          <w:rFonts w:ascii="Times New Roman" w:hAnsi="Times New Roman" w:eastAsia="宋体" w:cs="Times New Roman"/>
          <w:kern w:val="21"/>
          <w:highlight w:val="none"/>
          <w:lang w:eastAsia="zh-CN"/>
        </w:rPr>
        <w:t>如果这些标准内容有矛盾时，应按最高标准的条款执行或按双方商定的标准执行。主要引用标准如下：</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GB2423.1-89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《电工电子产品基本环境试验规程试验A:低温试验方法》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GB/T2423.4-93</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《电工电子产品基本环境试验规程试验Db:交变湿热实验方法》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GB2423.16-81</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《电工电子产品基本环境试验规程试验J:长霉试验方法》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GB/T2423.17-93《电工电子产品基本环境试验规程试验</w:t>
      </w:r>
      <w:r>
        <w:rPr>
          <w:rFonts w:ascii="Times New Roman" w:hAnsi="Times New Roman" w:eastAsia="Times New Roman" w:cs="Times New Roman"/>
          <w:kern w:val="21"/>
          <w:highlight w:val="none"/>
          <w:lang w:eastAsia="zh-CN"/>
        </w:rPr>
        <w:t>Ka:</w:t>
      </w:r>
      <w:r>
        <w:rPr>
          <w:rFonts w:ascii="Times New Roman" w:hAnsi="Times New Roman" w:eastAsia="宋体" w:cs="Times New Roman"/>
          <w:kern w:val="21"/>
          <w:highlight w:val="none"/>
          <w:lang w:eastAsia="zh-CN"/>
        </w:rPr>
        <w:t>盐雾实验方法》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GB2423.37-89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《电工电子产品基本环境试验规程―试验L:沙尘试验方法》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GB2706-89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《交流高压电器动热稳定实验方法》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 4208-2017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《外壳防护等级(IP代码）》</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593-2016</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《高压开关设备和控制标准的共用技术要求》</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GB6833.2-87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《电子测量仪表电磁兼容性实验规范，磁场敏感度试验》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GB6833.3-87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《电子测量仪表电磁兼容性实验规范,静电放电敏感度试验》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GB6833.4-87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《电子测量仪表电磁兼容性实验规范，电源瞬态敏感度试验》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GB6833.5-87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《电子测量仪表电磁兼容性实验规范，辐射敏感度试验》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GB6833.6-87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《电子测量仪表电磁兼容性实验规范，传导敏感度试验》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 9813-2000《微型计算机通用规范》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687-2010</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《微机型防止电气误操作系统通用技术条件》</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667-1999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《继电保护设备信息接口配套标准》</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 5136-2001</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《火力发电厂、变电所二次接线设计技术规程》</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 50062-92</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《电力装置的继电保护及安全自动装置设计规范》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Q/CSG 10011-2005中国南方电网《220kV</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500kV变电站电气技术导则》</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Q/CSG 110023-2012《南方电网公司变电站防止电气误操作闭锁装置技术规范》</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Q</w:t>
      </w:r>
      <w:r>
        <w:rPr>
          <w:rFonts w:hint="eastAsia" w:ascii="Times New Roman" w:hAnsi="Times New Roman" w:eastAsia="宋体" w:cs="Times New Roman"/>
          <w:kern w:val="21"/>
          <w:highlight w:val="none"/>
          <w:lang w:val="en-US" w:eastAsia="zh-CN"/>
        </w:rPr>
        <w:t>/</w:t>
      </w:r>
      <w:r>
        <w:rPr>
          <w:rFonts w:hint="eastAsia" w:ascii="Times New Roman" w:hAnsi="Times New Roman" w:eastAsia="宋体" w:cs="Times New Roman"/>
          <w:kern w:val="21"/>
          <w:highlight w:val="none"/>
          <w:lang w:eastAsia="zh-CN"/>
        </w:rPr>
        <w:t>CSG1203029-2017</w:t>
      </w:r>
      <w:r>
        <w:rPr>
          <w:rFonts w:hint="eastAsia" w:ascii="Times New Roman" w:hAnsi="Times New Roman" w:eastAsia="宋体" w:cs="Times New Roman"/>
          <w:kern w:val="21"/>
          <w:highlight w:val="none"/>
          <w:lang w:val="en-US" w:eastAsia="zh-CN"/>
        </w:rPr>
        <w:t>中国南网电网公有限责任公司</w:t>
      </w:r>
      <w:bookmarkStart w:id="21" w:name="_GoBack"/>
      <w:bookmarkEnd w:id="21"/>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eastAsia="zh-CN"/>
        </w:rPr>
        <w:t>220kV～500kV变电站计算机监控系统技术规范</w:t>
      </w:r>
      <w:r>
        <w:rPr>
          <w:rFonts w:hint="eastAsia" w:ascii="Times New Roman" w:hAnsi="Times New Roman" w:eastAsia="宋体" w:cs="Times New Roman"/>
          <w:kern w:val="21"/>
          <w:highlight w:val="none"/>
          <w:lang w:eastAsia="zh-CN"/>
        </w:rPr>
        <w:t>》</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Q</w:t>
      </w:r>
      <w:r>
        <w:rPr>
          <w:rFonts w:hint="eastAsia" w:ascii="Times New Roman" w:hAnsi="Times New Roman" w:eastAsia="宋体" w:cs="Times New Roman"/>
          <w:kern w:val="21"/>
          <w:highlight w:val="none"/>
          <w:lang w:val="en-US" w:eastAsia="zh-CN"/>
        </w:rPr>
        <w:t>/</w:t>
      </w:r>
      <w:r>
        <w:rPr>
          <w:rFonts w:hint="eastAsia" w:ascii="Times New Roman" w:hAnsi="Times New Roman" w:eastAsia="宋体" w:cs="Times New Roman"/>
          <w:kern w:val="21"/>
          <w:highlight w:val="none"/>
          <w:lang w:eastAsia="zh-CN"/>
        </w:rPr>
        <w:t>CSG1203030-2017</w:t>
      </w:r>
      <w:r>
        <w:rPr>
          <w:rFonts w:hint="eastAsia" w:ascii="Times New Roman" w:hAnsi="Times New Roman" w:eastAsia="宋体" w:cs="Times New Roman"/>
          <w:kern w:val="21"/>
          <w:highlight w:val="none"/>
          <w:lang w:val="en-US" w:eastAsia="zh-CN"/>
        </w:rPr>
        <w:t>中国南网电网公有限责任公司</w:t>
      </w:r>
      <w:r>
        <w:rPr>
          <w:rFonts w:hint="eastAsia" w:ascii="Times New Roman" w:hAnsi="Times New Roman" w:eastAsia="宋体" w:cs="Times New Roman"/>
          <w:kern w:val="21"/>
          <w:highlight w:val="none"/>
          <w:lang w:eastAsia="zh-CN"/>
        </w:rPr>
        <w:t xml:space="preserve"> 《</w:t>
      </w:r>
      <w:r>
        <w:rPr>
          <w:rFonts w:hint="eastAsia" w:ascii="Times New Roman" w:hAnsi="Times New Roman" w:eastAsia="宋体" w:cs="Times New Roman"/>
          <w:kern w:val="21"/>
          <w:highlight w:val="none"/>
          <w:lang w:eastAsia="zh-CN"/>
        </w:rPr>
        <w:t>110kV及以下变电站计算机监控系统技术规范</w:t>
      </w:r>
      <w:r>
        <w:rPr>
          <w:rFonts w:hint="eastAsia" w:ascii="Times New Roman" w:hAnsi="Times New Roman" w:eastAsia="宋体" w:cs="Times New Roman"/>
          <w:kern w:val="21"/>
          <w:highlight w:val="none"/>
          <w:lang w:eastAsia="zh-CN"/>
        </w:rPr>
        <w:t>》</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南方电网生技〔2017〕6号中国南方电网公司反事故措施（2020年版)</w:t>
      </w:r>
    </w:p>
    <w:p>
      <w:pPr>
        <w:topLinePunct/>
        <w:autoSpaceDE/>
        <w:autoSpaceDN/>
        <w:spacing w:line="360" w:lineRule="auto"/>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以上标准如有新版本，按最新版本执行。</w:t>
      </w:r>
    </w:p>
    <w:p>
      <w:pPr>
        <w:topLinePunct/>
        <w:autoSpaceDE/>
        <w:autoSpaceDN/>
        <w:spacing w:line="360" w:lineRule="auto"/>
        <w:rPr>
          <w:rFonts w:ascii="Times New Roman" w:hAnsi="Times New Roman" w:eastAsia="宋体" w:cs="Times New Roman"/>
          <w:kern w:val="21"/>
          <w:highlight w:val="none"/>
          <w:lang w:eastAsia="zh-CN"/>
        </w:rPr>
      </w:pPr>
    </w:p>
    <w:p>
      <w:pPr>
        <w:topLinePunct/>
        <w:autoSpaceDE/>
        <w:autoSpaceDN/>
        <w:spacing w:line="360" w:lineRule="auto"/>
        <w:outlineLvl w:val="6"/>
        <w:rPr>
          <w:rFonts w:ascii="Times New Roman" w:hAnsi="Times New Roman" w:eastAsia="宋体" w:cs="Times New Roman"/>
          <w:kern w:val="21"/>
          <w:highlight w:val="none"/>
          <w:lang w:eastAsia="zh-CN"/>
        </w:rPr>
      </w:pPr>
      <w:r>
        <w:rPr>
          <w:rFonts w:ascii="Times New Roman" w:hAnsi="Times New Roman" w:eastAsia="宋体" w:cs="Times New Roman"/>
          <w:b/>
          <w:bCs/>
          <w:kern w:val="21"/>
          <w:sz w:val="24"/>
          <w:szCs w:val="24"/>
          <w:highlight w:val="none"/>
          <w:lang w:eastAsia="zh-CN"/>
        </w:rPr>
        <w:t>3.</w:t>
      </w:r>
      <w:r>
        <w:rPr>
          <w:rFonts w:hint="eastAsia" w:ascii="Times New Roman" w:hAnsi="Times New Roman" w:eastAsia="宋体" w:cs="Times New Roman"/>
          <w:b/>
          <w:bCs/>
          <w:kern w:val="21"/>
          <w:sz w:val="24"/>
          <w:szCs w:val="24"/>
          <w:highlight w:val="none"/>
          <w:lang w:eastAsia="zh-CN"/>
        </w:rPr>
        <w:t>2</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b/>
          <w:bCs/>
          <w:kern w:val="21"/>
          <w:sz w:val="24"/>
          <w:szCs w:val="24"/>
          <w:highlight w:val="none"/>
          <w:lang w:eastAsia="zh-CN"/>
        </w:rPr>
        <w:t>使用条件</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本物资招标技术文件所规定的物资技术条款和参数要求，适用下列环境条件使用。</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环境温度：户内设备</w:t>
      </w:r>
      <w:r>
        <w:rPr>
          <w:rFonts w:hint="eastAsia" w:ascii="Times New Roman" w:hAnsi="Times New Roman" w:eastAsia="宋体" w:cs="Times New Roman"/>
          <w:kern w:val="21"/>
          <w:highlight w:val="none"/>
          <w:lang w:val="en-US" w:eastAsia="zh-CN"/>
        </w:rPr>
        <w:t>-10</w:t>
      </w:r>
      <w:r>
        <w:rPr>
          <w:rFonts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45℃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户外设备</w:t>
      </w:r>
      <w:r>
        <w:rPr>
          <w:rFonts w:hint="eastAsia" w:ascii="Times New Roman" w:hAnsi="Times New Roman" w:eastAsia="宋体" w:cs="Times New Roman"/>
          <w:kern w:val="21"/>
          <w:highlight w:val="none"/>
          <w:lang w:val="en-US" w:eastAsia="zh-CN"/>
        </w:rPr>
        <w:t>-25</w:t>
      </w:r>
      <w:r>
        <w:rPr>
          <w:rFonts w:ascii="Times New Roman" w:hAnsi="Times New Roman" w:eastAsia="宋体" w:cs="Times New Roman"/>
          <w:kern w:val="21"/>
          <w:highlight w:val="none"/>
          <w:lang w:eastAsia="zh-CN"/>
        </w:rPr>
        <w:t>℃~60℃</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相对湿度：日平均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月平均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90%</w:t>
      </w:r>
    </w:p>
    <w:p>
      <w:pPr>
        <w:topLinePunct/>
        <w:autoSpaceDE/>
        <w:autoSpaceDN/>
        <w:spacing w:line="360" w:lineRule="auto"/>
        <w:ind w:firstLine="420" w:firstLineChars="200"/>
        <w:rPr>
          <w:rFonts w:ascii="Times New Roman" w:hAnsi="Times New Roman" w:eastAsia="Times New Roman" w:cs="Times New Roman"/>
          <w:kern w:val="21"/>
          <w:highlight w:val="none"/>
        </w:rPr>
      </w:pPr>
      <w:r>
        <w:rPr>
          <w:rFonts w:ascii="Times New Roman" w:hAnsi="Times New Roman" w:eastAsia="宋体" w:cs="Times New Roman"/>
          <w:kern w:val="21"/>
          <w:highlight w:val="none"/>
        </w:rPr>
        <w:t>抗震能力：地面水平加速度0.3</w:t>
      </w:r>
      <w:r>
        <w:rPr>
          <w:rFonts w:ascii="Times New Roman" w:hAnsi="Times New Roman" w:eastAsia="Times New Roman" w:cs="Times New Roman"/>
          <w:kern w:val="21"/>
          <w:highlight w:val="none"/>
        </w:rPr>
        <w:t>g</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rPr>
        <w:t>地面垂直加速度0.15</w:t>
      </w:r>
      <w:r>
        <w:rPr>
          <w:rFonts w:ascii="Times New Roman" w:hAnsi="Times New Roman" w:eastAsia="Times New Roman" w:cs="Times New Roman"/>
          <w:kern w:val="21"/>
          <w:highlight w:val="none"/>
        </w:rPr>
        <w:t>g</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海拔高度：</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2500m</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ascii="Times New Roman" w:hAnsi="Times New Roman" w:eastAsia="宋体" w:cs="Times New Roman"/>
          <w:b/>
          <w:bCs/>
          <w:kern w:val="21"/>
          <w:sz w:val="24"/>
          <w:szCs w:val="24"/>
          <w:highlight w:val="none"/>
          <w:lang w:eastAsia="zh-CN"/>
        </w:rPr>
        <w:t>3.3</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基本技术要求</w:t>
      </w:r>
    </w:p>
    <w:p>
      <w:pPr>
        <w:topLinePunct/>
        <w:autoSpaceDE/>
        <w:autoSpaceDN/>
        <w:spacing w:line="360" w:lineRule="auto"/>
        <w:rPr>
          <w:rFonts w:hint="default" w:ascii="Times New Roman" w:hAnsi="Times New Roman" w:eastAsia="宋体" w:cs="Times New Roman"/>
          <w:kern w:val="21"/>
          <w:highlight w:val="none"/>
          <w:lang w:val="en-US" w:eastAsia="zh-CN"/>
        </w:rPr>
      </w:pPr>
      <w:r>
        <w:rPr>
          <w:rFonts w:ascii="Times New Roman" w:hAnsi="Times New Roman" w:eastAsia="宋体" w:cs="Times New Roman"/>
          <w:kern w:val="21"/>
          <w:highlight w:val="none"/>
          <w:lang w:eastAsia="zh-CN"/>
        </w:rPr>
        <w:t xml:space="preserve">1、 </w:t>
      </w:r>
      <w:r>
        <w:rPr>
          <w:rFonts w:hint="eastAsia" w:ascii="Times New Roman" w:hAnsi="Times New Roman" w:eastAsia="宋体" w:cs="Times New Roman"/>
          <w:kern w:val="21"/>
          <w:highlight w:val="none"/>
          <w:lang w:val="en-US" w:eastAsia="zh-CN"/>
        </w:rPr>
        <w:t>人机交互</w:t>
      </w:r>
    </w:p>
    <w:p>
      <w:pPr>
        <w:topLinePunct/>
        <w:autoSpaceDE/>
        <w:autoSpaceDN/>
        <w:spacing w:line="360" w:lineRule="auto"/>
        <w:ind w:firstLine="420" w:firstLineChars="200"/>
        <w:rPr>
          <w:rFonts w:hint="default"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提供人机交互设备，实现数据的实时分析和预测。</w:t>
      </w:r>
    </w:p>
    <w:p>
      <w:pPr>
        <w:numPr>
          <w:ilvl w:val="0"/>
          <w:numId w:val="2"/>
        </w:numPr>
        <w:topLinePunct/>
        <w:autoSpaceDE/>
        <w:autoSpaceDN/>
        <w:spacing w:line="360" w:lineRule="auto"/>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检测指标参数</w:t>
      </w:r>
    </w:p>
    <w:p>
      <w:pPr>
        <w:numPr>
          <w:ilvl w:val="0"/>
          <w:numId w:val="0"/>
        </w:numPr>
        <w:spacing w:line="360" w:lineRule="auto"/>
        <w:rPr>
          <w:rFonts w:hint="eastAsia" w:ascii="宋体" w:hAnsi="宋体" w:eastAsia="宋体" w:cs="Times New Roman"/>
          <w:vanish w:val="0"/>
          <w:sz w:val="24"/>
          <w:lang w:val="en-US" w:eastAsia="zh-CN"/>
        </w:rPr>
      </w:pPr>
      <w:r>
        <w:rPr>
          <w:rFonts w:hint="eastAsia" w:ascii="宋体" w:hAnsi="宋体" w:eastAsia="宋体" w:cs="Times New Roman"/>
          <w:vanish w:val="0"/>
          <w:sz w:val="24"/>
          <w:lang w:val="en-US" w:eastAsia="zh-CN"/>
        </w:rPr>
        <w:t>1）计算保护分闸或遥控分闸脉冲命令发出后，开关返回位置信号的时间差，并设置告警阈值。时间差值与告警阈值的准确级为ms级。</w:t>
      </w:r>
    </w:p>
    <w:p>
      <w:pPr>
        <w:numPr>
          <w:ilvl w:val="0"/>
          <w:numId w:val="0"/>
        </w:numPr>
        <w:spacing w:line="360" w:lineRule="auto"/>
        <w:rPr>
          <w:rFonts w:hint="eastAsia" w:ascii="宋体" w:hAnsi="宋体" w:eastAsia="宋体" w:cs="Times New Roman"/>
          <w:vanish w:val="0"/>
          <w:sz w:val="24"/>
          <w:lang w:val="en-US" w:eastAsia="zh-CN"/>
        </w:rPr>
      </w:pPr>
      <w:r>
        <w:rPr>
          <w:rFonts w:hint="eastAsia" w:ascii="宋体" w:hAnsi="宋体" w:eastAsia="宋体" w:cs="Times New Roman"/>
          <w:vanish w:val="0"/>
          <w:sz w:val="24"/>
          <w:lang w:val="en-US" w:eastAsia="zh-CN"/>
        </w:rPr>
        <w:t>2）将开关疑似慢分的情况，通过远动通道上送调度自动化主站。</w:t>
      </w:r>
    </w:p>
    <w:p>
      <w:pPr>
        <w:topLinePunct/>
        <w:autoSpaceDE/>
        <w:autoSpaceDN/>
        <w:spacing w:line="360" w:lineRule="auto"/>
        <w:rPr>
          <w:rFonts w:hint="eastAsia" w:ascii="Times New Roman" w:hAnsi="Times New Roman" w:eastAsia="宋体" w:cs="Times New Roman"/>
          <w:b/>
          <w:bCs/>
          <w:kern w:val="21"/>
          <w:highlight w:val="none"/>
          <w:lang w:eastAsia="zh-CN"/>
        </w:rPr>
      </w:pPr>
      <w:r>
        <w:rPr>
          <w:rFonts w:hint="eastAsia" w:ascii="宋体" w:hAnsi="宋体" w:eastAsia="宋体" w:cs="Times New Roman"/>
          <w:vanish w:val="0"/>
          <w:sz w:val="24"/>
          <w:lang w:val="en-US" w:eastAsia="zh-CN"/>
        </w:rPr>
        <w:t>3）历史告警信息及报表，提供报备及曲线调阅分析，在当地监控后台至少存储6个月。</w:t>
      </w:r>
    </w:p>
    <w:p>
      <w:pPr>
        <w:topLinePunct/>
        <w:autoSpaceDE/>
        <w:autoSpaceDN/>
        <w:spacing w:line="360" w:lineRule="auto"/>
        <w:rPr>
          <w:rFonts w:hint="eastAsia" w:ascii="Times New Roman" w:hAnsi="Times New Roman" w:eastAsia="宋体" w:cs="Times New Roman"/>
          <w:b/>
          <w:bCs/>
          <w:kern w:val="21"/>
          <w:highlight w:val="none"/>
          <w:lang w:eastAsia="zh-CN"/>
        </w:rPr>
      </w:pPr>
      <w:r>
        <w:rPr>
          <w:rFonts w:ascii="Times New Roman" w:hAnsi="Times New Roman" w:eastAsia="宋体" w:cs="Times New Roman"/>
          <w:b/>
          <w:bCs/>
          <w:kern w:val="21"/>
          <w:highlight w:val="none"/>
          <w:lang w:eastAsia="zh-CN"/>
        </w:rPr>
        <w:t>注：投标单位产品与以上指标及功能有差异时，可在项目需求部分的项目单位技术差异表中给出，投标人应对该差异表</w:t>
      </w:r>
      <w:r>
        <w:rPr>
          <w:rFonts w:hint="eastAsia" w:ascii="Times New Roman" w:hAnsi="Times New Roman" w:eastAsia="宋体" w:cs="Times New Roman"/>
          <w:b/>
          <w:bCs/>
          <w:kern w:val="21"/>
          <w:highlight w:val="none"/>
          <w:lang w:eastAsia="zh-CN"/>
        </w:rPr>
        <w:t>响应。</w:t>
      </w:r>
    </w:p>
    <w:p>
      <w:pPr>
        <w:topLinePunct/>
        <w:autoSpaceDE/>
        <w:autoSpaceDN/>
        <w:spacing w:line="360" w:lineRule="auto"/>
        <w:rPr>
          <w:rFonts w:hint="eastAsia" w:ascii="Times New Roman" w:hAnsi="Times New Roman" w:eastAsia="宋体" w:cs="Times New Roman"/>
          <w:b/>
          <w:bCs/>
          <w:kern w:val="21"/>
          <w:highlight w:val="none"/>
          <w:lang w:eastAsia="zh-CN"/>
        </w:rPr>
      </w:pPr>
    </w:p>
    <w:p>
      <w:pPr>
        <w:topLinePunct/>
        <w:autoSpaceDE/>
        <w:autoSpaceDN/>
        <w:spacing w:line="360" w:lineRule="auto"/>
        <w:rPr>
          <w:rFonts w:hint="eastAsia" w:ascii="Times New Roman" w:hAnsi="Times New Roman" w:eastAsia="宋体" w:cs="Times New Roman"/>
          <w:b/>
          <w:bCs/>
          <w:kern w:val="21"/>
          <w:highlight w:val="none"/>
          <w:lang w:eastAsia="zh-CN"/>
        </w:rPr>
      </w:pPr>
    </w:p>
    <w:p>
      <w:pPr>
        <w:pStyle w:val="2"/>
        <w:rPr>
          <w:kern w:val="21"/>
          <w:highlight w:val="none"/>
          <w:lang w:eastAsia="zh-CN"/>
        </w:rPr>
      </w:pPr>
      <w:bookmarkStart w:id="12" w:name="_Toc14522"/>
      <w:r>
        <w:rPr>
          <w:highlight w:val="none"/>
          <w:lang w:eastAsia="zh-CN"/>
        </w:rPr>
        <w:t>4  质量保证</w:t>
      </w:r>
      <w:bookmarkEnd w:id="12"/>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4.1订购的产品应满足本规范要求，并提供该产品的试验报告和产品合格证。</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4.2投标方应保证制造过程中的所有工艺、材料试验等均应符合本规范的规定。</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4.3投标方应有遵守本规范中各条款和工作项目的IS0900-GB/T1900-质量保证体系</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该质量保证体系已经通过国家认证和正常运转。</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ind w:firstLine="420" w:firstLineChars="200"/>
        <w:rPr>
          <w:rFonts w:hint="eastAsia" w:ascii="Times New Roman" w:hAnsi="Times New Roman" w:eastAsia="宋体" w:cs="Times New Roman"/>
          <w:kern w:val="21"/>
          <w:highlight w:val="none"/>
          <w:lang w:val="en-US" w:eastAsia="zh-CN"/>
        </w:rPr>
      </w:pPr>
    </w:p>
    <w:p>
      <w:pPr>
        <w:pStyle w:val="2"/>
        <w:rPr>
          <w:kern w:val="21"/>
          <w:highlight w:val="none"/>
          <w:lang w:eastAsia="zh-CN"/>
        </w:rPr>
      </w:pPr>
      <w:bookmarkStart w:id="13" w:name="_Toc24670"/>
      <w:r>
        <w:rPr>
          <w:rFonts w:hint="eastAsia"/>
          <w:highlight w:val="none"/>
          <w:lang w:val="en-US" w:eastAsia="zh-CN"/>
        </w:rPr>
        <w:t>5</w:t>
      </w:r>
      <w:r>
        <w:rPr>
          <w:highlight w:val="none"/>
          <w:lang w:eastAsia="zh-CN"/>
        </w:rPr>
        <w:t xml:space="preserve">  包装、运输和储存</w:t>
      </w:r>
      <w:bookmarkEnd w:id="13"/>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.1有部件经妥善包装或装箱后，在运输过程中尚应采取其它防护措施，以免散失损坏或被盗。</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.2在包装箱外应标明需方的订货号、发货号。</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.3各种包装应能确保各零部件在运输过程中不致遭到损坏、丢失、变形、受潮和腐蚀。</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5.4</w:t>
      </w:r>
      <w:r>
        <w:rPr>
          <w:rFonts w:hint="eastAsia" w:ascii="Times New Roman" w:hAnsi="Times New Roman" w:eastAsia="宋体" w:cs="Times New Roman"/>
          <w:kern w:val="21"/>
          <w:highlight w:val="none"/>
          <w:lang w:eastAsia="zh-CN"/>
        </w:rPr>
        <w:t>包装箱上应有明显的包装储运图示标志(按GB/T 191-2008)。</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整体产品或分别运输的部件都要适合运输和装载的要求。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随产品提供的技术资料应完整无缺。</w:t>
      </w:r>
    </w:p>
    <w:p>
      <w:pPr>
        <w:pStyle w:val="2"/>
        <w:rPr>
          <w:rFonts w:hint="eastAsia"/>
          <w:highlight w:val="none"/>
          <w:lang w:val="en-US" w:eastAsia="zh-CN"/>
        </w:rPr>
      </w:pPr>
      <w:bookmarkStart w:id="14" w:name="_Toc10235"/>
    </w:p>
    <w:p>
      <w:pPr>
        <w:pStyle w:val="2"/>
        <w:rPr>
          <w:rFonts w:hint="eastAsia"/>
          <w:highlight w:val="none"/>
          <w:lang w:val="en-US" w:eastAsia="zh-CN"/>
        </w:rPr>
      </w:pPr>
    </w:p>
    <w:p>
      <w:pPr>
        <w:pStyle w:val="2"/>
        <w:rPr>
          <w:rFonts w:hint="eastAsia"/>
          <w:highlight w:val="none"/>
          <w:lang w:val="en-US" w:eastAsia="zh-CN"/>
        </w:rPr>
      </w:pPr>
      <w:r>
        <w:rPr>
          <w:rFonts w:hint="eastAsia"/>
          <w:highlight w:val="none"/>
          <w:lang w:val="en-US" w:eastAsia="zh-CN"/>
        </w:rPr>
        <w:t>6、双方工作安排</w:t>
      </w:r>
      <w:bookmarkEnd w:id="14"/>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.1 需求方应向供货方提供有特殊要求的设备技术文件。</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.2设备安装调试过程中，需求方为供货方现场人员提供工作和生活方便。设备制造过程中，需求方可派出到供货方进行监造和验收，供货方应积极配合7.37.4 供货方收到技术条件书后如有异议，在5天内书面通知需求方，否则认为供货方同意技术条件书中的全部要求。</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 xml:space="preserve"> 根据工程需要，可召开设计联络会或以其他形式解决设计制造中的问题。</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 xml:space="preserve">4 </w:t>
      </w:r>
      <w:r>
        <w:rPr>
          <w:rFonts w:hint="eastAsia" w:ascii="Times New Roman" w:hAnsi="Times New Roman" w:eastAsia="宋体" w:cs="Times New Roman"/>
          <w:kern w:val="21"/>
          <w:highlight w:val="none"/>
          <w:lang w:eastAsia="zh-CN"/>
        </w:rPr>
        <w:t>对需求方的缺陷通知，供货方应在 24 小时内作出回应，48 小时内赴现场予以解决</w:t>
      </w:r>
      <w:r>
        <w:rPr>
          <w:rFonts w:hint="eastAsia" w:ascii="Times New Roman" w:hAnsi="Times New Roman" w:eastAsia="宋体" w:cs="Times New Roman"/>
          <w:kern w:val="21"/>
          <w:highlight w:val="none"/>
          <w:lang w:val="en-US" w:eastAsia="zh-CN"/>
        </w:rPr>
        <w:t>。</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 xml:space="preserve"> 资料的组织结构清晰、逻辑性强。资料内容正确、准确、一致、清晰完整，满足工程要求。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pStyle w:val="2"/>
        <w:rPr>
          <w:highlight w:val="none"/>
          <w:lang w:eastAsia="zh-CN"/>
        </w:rPr>
      </w:pPr>
      <w:bookmarkStart w:id="15" w:name="_Toc6391"/>
      <w:r>
        <w:rPr>
          <w:rFonts w:hint="eastAsia"/>
          <w:highlight w:val="none"/>
          <w:lang w:val="en-US" w:eastAsia="zh-CN"/>
        </w:rPr>
        <w:t>7</w:t>
      </w:r>
      <w:r>
        <w:rPr>
          <w:highlight w:val="none"/>
          <w:lang w:eastAsia="zh-CN"/>
        </w:rPr>
        <w:t xml:space="preserve">  备品备件及专用工具</w:t>
      </w:r>
      <w:bookmarkEnd w:id="15"/>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根据产品的技术性能、运行经验，厂家对招标方必须购买的备品备件及专用工具应有详细说明。</w:t>
      </w:r>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hint="eastAsia" w:ascii="Times New Roman" w:hAnsi="Times New Roman" w:eastAsia="宋体" w:cs="Times New Roman"/>
          <w:b/>
          <w:bCs/>
          <w:kern w:val="21"/>
          <w:sz w:val="24"/>
          <w:szCs w:val="24"/>
          <w:highlight w:val="none"/>
          <w:lang w:val="en-US" w:eastAsia="zh-CN"/>
        </w:rPr>
        <w:t>7.</w:t>
      </w:r>
      <w:r>
        <w:rPr>
          <w:rFonts w:ascii="Times New Roman" w:hAnsi="Times New Roman" w:eastAsia="宋体" w:cs="Times New Roman"/>
          <w:b/>
          <w:bCs/>
          <w:kern w:val="21"/>
          <w:sz w:val="24"/>
          <w:szCs w:val="24"/>
          <w:highlight w:val="none"/>
          <w:lang w:eastAsia="zh-CN"/>
        </w:rPr>
        <w:t>1</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备品备件</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投标方应向招标方提供必要的备品备件，备品备件应是新品，与设备同型号、同工艺。备品备件清单见表1。</w:t>
      </w:r>
    </w:p>
    <w:p>
      <w:pPr>
        <w:topLinePunct/>
        <w:autoSpaceDE/>
        <w:autoSpaceDN/>
        <w:spacing w:line="360" w:lineRule="auto"/>
        <w:jc w:val="center"/>
        <w:rPr>
          <w:rFonts w:ascii="Times New Roman" w:hAnsi="Times New Roman" w:cs="Times New Roman"/>
          <w:kern w:val="21"/>
          <w:highlight w:val="none"/>
          <w:lang w:eastAsia="zh-CN"/>
        </w:rPr>
      </w:pPr>
      <w:r>
        <w:rPr>
          <w:rFonts w:ascii="Times New Roman" w:hAnsi="Times New Roman" w:eastAsia="黑体" w:cs="Times New Roman"/>
          <w:b/>
          <w:bCs/>
          <w:kern w:val="21"/>
          <w:highlight w:val="none"/>
          <w:lang w:eastAsia="zh-CN"/>
        </w:rPr>
        <w:t>表1备品备件清单</w:t>
      </w:r>
    </w:p>
    <w:tbl>
      <w:tblPr>
        <w:tblStyle w:val="11"/>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4"/>
        <w:gridCol w:w="2017"/>
        <w:gridCol w:w="2767"/>
        <w:gridCol w:w="749"/>
        <w:gridCol w:w="759"/>
        <w:gridCol w:w="889"/>
        <w:gridCol w:w="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201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276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型号及规范</w:t>
            </w:r>
          </w:p>
        </w:tc>
        <w:tc>
          <w:tcPr>
            <w:tcW w:w="74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75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8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用途</w:t>
            </w:r>
          </w:p>
        </w:tc>
        <w:tc>
          <w:tcPr>
            <w:tcW w:w="88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1</w:t>
            </w:r>
          </w:p>
        </w:tc>
        <w:tc>
          <w:tcPr>
            <w:tcW w:w="201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276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4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5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2</w:t>
            </w:r>
          </w:p>
        </w:tc>
        <w:tc>
          <w:tcPr>
            <w:tcW w:w="201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276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4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5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r>
    </w:tbl>
    <w:p>
      <w:pPr>
        <w:topLinePunct/>
        <w:autoSpaceDE/>
        <w:autoSpaceDN/>
        <w:spacing w:line="360" w:lineRule="auto"/>
        <w:outlineLvl w:val="9"/>
        <w:rPr>
          <w:rFonts w:hint="eastAsia" w:ascii="Times New Roman" w:hAnsi="Times New Roman" w:eastAsia="宋体" w:cs="Times New Roman"/>
          <w:b/>
          <w:bCs/>
          <w:kern w:val="21"/>
          <w:sz w:val="24"/>
          <w:szCs w:val="24"/>
          <w:highlight w:val="none"/>
          <w:lang w:val="en-US" w:eastAsia="zh-CN"/>
        </w:rPr>
      </w:pPr>
    </w:p>
    <w:p>
      <w:pPr>
        <w:topLinePunct/>
        <w:autoSpaceDE/>
        <w:autoSpaceDN/>
        <w:spacing w:line="360" w:lineRule="auto"/>
        <w:outlineLvl w:val="6"/>
        <w:rPr>
          <w:rFonts w:ascii="Times New Roman" w:hAnsi="Times New Roman" w:eastAsia="宋体" w:cs="Times New Roman"/>
          <w:kern w:val="21"/>
          <w:highlight w:val="none"/>
          <w:lang w:eastAsia="zh-CN"/>
        </w:rPr>
      </w:pPr>
      <w:r>
        <w:rPr>
          <w:rFonts w:hint="eastAsia" w:ascii="Times New Roman" w:hAnsi="Times New Roman" w:eastAsia="宋体" w:cs="Times New Roman"/>
          <w:b/>
          <w:bCs/>
          <w:kern w:val="21"/>
          <w:sz w:val="24"/>
          <w:szCs w:val="24"/>
          <w:highlight w:val="none"/>
          <w:lang w:val="en-US" w:eastAsia="zh-CN"/>
        </w:rPr>
        <w:t>7.2</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kern w:val="21"/>
          <w:sz w:val="24"/>
          <w:szCs w:val="24"/>
          <w:highlight w:val="none"/>
          <w:lang w:val="en-US" w:eastAsia="zh-CN"/>
        </w:rPr>
        <w:t>专用工具</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投标方应提供安装、运行检修所需要的非常规及非标准的专用工具，包括专用测试设备，提供的工具清单见表2。</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jc w:val="center"/>
        <w:rPr>
          <w:rFonts w:ascii="Times New Roman" w:hAnsi="Times New Roman" w:eastAsia="黑体" w:cs="Times New Roman"/>
          <w:kern w:val="21"/>
          <w:highlight w:val="none"/>
          <w:lang w:eastAsia="zh-CN"/>
        </w:rPr>
      </w:pPr>
      <w:r>
        <w:rPr>
          <w:rFonts w:ascii="Times New Roman" w:hAnsi="Times New Roman" w:eastAsia="黑体" w:cs="Times New Roman"/>
          <w:b/>
          <w:bCs/>
          <w:kern w:val="21"/>
          <w:highlight w:val="none"/>
          <w:lang w:eastAsia="zh-CN"/>
        </w:rPr>
        <w:t>表2</w:t>
      </w:r>
      <w:r>
        <w:rPr>
          <w:rFonts w:ascii="Times New Roman" w:hAnsi="Times New Roman" w:eastAsia="黑体" w:cs="Times New Roman"/>
          <w:kern w:val="21"/>
          <w:highlight w:val="none"/>
          <w:lang w:eastAsia="zh-CN"/>
        </w:rPr>
        <w:t xml:space="preserve"> </w:t>
      </w:r>
      <w:r>
        <w:rPr>
          <w:rFonts w:ascii="Times New Roman" w:hAnsi="Times New Roman" w:eastAsia="黑体" w:cs="Times New Roman"/>
          <w:b/>
          <w:bCs/>
          <w:kern w:val="21"/>
          <w:highlight w:val="none"/>
          <w:lang w:eastAsia="zh-CN"/>
        </w:rPr>
        <w:t>专用工具清单</w:t>
      </w:r>
    </w:p>
    <w:tbl>
      <w:tblPr>
        <w:tblStyle w:val="11"/>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907"/>
        <w:gridCol w:w="2477"/>
        <w:gridCol w:w="989"/>
        <w:gridCol w:w="869"/>
        <w:gridCol w:w="709"/>
        <w:gridCol w:w="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7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190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247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型号及规范</w:t>
            </w:r>
          </w:p>
        </w:tc>
        <w:tc>
          <w:tcPr>
            <w:tcW w:w="9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8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70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用途</w:t>
            </w:r>
          </w:p>
        </w:tc>
        <w:tc>
          <w:tcPr>
            <w:tcW w:w="75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1</w:t>
            </w:r>
          </w:p>
        </w:tc>
        <w:tc>
          <w:tcPr>
            <w:tcW w:w="1907" w:type="dxa"/>
            <w:vAlign w:val="center"/>
          </w:tcPr>
          <w:p>
            <w:pPr>
              <w:topLinePunct/>
              <w:autoSpaceDE/>
              <w:autoSpaceDN/>
              <w:spacing w:line="360" w:lineRule="auto"/>
              <w:jc w:val="center"/>
              <w:rPr>
                <w:rFonts w:ascii="Times New Roman" w:hAnsi="Times New Roman" w:cs="Times New Roman"/>
                <w:kern w:val="21"/>
                <w:highlight w:val="none"/>
              </w:rPr>
            </w:pPr>
          </w:p>
        </w:tc>
        <w:tc>
          <w:tcPr>
            <w:tcW w:w="2477" w:type="dxa"/>
            <w:vAlign w:val="center"/>
          </w:tcPr>
          <w:p>
            <w:pPr>
              <w:topLinePunct/>
              <w:autoSpaceDE/>
              <w:autoSpaceDN/>
              <w:spacing w:line="360" w:lineRule="auto"/>
              <w:jc w:val="center"/>
              <w:rPr>
                <w:rFonts w:ascii="Times New Roman" w:hAnsi="Times New Roman" w:cs="Times New Roman"/>
                <w:kern w:val="21"/>
                <w:highlight w:val="none"/>
              </w:rPr>
            </w:pPr>
          </w:p>
        </w:tc>
        <w:tc>
          <w:tcPr>
            <w:tcW w:w="989" w:type="dxa"/>
            <w:vAlign w:val="center"/>
          </w:tcPr>
          <w:p>
            <w:pPr>
              <w:topLinePunct/>
              <w:autoSpaceDE/>
              <w:autoSpaceDN/>
              <w:spacing w:line="360" w:lineRule="auto"/>
              <w:jc w:val="center"/>
              <w:rPr>
                <w:rFonts w:ascii="Times New Roman" w:hAnsi="Times New Roman" w:cs="Times New Roman"/>
                <w:kern w:val="21"/>
                <w:highlight w:val="none"/>
              </w:rPr>
            </w:pPr>
          </w:p>
        </w:tc>
        <w:tc>
          <w:tcPr>
            <w:tcW w:w="869" w:type="dxa"/>
            <w:vAlign w:val="center"/>
          </w:tcPr>
          <w:p>
            <w:pPr>
              <w:topLinePunct/>
              <w:autoSpaceDE/>
              <w:autoSpaceDN/>
              <w:spacing w:line="360" w:lineRule="auto"/>
              <w:jc w:val="center"/>
              <w:rPr>
                <w:rFonts w:ascii="Times New Roman" w:hAnsi="Times New Roman" w:cs="Times New Roman"/>
                <w:kern w:val="21"/>
                <w:highlight w:val="none"/>
              </w:rPr>
            </w:pPr>
          </w:p>
        </w:tc>
        <w:tc>
          <w:tcPr>
            <w:tcW w:w="709" w:type="dxa"/>
            <w:vAlign w:val="center"/>
          </w:tcPr>
          <w:p>
            <w:pPr>
              <w:topLinePunct/>
              <w:autoSpaceDE/>
              <w:autoSpaceDN/>
              <w:spacing w:line="360" w:lineRule="auto"/>
              <w:jc w:val="center"/>
              <w:rPr>
                <w:rFonts w:ascii="Times New Roman" w:hAnsi="Times New Roman" w:cs="Times New Roman"/>
                <w:kern w:val="21"/>
                <w:highlight w:val="none"/>
              </w:rPr>
            </w:pPr>
          </w:p>
        </w:tc>
        <w:tc>
          <w:tcPr>
            <w:tcW w:w="754"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2</w:t>
            </w:r>
          </w:p>
        </w:tc>
        <w:tc>
          <w:tcPr>
            <w:tcW w:w="1907" w:type="dxa"/>
            <w:vAlign w:val="center"/>
          </w:tcPr>
          <w:p>
            <w:pPr>
              <w:topLinePunct/>
              <w:autoSpaceDE/>
              <w:autoSpaceDN/>
              <w:spacing w:line="360" w:lineRule="auto"/>
              <w:jc w:val="center"/>
              <w:rPr>
                <w:rFonts w:ascii="Times New Roman" w:hAnsi="Times New Roman" w:cs="Times New Roman"/>
                <w:kern w:val="21"/>
                <w:highlight w:val="none"/>
              </w:rPr>
            </w:pPr>
          </w:p>
        </w:tc>
        <w:tc>
          <w:tcPr>
            <w:tcW w:w="2477" w:type="dxa"/>
            <w:vAlign w:val="center"/>
          </w:tcPr>
          <w:p>
            <w:pPr>
              <w:topLinePunct/>
              <w:autoSpaceDE/>
              <w:autoSpaceDN/>
              <w:spacing w:line="360" w:lineRule="auto"/>
              <w:jc w:val="center"/>
              <w:rPr>
                <w:rFonts w:ascii="Times New Roman" w:hAnsi="Times New Roman" w:cs="Times New Roman"/>
                <w:kern w:val="21"/>
                <w:highlight w:val="none"/>
              </w:rPr>
            </w:pPr>
          </w:p>
        </w:tc>
        <w:tc>
          <w:tcPr>
            <w:tcW w:w="989" w:type="dxa"/>
            <w:vAlign w:val="center"/>
          </w:tcPr>
          <w:p>
            <w:pPr>
              <w:topLinePunct/>
              <w:autoSpaceDE/>
              <w:autoSpaceDN/>
              <w:spacing w:line="360" w:lineRule="auto"/>
              <w:jc w:val="center"/>
              <w:rPr>
                <w:rFonts w:ascii="Times New Roman" w:hAnsi="Times New Roman" w:cs="Times New Roman"/>
                <w:kern w:val="21"/>
                <w:highlight w:val="none"/>
              </w:rPr>
            </w:pPr>
          </w:p>
        </w:tc>
        <w:tc>
          <w:tcPr>
            <w:tcW w:w="869" w:type="dxa"/>
            <w:vAlign w:val="center"/>
          </w:tcPr>
          <w:p>
            <w:pPr>
              <w:topLinePunct/>
              <w:autoSpaceDE/>
              <w:autoSpaceDN/>
              <w:spacing w:line="360" w:lineRule="auto"/>
              <w:jc w:val="center"/>
              <w:rPr>
                <w:rFonts w:ascii="Times New Roman" w:hAnsi="Times New Roman" w:cs="Times New Roman"/>
                <w:kern w:val="21"/>
                <w:highlight w:val="none"/>
              </w:rPr>
            </w:pPr>
          </w:p>
        </w:tc>
        <w:tc>
          <w:tcPr>
            <w:tcW w:w="709" w:type="dxa"/>
            <w:vAlign w:val="center"/>
          </w:tcPr>
          <w:p>
            <w:pPr>
              <w:topLinePunct/>
              <w:autoSpaceDE/>
              <w:autoSpaceDN/>
              <w:spacing w:line="360" w:lineRule="auto"/>
              <w:jc w:val="center"/>
              <w:rPr>
                <w:rFonts w:ascii="Times New Roman" w:hAnsi="Times New Roman" w:cs="Times New Roman"/>
                <w:kern w:val="21"/>
                <w:highlight w:val="none"/>
              </w:rPr>
            </w:pPr>
          </w:p>
        </w:tc>
        <w:tc>
          <w:tcPr>
            <w:tcW w:w="754" w:type="dxa"/>
            <w:vAlign w:val="center"/>
          </w:tcPr>
          <w:p>
            <w:pPr>
              <w:topLinePunct/>
              <w:autoSpaceDE/>
              <w:autoSpaceDN/>
              <w:spacing w:line="360" w:lineRule="auto"/>
              <w:jc w:val="center"/>
              <w:rPr>
                <w:rFonts w:ascii="Times New Roman" w:hAnsi="Times New Roman" w:cs="Times New Roman"/>
                <w:kern w:val="21"/>
                <w:highlight w:val="none"/>
              </w:rPr>
            </w:pPr>
          </w:p>
        </w:tc>
      </w:tr>
    </w:tbl>
    <w:p>
      <w:pPr>
        <w:pStyle w:val="4"/>
        <w:topLinePunct/>
        <w:autoSpaceDE/>
        <w:autoSpaceDN/>
        <w:spacing w:line="360" w:lineRule="auto"/>
        <w:rPr>
          <w:rFonts w:ascii="Times New Roman" w:hAnsi="Times New Roman" w:cs="Times New Roman"/>
          <w:kern w:val="21"/>
          <w:highlight w:val="none"/>
        </w:rPr>
      </w:pPr>
    </w:p>
    <w:p>
      <w:pPr>
        <w:pStyle w:val="2"/>
        <w:rPr>
          <w:highlight w:val="none"/>
          <w:lang w:eastAsia="zh-CN"/>
        </w:rPr>
      </w:pPr>
      <w:bookmarkStart w:id="16" w:name="_Toc9278"/>
      <w:r>
        <w:rPr>
          <w:highlight w:val="none"/>
        </w:rPr>
        <mc:AlternateContent>
          <mc:Choice Requires="wps">
            <w:drawing>
              <wp:anchor distT="0" distB="0" distL="114300" distR="114300" simplePos="0" relativeHeight="251660288" behindDoc="0" locked="0" layoutInCell="1" allowOverlap="1">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wps:txbx>
                      <wps:bodyPr lIns="0" tIns="0" rIns="0" bIns="0" upright="1"/>
                    </wps:wsp>
                  </a:graphicData>
                </a:graphic>
              </wp:anchor>
            </w:drawing>
          </mc:Choice>
          <mc:Fallback>
            <w:pict>
              <v:shape id="_x0000_s1026" o:spid="_x0000_s1026" o:spt="202" type="#_x0000_t202" style="position:absolute;left:0pt;margin-left:483.2pt;margin-top:7.75pt;height:8.95pt;width:4.8pt;z-index:251660288;mso-width-relative:page;mso-height-relative:page;" filled="f" stroked="f" coordsize="21600,21600" o:gfxdata="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Coc7I2AAAAAkBAAAPAAAAAAAAAAEAIAAAACIAAABkcnMvZG93bnJldi54bWxQSwECFAAU&#10;AAAACACHTuJANonf5rgBAABwAwAADgAAAAAAAAABACAAAAAnAQAAZHJzL2Uyb0RvYy54bWxQSwUG&#10;AAAAAAYABgBZAQAAUQUAAAAA&#10;">
                <v:fill on="f" focussize="0,0"/>
                <v:stroke on="f"/>
                <v:imagedata o:title=""/>
                <o:lock v:ext="edit" aspectratio="f"/>
                <v:textbox inset="0mm,0mm,0mm,0mm">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v:textbox>
              </v:shape>
            </w:pict>
          </mc:Fallback>
        </mc:AlternateContent>
      </w:r>
      <w:r>
        <w:rPr>
          <w:highlight w:val="none"/>
          <w:lang w:eastAsia="zh-CN"/>
        </w:rPr>
        <w:t>8  投标方应填写主要部件来源、规范一览表</w:t>
      </w:r>
      <w:bookmarkEnd w:id="16"/>
    </w:p>
    <w:p>
      <w:pPr>
        <w:topLinePunct/>
        <w:autoSpaceDE/>
        <w:autoSpaceDN/>
        <w:spacing w:line="360" w:lineRule="auto"/>
        <w:ind w:firstLine="420" w:firstLineChars="200"/>
        <w:rPr>
          <w:rFonts w:ascii="Times New Roman" w:hAnsi="Times New Roman" w:eastAsia="黑体" w:cs="Times New Roman"/>
          <w:b/>
          <w:bCs/>
          <w:kern w:val="21"/>
          <w:highlight w:val="none"/>
          <w:lang w:eastAsia="zh-CN"/>
        </w:rPr>
      </w:pPr>
      <w:r>
        <w:rPr>
          <w:rFonts w:ascii="Times New Roman" w:hAnsi="Times New Roman" w:eastAsia="宋体" w:cs="Times New Roman"/>
          <w:kern w:val="21"/>
          <w:highlight w:val="none"/>
          <w:lang w:eastAsia="zh-CN"/>
        </w:rPr>
        <w:t>投标方应填写主要部件来源、规范一览表，其格式如表3。</w:t>
      </w:r>
    </w:p>
    <w:p>
      <w:pPr>
        <w:pStyle w:val="4"/>
        <w:topLinePunct/>
        <w:autoSpaceDE/>
        <w:autoSpaceDN/>
        <w:jc w:val="center"/>
        <w:rPr>
          <w:rFonts w:ascii="Times New Roman" w:hAnsi="Times New Roman" w:eastAsia="黑体" w:cs="Times New Roman"/>
          <w:b/>
          <w:bCs/>
          <w:kern w:val="21"/>
          <w:highlight w:val="none"/>
          <w:lang w:eastAsia="zh-CN"/>
        </w:rPr>
      </w:pPr>
      <w:r>
        <w:rPr>
          <w:rFonts w:ascii="Times New Roman" w:hAnsi="Times New Roman" w:eastAsia="黑体" w:cs="Times New Roman"/>
          <w:b/>
          <w:bCs/>
          <w:kern w:val="21"/>
          <w:highlight w:val="none"/>
          <w:lang w:eastAsia="zh-CN"/>
        </w:rPr>
        <w:t>表3</w:t>
      </w:r>
      <w:r>
        <w:rPr>
          <w:rFonts w:ascii="Times New Roman" w:hAnsi="Times New Roman" w:eastAsia="黑体" w:cs="Times New Roman"/>
          <w:kern w:val="21"/>
          <w:highlight w:val="none"/>
          <w:lang w:eastAsia="zh-CN"/>
        </w:rPr>
        <w:t xml:space="preserve">  </w:t>
      </w:r>
      <w:r>
        <w:rPr>
          <w:rFonts w:ascii="Times New Roman" w:hAnsi="Times New Roman" w:eastAsia="黑体" w:cs="Times New Roman"/>
          <w:b/>
          <w:bCs/>
          <w:kern w:val="21"/>
          <w:highlight w:val="none"/>
          <w:lang w:eastAsia="zh-CN"/>
        </w:rPr>
        <w:t>主要部件来源、规范一览</w:t>
      </w:r>
      <w:r>
        <w:rPr>
          <w:rFonts w:hint="eastAsia" w:ascii="Times New Roman" w:hAnsi="Times New Roman" w:eastAsia="黑体" w:cs="Times New Roman"/>
          <w:b/>
          <w:bCs/>
          <w:kern w:val="21"/>
          <w:highlight w:val="none"/>
          <w:lang w:eastAsia="zh-CN"/>
        </w:rPr>
        <w:t>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705"/>
        <w:gridCol w:w="1705"/>
        <w:gridCol w:w="1705"/>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序</w:t>
            </w:r>
            <w:r>
              <w:rPr>
                <w:rFonts w:ascii="Times New Roman" w:hAnsi="Times New Roman" w:cs="Times New Roman"/>
                <w:kern w:val="21"/>
                <w:highlight w:val="none"/>
              </w:rPr>
              <w:t>号</w:t>
            </w: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部</w:t>
            </w:r>
            <w:r>
              <w:rPr>
                <w:rFonts w:ascii="Times New Roman" w:hAnsi="Times New Roman" w:cs="Times New Roman"/>
                <w:kern w:val="21"/>
                <w:highlight w:val="none"/>
              </w:rPr>
              <w:t>件名称</w:t>
            </w: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产</w:t>
            </w:r>
            <w:r>
              <w:rPr>
                <w:rFonts w:ascii="Times New Roman" w:hAnsi="Times New Roman" w:cs="Times New Roman"/>
                <w:kern w:val="21"/>
                <w:highlight w:val="none"/>
              </w:rPr>
              <w:t>地、厂家</w:t>
            </w: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型</w:t>
            </w:r>
            <w:r>
              <w:rPr>
                <w:rFonts w:ascii="Times New Roman" w:hAnsi="Times New Roman" w:cs="Times New Roman"/>
                <w:kern w:val="21"/>
                <w:highlight w:val="none"/>
              </w:rPr>
              <w:t>号及规范</w:t>
            </w:r>
          </w:p>
        </w:tc>
        <w:tc>
          <w:tcPr>
            <w:tcW w:w="1706"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备</w:t>
            </w:r>
            <w:r>
              <w:rPr>
                <w:rFonts w:ascii="Times New Roman" w:hAnsi="Times New Roman" w:cs="Times New Roman"/>
                <w:kern w:val="21"/>
                <w:highlight w:val="no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6"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r>
    </w:tbl>
    <w:p>
      <w:pPr>
        <w:pStyle w:val="2"/>
        <w:outlineLvl w:val="9"/>
        <w:rPr>
          <w:highlight w:val="none"/>
          <w:lang w:eastAsia="zh-CN"/>
        </w:rPr>
      </w:pPr>
    </w:p>
    <w:p>
      <w:pPr>
        <w:rPr>
          <w:highlight w:val="none"/>
          <w:lang w:eastAsia="zh-CN"/>
        </w:rPr>
      </w:pPr>
    </w:p>
    <w:p>
      <w:pPr>
        <w:pStyle w:val="2"/>
        <w:rPr>
          <w:rFonts w:hint="eastAsia"/>
          <w:highlight w:val="none"/>
          <w:lang w:eastAsia="zh-CN"/>
        </w:rPr>
      </w:pPr>
      <w:bookmarkStart w:id="17" w:name="_Toc1704"/>
      <w:r>
        <w:rPr>
          <w:rFonts w:hint="eastAsia"/>
          <w:highlight w:val="none"/>
          <w:lang w:eastAsia="zh-CN"/>
        </w:rPr>
        <w:t>9、技术标书评价依据</w:t>
      </w:r>
      <w:bookmarkEnd w:id="17"/>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1、</w:t>
      </w:r>
      <w:r>
        <w:rPr>
          <w:rFonts w:hint="eastAsia" w:ascii="Times New Roman" w:hAnsi="Times New Roman" w:eastAsia="宋体" w:cs="Times New Roman"/>
          <w:kern w:val="21"/>
          <w:highlight w:val="none"/>
          <w:lang w:eastAsia="zh-CN"/>
        </w:rPr>
        <w:t>投标方所提供的技术服务与本项目技术要求的对比差异。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2、</w:t>
      </w:r>
      <w:r>
        <w:rPr>
          <w:rFonts w:hint="eastAsia" w:ascii="Times New Roman" w:hAnsi="Times New Roman" w:eastAsia="宋体" w:cs="Times New Roman"/>
          <w:kern w:val="21"/>
          <w:highlight w:val="none"/>
          <w:lang w:eastAsia="zh-CN"/>
        </w:rPr>
        <w:t>投标方安排参与项目的专业人员的数量、素质、技术能力、工作经验。</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投标方关于本项目的时间进度安排。</w:t>
      </w:r>
    </w:p>
    <w:p>
      <w:pPr>
        <w:rPr>
          <w:rFonts w:hint="eastAsia"/>
          <w:highlight w:val="none"/>
          <w:lang w:eastAsia="zh-CN"/>
        </w:rPr>
      </w:pPr>
    </w:p>
    <w:p>
      <w:pPr>
        <w:rPr>
          <w:rFonts w:hint="eastAsia"/>
          <w:highlight w:val="none"/>
          <w:lang w:eastAsia="zh-CN"/>
        </w:rPr>
      </w:pPr>
    </w:p>
    <w:p>
      <w:pPr>
        <w:pStyle w:val="2"/>
        <w:rPr>
          <w:rFonts w:hint="eastAsia"/>
          <w:highlight w:val="none"/>
          <w:lang w:eastAsia="zh-CN"/>
        </w:rPr>
      </w:pPr>
      <w:bookmarkStart w:id="18" w:name="_Toc13789"/>
      <w:r>
        <w:rPr>
          <w:rFonts w:hint="eastAsia"/>
          <w:highlight w:val="none"/>
          <w:lang w:eastAsia="zh-CN"/>
        </w:rPr>
        <w:t>10、技术应答及技术差异表</w:t>
      </w:r>
      <w:bookmarkEnd w:id="18"/>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投标方应针对本招标文件的“3.工作范围”、“4.使用条件”、“5.技术要求”内容进行详细的技术应答并编制技术差异表(见附表1)。</w:t>
      </w:r>
    </w:p>
    <w:p>
      <w:pPr>
        <w:rPr>
          <w:rFonts w:hint="eastAsia"/>
          <w:highlight w:val="none"/>
          <w:lang w:eastAsia="zh-CN"/>
        </w:rPr>
      </w:pPr>
    </w:p>
    <w:p>
      <w:pPr>
        <w:rPr>
          <w:rFonts w:hint="eastAsia"/>
          <w:highlight w:val="none"/>
          <w:lang w:eastAsia="zh-CN"/>
        </w:rPr>
      </w:pPr>
    </w:p>
    <w:p>
      <w:pPr>
        <w:pStyle w:val="2"/>
        <w:rPr>
          <w:rFonts w:hint="eastAsia"/>
          <w:highlight w:val="none"/>
          <w:lang w:eastAsia="zh-CN"/>
        </w:rPr>
      </w:pPr>
      <w:bookmarkStart w:id="19" w:name="_Toc15189"/>
      <w:r>
        <w:rPr>
          <w:rFonts w:hint="eastAsia"/>
          <w:highlight w:val="none"/>
          <w:lang w:eastAsia="zh-CN"/>
        </w:rPr>
        <w:t>11、其它</w:t>
      </w:r>
      <w:bookmarkEnd w:id="19"/>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本标书的最终解释权归招标方。</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spacing w:line="360" w:lineRule="auto"/>
        <w:outlineLvl w:val="0"/>
        <w:rPr>
          <w:rFonts w:hint="default" w:ascii="黑体" w:hAnsi="黑体" w:eastAsia="黑体" w:cs="黑体"/>
          <w:bCs/>
          <w:sz w:val="24"/>
          <w:highlight w:val="none"/>
          <w:lang w:val="en-US" w:eastAsia="zh-CN"/>
        </w:rPr>
      </w:pPr>
      <w:bookmarkStart w:id="20" w:name="_Toc28247"/>
      <w:r>
        <w:rPr>
          <w:rFonts w:hint="eastAsia" w:ascii="黑体" w:hAnsi="黑体" w:eastAsia="黑体" w:cs="黑体"/>
          <w:bCs/>
          <w:sz w:val="24"/>
          <w:highlight w:val="none"/>
          <w:lang w:val="en-US" w:eastAsia="zh-CN"/>
        </w:rPr>
        <w:t>附表1 技术差异表</w:t>
      </w:r>
      <w:bookmarkEnd w:id="20"/>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投标方应将所提供服务差异如实填写在下面空栏里，包括所有试验项目的试验能力差异。</w:t>
      </w:r>
    </w:p>
    <w:tbl>
      <w:tblPr>
        <w:tblStyle w:val="8"/>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pPr>
              <w:jc w:val="center"/>
              <w:rPr>
                <w:szCs w:val="21"/>
                <w:highlight w:val="none"/>
              </w:rPr>
            </w:pPr>
            <w:r>
              <w:rPr>
                <w:rFonts w:hint="eastAsia"/>
                <w:szCs w:val="21"/>
                <w:highlight w:val="none"/>
              </w:rPr>
              <w:t>序号</w:t>
            </w:r>
          </w:p>
        </w:tc>
        <w:tc>
          <w:tcPr>
            <w:tcW w:w="1783" w:type="dxa"/>
            <w:tcBorders>
              <w:tl2br w:val="nil"/>
              <w:tr2bl w:val="nil"/>
            </w:tcBorders>
            <w:vAlign w:val="center"/>
          </w:tcPr>
          <w:p>
            <w:pPr>
              <w:jc w:val="center"/>
              <w:rPr>
                <w:szCs w:val="21"/>
                <w:highlight w:val="none"/>
              </w:rPr>
            </w:pPr>
            <w:r>
              <w:rPr>
                <w:rFonts w:hint="eastAsia"/>
                <w:szCs w:val="21"/>
                <w:highlight w:val="none"/>
              </w:rPr>
              <w:t>条目</w:t>
            </w:r>
          </w:p>
        </w:tc>
        <w:tc>
          <w:tcPr>
            <w:tcW w:w="2639" w:type="dxa"/>
            <w:tcBorders>
              <w:tl2br w:val="nil"/>
              <w:tr2bl w:val="nil"/>
            </w:tcBorders>
            <w:vAlign w:val="center"/>
          </w:tcPr>
          <w:p>
            <w:pPr>
              <w:jc w:val="center"/>
              <w:rPr>
                <w:szCs w:val="21"/>
                <w:highlight w:val="none"/>
              </w:rPr>
            </w:pPr>
            <w:r>
              <w:rPr>
                <w:rFonts w:hint="eastAsia"/>
                <w:szCs w:val="21"/>
                <w:highlight w:val="none"/>
              </w:rPr>
              <w:t>标书所要求的技术服务能力</w:t>
            </w:r>
          </w:p>
        </w:tc>
        <w:tc>
          <w:tcPr>
            <w:tcW w:w="2819" w:type="dxa"/>
            <w:tcBorders>
              <w:tl2br w:val="nil"/>
              <w:tr2bl w:val="nil"/>
            </w:tcBorders>
            <w:vAlign w:val="center"/>
          </w:tcPr>
          <w:p>
            <w:pPr>
              <w:jc w:val="center"/>
              <w:rPr>
                <w:szCs w:val="21"/>
                <w:highlight w:val="none"/>
              </w:rPr>
            </w:pPr>
            <w:r>
              <w:rPr>
                <w:rFonts w:hint="eastAsia"/>
                <w:szCs w:val="21"/>
                <w:highlight w:val="none"/>
              </w:rPr>
              <w:t>投标者所提供的技术服务能力</w:t>
            </w:r>
          </w:p>
        </w:tc>
        <w:tc>
          <w:tcPr>
            <w:tcW w:w="598" w:type="dxa"/>
            <w:tcBorders>
              <w:tl2br w:val="nil"/>
              <w:tr2bl w:val="nil"/>
            </w:tcBorders>
            <w:vAlign w:val="center"/>
          </w:tcPr>
          <w:p>
            <w:pPr>
              <w:jc w:val="center"/>
              <w:rPr>
                <w:szCs w:val="21"/>
                <w:highlight w:val="none"/>
              </w:rPr>
            </w:pPr>
            <w:r>
              <w:rPr>
                <w:rFonts w:hint="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pPr>
              <w:rPr>
                <w:szCs w:val="21"/>
                <w:highlight w:val="none"/>
              </w:rPr>
            </w:pPr>
          </w:p>
        </w:tc>
        <w:tc>
          <w:tcPr>
            <w:tcW w:w="1783" w:type="dxa"/>
            <w:tcBorders>
              <w:tl2br w:val="nil"/>
              <w:tr2bl w:val="nil"/>
            </w:tcBorders>
          </w:tcPr>
          <w:p>
            <w:pPr>
              <w:rPr>
                <w:szCs w:val="21"/>
                <w:highlight w:val="none"/>
              </w:rPr>
            </w:pPr>
          </w:p>
        </w:tc>
        <w:tc>
          <w:tcPr>
            <w:tcW w:w="2639" w:type="dxa"/>
            <w:tcBorders>
              <w:tl2br w:val="nil"/>
              <w:tr2bl w:val="nil"/>
            </w:tcBorders>
          </w:tcPr>
          <w:p>
            <w:pPr>
              <w:rPr>
                <w:szCs w:val="21"/>
                <w:highlight w:val="none"/>
              </w:rPr>
            </w:pPr>
          </w:p>
        </w:tc>
        <w:tc>
          <w:tcPr>
            <w:tcW w:w="2819" w:type="dxa"/>
            <w:tcBorders>
              <w:tl2br w:val="nil"/>
              <w:tr2bl w:val="nil"/>
            </w:tcBorders>
          </w:tcPr>
          <w:p>
            <w:pPr>
              <w:rPr>
                <w:szCs w:val="21"/>
                <w:highlight w:val="none"/>
              </w:rPr>
            </w:pPr>
          </w:p>
        </w:tc>
        <w:tc>
          <w:tcPr>
            <w:tcW w:w="598" w:type="dxa"/>
            <w:tcBorders>
              <w:tl2br w:val="nil"/>
              <w:tr2bl w:val="nil"/>
            </w:tcBorders>
          </w:tcPr>
          <w:p>
            <w:pP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pPr>
              <w:rPr>
                <w:szCs w:val="21"/>
                <w:highlight w:val="none"/>
              </w:rPr>
            </w:pPr>
          </w:p>
        </w:tc>
        <w:tc>
          <w:tcPr>
            <w:tcW w:w="1783" w:type="dxa"/>
            <w:tcBorders>
              <w:tl2br w:val="nil"/>
              <w:tr2bl w:val="nil"/>
            </w:tcBorders>
          </w:tcPr>
          <w:p>
            <w:pPr>
              <w:rPr>
                <w:szCs w:val="21"/>
                <w:highlight w:val="none"/>
              </w:rPr>
            </w:pPr>
          </w:p>
        </w:tc>
        <w:tc>
          <w:tcPr>
            <w:tcW w:w="2639" w:type="dxa"/>
            <w:tcBorders>
              <w:tl2br w:val="nil"/>
              <w:tr2bl w:val="nil"/>
            </w:tcBorders>
          </w:tcPr>
          <w:p>
            <w:pPr>
              <w:rPr>
                <w:szCs w:val="21"/>
                <w:highlight w:val="none"/>
              </w:rPr>
            </w:pPr>
          </w:p>
        </w:tc>
        <w:tc>
          <w:tcPr>
            <w:tcW w:w="2819" w:type="dxa"/>
            <w:tcBorders>
              <w:tl2br w:val="nil"/>
              <w:tr2bl w:val="nil"/>
            </w:tcBorders>
          </w:tcPr>
          <w:p>
            <w:pPr>
              <w:rPr>
                <w:szCs w:val="21"/>
                <w:highlight w:val="none"/>
              </w:rPr>
            </w:pPr>
          </w:p>
        </w:tc>
        <w:tc>
          <w:tcPr>
            <w:tcW w:w="598" w:type="dxa"/>
            <w:tcBorders>
              <w:tl2br w:val="nil"/>
              <w:tr2bl w:val="nil"/>
            </w:tcBorders>
          </w:tcPr>
          <w:p>
            <w:pP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0" w:hRule="atLeast"/>
        </w:trPr>
        <w:tc>
          <w:tcPr>
            <w:tcW w:w="552" w:type="dxa"/>
            <w:tcBorders>
              <w:tl2br w:val="nil"/>
              <w:tr2bl w:val="nil"/>
            </w:tcBorders>
          </w:tcPr>
          <w:p>
            <w:pPr>
              <w:rPr>
                <w:szCs w:val="21"/>
                <w:highlight w:val="none"/>
              </w:rPr>
            </w:pPr>
          </w:p>
        </w:tc>
        <w:tc>
          <w:tcPr>
            <w:tcW w:w="1783" w:type="dxa"/>
            <w:tcBorders>
              <w:tl2br w:val="nil"/>
              <w:tr2bl w:val="nil"/>
            </w:tcBorders>
          </w:tcPr>
          <w:p>
            <w:pPr>
              <w:rPr>
                <w:szCs w:val="21"/>
                <w:highlight w:val="none"/>
              </w:rPr>
            </w:pPr>
          </w:p>
        </w:tc>
        <w:tc>
          <w:tcPr>
            <w:tcW w:w="2639" w:type="dxa"/>
            <w:tcBorders>
              <w:tl2br w:val="nil"/>
              <w:tr2bl w:val="nil"/>
            </w:tcBorders>
          </w:tcPr>
          <w:p>
            <w:pPr>
              <w:rPr>
                <w:szCs w:val="21"/>
                <w:highlight w:val="none"/>
              </w:rPr>
            </w:pPr>
          </w:p>
        </w:tc>
        <w:tc>
          <w:tcPr>
            <w:tcW w:w="2819" w:type="dxa"/>
            <w:tcBorders>
              <w:tl2br w:val="nil"/>
              <w:tr2bl w:val="nil"/>
            </w:tcBorders>
          </w:tcPr>
          <w:p>
            <w:pPr>
              <w:rPr>
                <w:szCs w:val="21"/>
                <w:highlight w:val="none"/>
              </w:rPr>
            </w:pPr>
          </w:p>
        </w:tc>
        <w:tc>
          <w:tcPr>
            <w:tcW w:w="598" w:type="dxa"/>
            <w:tcBorders>
              <w:tl2br w:val="nil"/>
              <w:tr2bl w:val="nil"/>
            </w:tcBorders>
          </w:tcPr>
          <w:p>
            <w:pPr>
              <w:rPr>
                <w:szCs w:val="21"/>
                <w:highlight w:val="none"/>
              </w:rPr>
            </w:pPr>
          </w:p>
        </w:tc>
      </w:tr>
    </w:tbl>
    <w:p>
      <w:pPr>
        <w:keepNext w:val="0"/>
        <w:keepLines w:val="0"/>
        <w:pageBreakBefore w:val="0"/>
        <w:widowControl/>
        <w:kinsoku w:val="0"/>
        <w:wordWrap/>
        <w:overflowPunct/>
        <w:topLinePunct/>
        <w:autoSpaceDE/>
        <w:autoSpaceDN/>
        <w:bidi w:val="0"/>
        <w:adjustRightInd w:val="0"/>
        <w:snapToGrid w:val="0"/>
        <w:spacing w:line="20" w:lineRule="exact"/>
        <w:textAlignment w:val="baseline"/>
        <w:rPr>
          <w:rFonts w:hint="eastAsia" w:ascii="Times New Roman" w:hAnsi="Times New Roman" w:eastAsia="宋体" w:cs="Times New Roman"/>
          <w:kern w:val="21"/>
          <w:highlight w:val="none"/>
          <w:lang w:eastAsia="zh-CN"/>
        </w:rPr>
      </w:pPr>
    </w:p>
    <w:sectPr>
      <w:pgSz w:w="11910" w:h="16850"/>
      <w:pgMar w:top="1440" w:right="1800" w:bottom="1440" w:left="1800" w:header="0" w:footer="130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06009"/>
    <w:multiLevelType w:val="singleLevel"/>
    <w:tmpl w:val="14106009"/>
    <w:lvl w:ilvl="0" w:tentative="0">
      <w:start w:val="2"/>
      <w:numFmt w:val="decimal"/>
      <w:suff w:val="nothing"/>
      <w:lvlText w:val="%1、"/>
      <w:lvlJc w:val="left"/>
    </w:lvl>
  </w:abstractNum>
  <w:abstractNum w:abstractNumId="1">
    <w:nsid w:val="48A6CB85"/>
    <w:multiLevelType w:val="multilevel"/>
    <w:tmpl w:val="48A6CB85"/>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xMjI0NmM2MzVmNDVjMjRhOTY2NDUyOGQyMjNhYmEifQ=="/>
  </w:docVars>
  <w:rsids>
    <w:rsidRoot w:val="0057600A"/>
    <w:rsid w:val="00285A30"/>
    <w:rsid w:val="002F3AAF"/>
    <w:rsid w:val="0031006E"/>
    <w:rsid w:val="00433278"/>
    <w:rsid w:val="005522AF"/>
    <w:rsid w:val="0057600A"/>
    <w:rsid w:val="006C7BB9"/>
    <w:rsid w:val="007E6585"/>
    <w:rsid w:val="00827078"/>
    <w:rsid w:val="00962637"/>
    <w:rsid w:val="009954DD"/>
    <w:rsid w:val="00A21025"/>
    <w:rsid w:val="00A43F7A"/>
    <w:rsid w:val="00A91A71"/>
    <w:rsid w:val="00BF483D"/>
    <w:rsid w:val="00C5457F"/>
    <w:rsid w:val="00C95DFE"/>
    <w:rsid w:val="00E6653E"/>
    <w:rsid w:val="00EE45A3"/>
    <w:rsid w:val="01456F9D"/>
    <w:rsid w:val="040E3E94"/>
    <w:rsid w:val="066D5311"/>
    <w:rsid w:val="06C578AE"/>
    <w:rsid w:val="0ACC6AD4"/>
    <w:rsid w:val="0D4234FE"/>
    <w:rsid w:val="0D962E4D"/>
    <w:rsid w:val="0E0F17E1"/>
    <w:rsid w:val="0ECC4CAD"/>
    <w:rsid w:val="10845622"/>
    <w:rsid w:val="128C448C"/>
    <w:rsid w:val="12D80AC7"/>
    <w:rsid w:val="13E141D1"/>
    <w:rsid w:val="160513FF"/>
    <w:rsid w:val="18BD6DAF"/>
    <w:rsid w:val="19E733E7"/>
    <w:rsid w:val="1F0E047B"/>
    <w:rsid w:val="25C85593"/>
    <w:rsid w:val="265B24AB"/>
    <w:rsid w:val="27222599"/>
    <w:rsid w:val="294011EC"/>
    <w:rsid w:val="2B7836E7"/>
    <w:rsid w:val="2EE613C7"/>
    <w:rsid w:val="31226AD3"/>
    <w:rsid w:val="31AD0B12"/>
    <w:rsid w:val="364E2F88"/>
    <w:rsid w:val="370205F8"/>
    <w:rsid w:val="3806447F"/>
    <w:rsid w:val="3A1853F9"/>
    <w:rsid w:val="3A4C3185"/>
    <w:rsid w:val="3B592525"/>
    <w:rsid w:val="3FD4579C"/>
    <w:rsid w:val="40060DCF"/>
    <w:rsid w:val="40A06C3B"/>
    <w:rsid w:val="432B5BA6"/>
    <w:rsid w:val="47A9311F"/>
    <w:rsid w:val="47D375BD"/>
    <w:rsid w:val="4A041AF8"/>
    <w:rsid w:val="4D524533"/>
    <w:rsid w:val="4D900E39"/>
    <w:rsid w:val="547820A3"/>
    <w:rsid w:val="5615762C"/>
    <w:rsid w:val="568E65D6"/>
    <w:rsid w:val="59E0323A"/>
    <w:rsid w:val="5B791ADF"/>
    <w:rsid w:val="5B8D108C"/>
    <w:rsid w:val="5BA710D6"/>
    <w:rsid w:val="5E187DE3"/>
    <w:rsid w:val="61366906"/>
    <w:rsid w:val="62310410"/>
    <w:rsid w:val="63ED36BB"/>
    <w:rsid w:val="6CFD7C5F"/>
    <w:rsid w:val="72691225"/>
    <w:rsid w:val="73CB6AAE"/>
    <w:rsid w:val="76B11F15"/>
    <w:rsid w:val="79AC10E3"/>
    <w:rsid w:val="7C475ADD"/>
    <w:rsid w:val="7E816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line="360" w:lineRule="auto"/>
      <w:outlineLvl w:val="0"/>
    </w:pPr>
    <w:rPr>
      <w:rFonts w:ascii="Times New Roman" w:hAnsi="Times New Roman" w:eastAsia="宋体" w:cs="Times New Roman"/>
      <w:b/>
      <w:kern w:val="44"/>
      <w:sz w:val="2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style>
  <w:style w:type="paragraph" w:styleId="4">
    <w:name w:val="Body Text"/>
    <w:basedOn w:val="1"/>
    <w:qFormat/>
    <w:uiPriority w:val="0"/>
  </w:style>
  <w:style w:type="paragraph" w:styleId="5">
    <w:name w:val="footer"/>
    <w:basedOn w:val="1"/>
    <w:qFormat/>
    <w:uiPriority w:val="0"/>
    <w:pPr>
      <w:tabs>
        <w:tab w:val="center" w:pos="4153"/>
        <w:tab w:val="right" w:pos="8306"/>
      </w:tabs>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宋体" w:hAnsi="宋体" w:eastAsia="宋体" w:cs="宋体"/>
      <w:sz w:val="20"/>
      <w:szCs w:val="20"/>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542</Words>
  <Characters>3094</Characters>
  <Lines>25</Lines>
  <Paragraphs>7</Paragraphs>
  <TotalTime>0</TotalTime>
  <ScaleCrop>false</ScaleCrop>
  <LinksUpToDate>false</LinksUpToDate>
  <CharactersWithSpaces>3629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2024-02-21T02:20:00Z</dcterms:created>
  <dc:creator>Kingsoft-PDF</dc:creator>
  <cp:lastModifiedBy>24384F29720C4029B3019D7045EDDB07</cp:lastModifiedBy>
  <dcterms:modified xsi:type="dcterms:W3CDTF">2024-04-03T09:13:03Z</dcterms:modified>
  <dc:subject>pdfbuilder</dc:subject>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FF45F792CF9C49EC97203E56B93C93E0_13</vt:lpwstr>
  </property>
</Properties>
</file>