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opLinePunct/>
        <w:autoSpaceDE/>
        <w:autoSpaceDN/>
        <w:spacing w:line="259" w:lineRule="auto"/>
        <w:rPr>
          <w:rFonts w:ascii="Times New Roman" w:hAnsi="Times New Roman" w:cs="Times New Roman"/>
          <w:kern w:val="21"/>
        </w:rPr>
      </w:pPr>
      <w:r>
        <w:rPr>
          <w:rFonts w:ascii="Times New Roman" w:hAnsi="Times New Roman" w:cs="Times New Roman"/>
          <w:kern w:val="21"/>
        </w:rPr>
        <w:drawing>
          <wp:anchor distT="0" distB="0" distL="114300" distR="114300" simplePos="0" relativeHeight="251659264" behindDoc="0" locked="0" layoutInCell="1" allowOverlap="1">
            <wp:simplePos x="0" y="0"/>
            <wp:positionH relativeFrom="page">
              <wp:posOffset>-27940</wp:posOffset>
            </wp:positionH>
            <wp:positionV relativeFrom="page">
              <wp:posOffset>-17145</wp:posOffset>
            </wp:positionV>
            <wp:extent cx="7635875" cy="2567940"/>
            <wp:effectExtent l="0" t="0" r="14605" b="7620"/>
            <wp:wrapNone/>
            <wp:docPr id="69" name="图片 6" descr="说明: 说明: 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 descr="说明: 说明: 说明: 模板-3"/>
                    <pic:cNvPicPr>
                      <a:picLocks noChangeAspect="1"/>
                    </pic:cNvPicPr>
                  </pic:nvPicPr>
                  <pic:blipFill>
                    <a:blip r:embed="rId8"/>
                    <a:srcRect b="75984"/>
                    <a:stretch>
                      <a:fillRect/>
                    </a:stretch>
                  </pic:blipFill>
                  <pic:spPr>
                    <a:xfrm>
                      <a:off x="0" y="0"/>
                      <a:ext cx="7635875" cy="2567940"/>
                    </a:xfrm>
                    <a:prstGeom prst="rect">
                      <a:avLst/>
                    </a:prstGeom>
                    <a:noFill/>
                    <a:ln>
                      <a:noFill/>
                    </a:ln>
                  </pic:spPr>
                </pic:pic>
              </a:graphicData>
            </a:graphic>
          </wp:anchor>
        </w:drawing>
      </w:r>
    </w:p>
    <w:p>
      <w:pPr>
        <w:pStyle w:val="2"/>
        <w:topLinePunct/>
        <w:autoSpaceDE/>
        <w:autoSpaceDN/>
        <w:spacing w:line="259" w:lineRule="auto"/>
        <w:rPr>
          <w:rFonts w:ascii="Times New Roman" w:hAnsi="Times New Roman" w:cs="Times New Roman"/>
          <w:kern w:val="21"/>
        </w:rPr>
      </w:pPr>
    </w:p>
    <w:p>
      <w:pPr>
        <w:pStyle w:val="2"/>
        <w:topLinePunct/>
        <w:autoSpaceDE/>
        <w:autoSpaceDN/>
        <w:spacing w:line="260" w:lineRule="auto"/>
        <w:rPr>
          <w:rFonts w:ascii="Times New Roman" w:hAnsi="Times New Roman" w:cs="Times New Roman"/>
          <w:kern w:val="21"/>
        </w:rPr>
      </w:pPr>
    </w:p>
    <w:p>
      <w:pPr>
        <w:pStyle w:val="2"/>
        <w:topLinePunct/>
        <w:autoSpaceDE/>
        <w:autoSpaceDN/>
        <w:spacing w:line="260" w:lineRule="auto"/>
        <w:rPr>
          <w:rFonts w:ascii="Times New Roman" w:hAnsi="Times New Roman" w:cs="Times New Roman"/>
          <w:kern w:val="21"/>
        </w:rPr>
      </w:pPr>
    </w:p>
    <w:p>
      <w:pPr>
        <w:topLinePunct/>
        <w:autoSpaceDE/>
        <w:autoSpaceDN/>
        <w:spacing w:before="149" w:line="1229" w:lineRule="exact"/>
        <w:ind w:left="2280"/>
        <w:rPr>
          <w:rFonts w:ascii="Times New Roman" w:hAnsi="Times New Roman" w:eastAsia="宋体" w:cs="Times New Roman"/>
          <w:b/>
          <w:bCs/>
          <w:kern w:val="21"/>
          <w:sz w:val="46"/>
          <w:szCs w:val="46"/>
        </w:rPr>
      </w:pPr>
    </w:p>
    <w:p>
      <w:pPr>
        <w:topLinePunct/>
        <w:autoSpaceDE/>
        <w:autoSpaceDN/>
        <w:spacing w:before="100" w:beforeAutospacing="1" w:line="360" w:lineRule="auto"/>
        <w:jc w:val="left"/>
        <w:rPr>
          <w:rFonts w:hint="eastAsia" w:ascii="Times New Roman" w:hAnsi="Times New Roman" w:eastAsia="宋体" w:cs="Times New Roman"/>
          <w:b/>
          <w:bCs/>
          <w:kern w:val="21"/>
          <w:sz w:val="46"/>
          <w:szCs w:val="46"/>
          <w:lang w:eastAsia="zh-CN"/>
        </w:rPr>
      </w:pPr>
    </w:p>
    <w:p>
      <w:pPr>
        <w:keepNext w:val="0"/>
        <w:keepLines w:val="0"/>
        <w:pageBreakBefore w:val="0"/>
        <w:widowControl/>
        <w:kinsoku w:val="0"/>
        <w:wordWrap/>
        <w:overflowPunct/>
        <w:topLinePunct/>
        <w:autoSpaceDE/>
        <w:autoSpaceDN/>
        <w:bidi w:val="0"/>
        <w:adjustRightInd w:val="0"/>
        <w:snapToGrid w:val="0"/>
        <w:spacing w:before="100" w:beforeAutospacing="1" w:line="240" w:lineRule="auto"/>
        <w:ind w:left="-836" w:leftChars="-400" w:hanging="4" w:firstLineChars="0"/>
        <w:jc w:val="center"/>
        <w:textAlignment w:val="baseline"/>
        <w:rPr>
          <w:rFonts w:hint="eastAsia" w:ascii="Times New Roman" w:hAnsi="Times New Roman" w:eastAsia="宋体" w:cs="Times New Roman"/>
          <w:b/>
          <w:bCs/>
          <w:kern w:val="21"/>
          <w:sz w:val="46"/>
          <w:szCs w:val="46"/>
          <w:lang w:eastAsia="zh-CN"/>
        </w:rPr>
      </w:pPr>
      <w:r>
        <w:rPr>
          <w:rFonts w:hint="eastAsia" w:ascii="Times New Roman" w:hAnsi="Times New Roman" w:eastAsia="宋体" w:cs="Times New Roman"/>
          <w:b/>
          <w:bCs/>
          <w:kern w:val="21"/>
          <w:sz w:val="46"/>
          <w:szCs w:val="46"/>
          <w:lang w:eastAsia="zh-CN"/>
        </w:rPr>
        <w:t>基于故障录波器的10kV小电阻接地系统</w:t>
      </w:r>
    </w:p>
    <w:p>
      <w:pPr>
        <w:keepNext w:val="0"/>
        <w:keepLines w:val="0"/>
        <w:pageBreakBefore w:val="0"/>
        <w:widowControl/>
        <w:kinsoku w:val="0"/>
        <w:wordWrap/>
        <w:overflowPunct/>
        <w:topLinePunct/>
        <w:autoSpaceDE/>
        <w:autoSpaceDN/>
        <w:bidi w:val="0"/>
        <w:adjustRightInd w:val="0"/>
        <w:snapToGrid w:val="0"/>
        <w:spacing w:before="100" w:beforeAutospacing="1" w:line="240" w:lineRule="auto"/>
        <w:ind w:left="0" w:leftChars="-295" w:hanging="619" w:hangingChars="134"/>
        <w:jc w:val="center"/>
        <w:textAlignment w:val="baseline"/>
        <w:rPr>
          <w:rFonts w:hint="eastAsia" w:ascii="Times New Roman" w:hAnsi="Times New Roman" w:eastAsia="宋体" w:cs="Times New Roman"/>
          <w:b/>
          <w:bCs/>
          <w:kern w:val="21"/>
          <w:sz w:val="46"/>
          <w:szCs w:val="46"/>
          <w:lang w:val="en-US" w:eastAsia="zh-CN"/>
        </w:rPr>
      </w:pPr>
      <w:r>
        <w:rPr>
          <w:rFonts w:hint="eastAsia" w:ascii="Times New Roman" w:hAnsi="Times New Roman" w:eastAsia="宋体" w:cs="Times New Roman"/>
          <w:b/>
          <w:bCs/>
          <w:kern w:val="21"/>
          <w:sz w:val="46"/>
          <w:szCs w:val="46"/>
          <w:lang w:eastAsia="zh-CN"/>
        </w:rPr>
        <w:t>高阻接地故障检测</w:t>
      </w:r>
      <w:r>
        <w:rPr>
          <w:rFonts w:hint="eastAsia" w:ascii="Times New Roman" w:hAnsi="Times New Roman" w:eastAsia="宋体" w:cs="Times New Roman"/>
          <w:b/>
          <w:bCs/>
          <w:kern w:val="21"/>
          <w:sz w:val="46"/>
          <w:szCs w:val="46"/>
          <w:lang w:val="en-US" w:eastAsia="zh-CN"/>
        </w:rPr>
        <w:t>及快速处置</w:t>
      </w:r>
    </w:p>
    <w:p>
      <w:pPr>
        <w:pStyle w:val="2"/>
        <w:rPr>
          <w:rFonts w:hint="eastAsia"/>
          <w:lang w:val="en-US" w:eastAsia="zh-CN"/>
        </w:rPr>
      </w:pPr>
    </w:p>
    <w:p>
      <w:pPr>
        <w:topLinePunct/>
        <w:autoSpaceDE/>
        <w:autoSpaceDN/>
        <w:spacing w:before="100" w:beforeAutospacing="1" w:line="360" w:lineRule="auto"/>
        <w:ind w:firstLine="3233" w:firstLineChars="700"/>
        <w:rPr>
          <w:rFonts w:ascii="Times New Roman" w:hAnsi="Times New Roman" w:eastAsia="宋体" w:cs="Times New Roman"/>
          <w:kern w:val="21"/>
          <w:sz w:val="46"/>
          <w:szCs w:val="46"/>
          <w:lang w:eastAsia="zh-CN"/>
        </w:rPr>
      </w:pPr>
      <w:r>
        <w:rPr>
          <w:rFonts w:ascii="Times New Roman" w:hAnsi="Times New Roman" w:eastAsia="宋体" w:cs="Times New Roman"/>
          <w:b/>
          <w:bCs/>
          <w:kern w:val="21"/>
          <w:sz w:val="46"/>
          <w:szCs w:val="46"/>
          <w:lang w:eastAsia="zh-CN"/>
        </w:rPr>
        <w:t>技术条件书</w:t>
      </w:r>
    </w:p>
    <w:p>
      <w:pPr>
        <w:pStyle w:val="2"/>
        <w:jc w:val="center"/>
        <w:rPr>
          <w:lang w:eastAsia="zh-CN"/>
        </w:rPr>
      </w:pPr>
    </w:p>
    <w:p>
      <w:pPr>
        <w:pStyle w:val="2"/>
        <w:jc w:val="center"/>
        <w:rPr>
          <w:lang w:eastAsia="zh-CN"/>
        </w:rPr>
      </w:pPr>
    </w:p>
    <w:p>
      <w:pPr>
        <w:pStyle w:val="2"/>
        <w:jc w:val="center"/>
        <w:rPr>
          <w:lang w:eastAsia="zh-CN"/>
        </w:rPr>
      </w:pPr>
    </w:p>
    <w:p>
      <w:pPr>
        <w:pStyle w:val="2"/>
        <w:jc w:val="center"/>
        <w:rPr>
          <w:lang w:eastAsia="zh-CN"/>
        </w:rPr>
      </w:pPr>
    </w:p>
    <w:p>
      <w:pPr>
        <w:pStyle w:val="2"/>
        <w:jc w:val="center"/>
        <w:rPr>
          <w:lang w:eastAsia="zh-CN"/>
        </w:rPr>
      </w:pPr>
    </w:p>
    <w:p>
      <w:pPr>
        <w:topLinePunct/>
        <w:autoSpaceDE/>
        <w:autoSpaceDN/>
        <w:spacing w:before="133" w:line="709" w:lineRule="exact"/>
        <w:ind w:firstLine="1235" w:firstLineChars="300"/>
        <w:rPr>
          <w:rFonts w:ascii="Times New Roman" w:hAnsi="Times New Roman" w:eastAsia="宋体" w:cs="Times New Roman"/>
          <w:kern w:val="21"/>
          <w:sz w:val="41"/>
          <w:szCs w:val="41"/>
          <w:lang w:eastAsia="zh-CN"/>
        </w:rPr>
      </w:pPr>
      <w:r>
        <w:rPr>
          <w:rFonts w:ascii="Times New Roman" w:hAnsi="Times New Roman" w:eastAsia="宋体" w:cs="Times New Roman"/>
          <w:b/>
          <w:bCs/>
          <w:kern w:val="21"/>
          <w:sz w:val="41"/>
          <w:szCs w:val="41"/>
          <w:lang w:eastAsia="zh-CN"/>
        </w:rPr>
        <w:t>广东电网有限责任公司广州供电局</w:t>
      </w:r>
    </w:p>
    <w:p>
      <w:pPr>
        <w:topLinePunct/>
        <w:autoSpaceDE/>
        <w:autoSpaceDN/>
        <w:spacing w:before="1" w:line="219" w:lineRule="auto"/>
        <w:ind w:firstLine="3534" w:firstLineChars="1100"/>
        <w:rPr>
          <w:rFonts w:ascii="Times New Roman" w:hAnsi="Times New Roman" w:eastAsia="宋体" w:cs="Times New Roman"/>
          <w:kern w:val="21"/>
          <w:sz w:val="32"/>
          <w:szCs w:val="32"/>
          <w:lang w:eastAsia="zh-CN"/>
        </w:rPr>
        <w:sectPr>
          <w:pgSz w:w="11910" w:h="16850"/>
          <w:pgMar w:top="1432" w:right="226" w:bottom="0" w:left="1786" w:header="0" w:footer="0" w:gutter="0"/>
          <w:pgNumType w:start="1"/>
          <w:cols w:space="720" w:num="1"/>
        </w:sectPr>
      </w:pPr>
      <w:r>
        <w:rPr>
          <w:rFonts w:ascii="Times New Roman" w:hAnsi="Times New Roman" w:eastAsia="宋体" w:cs="Times New Roman"/>
          <w:b/>
          <w:bCs/>
          <w:kern w:val="21"/>
          <w:sz w:val="32"/>
          <w:szCs w:val="32"/>
          <w:lang w:eastAsia="zh-CN"/>
        </w:rPr>
        <w:t>202</w:t>
      </w:r>
      <w:r>
        <w:rPr>
          <w:rFonts w:hint="eastAsia" w:ascii="Times New Roman" w:hAnsi="Times New Roman" w:eastAsia="宋体" w:cs="Times New Roman"/>
          <w:b/>
          <w:bCs/>
          <w:kern w:val="21"/>
          <w:sz w:val="32"/>
          <w:szCs w:val="32"/>
          <w:lang w:eastAsia="zh-CN"/>
        </w:rPr>
        <w:t>4</w:t>
      </w:r>
      <w:r>
        <w:rPr>
          <w:rFonts w:ascii="Times New Roman" w:hAnsi="Times New Roman" w:eastAsia="宋体" w:cs="Times New Roman"/>
          <w:kern w:val="21"/>
          <w:sz w:val="32"/>
          <w:szCs w:val="32"/>
          <w:lang w:eastAsia="zh-CN"/>
        </w:rPr>
        <w:t xml:space="preserve"> </w:t>
      </w:r>
      <w:r>
        <w:rPr>
          <w:rFonts w:ascii="Times New Roman" w:hAnsi="Times New Roman" w:eastAsia="宋体" w:cs="Times New Roman"/>
          <w:b/>
          <w:bCs/>
          <w:kern w:val="21"/>
          <w:sz w:val="32"/>
          <w:szCs w:val="32"/>
          <w:lang w:eastAsia="zh-CN"/>
        </w:rPr>
        <w:t>年</w:t>
      </w:r>
      <w:r>
        <w:rPr>
          <w:rFonts w:hint="eastAsia" w:ascii="Times New Roman" w:hAnsi="Times New Roman" w:eastAsia="宋体" w:cs="Times New Roman"/>
          <w:b/>
          <w:bCs/>
          <w:kern w:val="21"/>
          <w:sz w:val="32"/>
          <w:szCs w:val="32"/>
          <w:lang w:eastAsia="zh-CN"/>
        </w:rPr>
        <w:t>04</w:t>
      </w:r>
      <w:r>
        <w:rPr>
          <w:rFonts w:ascii="Times New Roman" w:hAnsi="Times New Roman" w:eastAsia="宋体" w:cs="Times New Roman"/>
          <w:b/>
          <w:bCs/>
          <w:kern w:val="21"/>
          <w:sz w:val="32"/>
          <w:szCs w:val="32"/>
          <w:lang w:eastAsia="zh-CN"/>
        </w:rPr>
        <w:t>月</w:t>
      </w:r>
    </w:p>
    <w:sdt>
      <w:sdtPr>
        <w:rPr>
          <w:rFonts w:hint="eastAsia" w:ascii="黑体" w:hAnsi="黑体" w:eastAsia="黑体" w:cs="黑体"/>
          <w:sz w:val="28"/>
          <w:szCs w:val="28"/>
        </w:rPr>
        <w:id w:val="147463193"/>
        <w15:color w:val="DBDBDB"/>
        <w:docPartObj>
          <w:docPartGallery w:val="Table of Contents"/>
          <w:docPartUnique/>
        </w:docPartObj>
      </w:sdtPr>
      <w:sdtEndPr>
        <w:rPr>
          <w:rFonts w:hint="eastAsia" w:ascii="Times New Roman" w:hAnsi="Times New Roman" w:eastAsia="Arial" w:cs="Times New Roman"/>
          <w:kern w:val="21"/>
          <w:sz w:val="21"/>
          <w:szCs w:val="21"/>
          <w:lang w:eastAsia="zh-CN"/>
        </w:rPr>
      </w:sdtEndPr>
      <w:sdtContent>
        <w:p>
          <w:pPr>
            <w:spacing w:line="480" w:lineRule="auto"/>
            <w:jc w:val="center"/>
            <w:rPr>
              <w:rFonts w:ascii="黑体" w:hAnsi="黑体" w:eastAsia="黑体" w:cs="黑体"/>
              <w:sz w:val="28"/>
              <w:szCs w:val="28"/>
            </w:rPr>
          </w:pPr>
          <w:r>
            <w:rPr>
              <w:rFonts w:hint="eastAsia" w:ascii="黑体" w:hAnsi="黑体" w:eastAsia="黑体" w:cs="黑体"/>
              <w:sz w:val="28"/>
              <w:szCs w:val="28"/>
            </w:rPr>
            <w:t>目录</w:t>
          </w:r>
        </w:p>
        <w:p>
          <w:pPr>
            <w:pStyle w:val="15"/>
            <w:tabs>
              <w:tab w:val="right" w:leader="dot" w:pos="8310"/>
            </w:tabs>
            <w:spacing w:line="480" w:lineRule="auto"/>
            <w:rPr>
              <w:rFonts w:ascii="黑体" w:hAnsi="黑体" w:eastAsia="黑体" w:cs="黑体"/>
              <w:sz w:val="28"/>
              <w:szCs w:val="28"/>
            </w:rPr>
          </w:pPr>
          <w:r>
            <w:rPr>
              <w:rFonts w:hint="eastAsia" w:ascii="黑体" w:hAnsi="黑体" w:eastAsia="黑体" w:cs="黑体"/>
              <w:kern w:val="21"/>
              <w:sz w:val="28"/>
              <w:szCs w:val="28"/>
            </w:rPr>
            <w:fldChar w:fldCharType="begin"/>
          </w:r>
          <w:r>
            <w:rPr>
              <w:rFonts w:hint="eastAsia" w:ascii="黑体" w:hAnsi="黑体" w:eastAsia="黑体" w:cs="黑体"/>
              <w:kern w:val="21"/>
              <w:sz w:val="28"/>
              <w:szCs w:val="28"/>
            </w:rPr>
            <w:instrText xml:space="preserve">TOC \o "1-1" \h \u </w:instrText>
          </w:r>
          <w:r>
            <w:rPr>
              <w:rFonts w:hint="eastAsia" w:ascii="黑体" w:hAnsi="黑体" w:eastAsia="黑体" w:cs="黑体"/>
              <w:kern w:val="21"/>
              <w:sz w:val="28"/>
              <w:szCs w:val="28"/>
            </w:rPr>
            <w:fldChar w:fldCharType="separate"/>
          </w:r>
          <w:r>
            <w:fldChar w:fldCharType="begin"/>
          </w:r>
          <w:r>
            <w:instrText xml:space="preserve"> HYPERLINK \l "_Toc27858" </w:instrText>
          </w:r>
          <w:r>
            <w:fldChar w:fldCharType="separate"/>
          </w:r>
          <w:r>
            <w:rPr>
              <w:rFonts w:hint="eastAsia" w:ascii="黑体" w:hAnsi="黑体" w:eastAsia="黑体" w:cs="黑体"/>
              <w:sz w:val="28"/>
              <w:szCs w:val="28"/>
            </w:rPr>
            <w:t>1  总则</w:t>
          </w:r>
          <w:r>
            <w:rPr>
              <w:rFonts w:hint="eastAsia" w:ascii="黑体" w:hAnsi="黑体" w:eastAsia="黑体" w:cs="黑体"/>
              <w:sz w:val="28"/>
              <w:szCs w:val="28"/>
            </w:rPr>
            <w:tab/>
          </w:r>
          <w:r>
            <w:rPr>
              <w:rFonts w:hint="eastAsia" w:ascii="黑体" w:hAnsi="黑体" w:eastAsia="黑体" w:cs="黑体"/>
              <w:sz w:val="28"/>
              <w:szCs w:val="28"/>
            </w:rPr>
            <w:t>1</w:t>
          </w:r>
          <w:r>
            <w:rPr>
              <w:rFonts w:hint="eastAsia" w:ascii="黑体" w:hAnsi="黑体" w:eastAsia="黑体" w:cs="黑体"/>
              <w:sz w:val="28"/>
              <w:szCs w:val="28"/>
            </w:rPr>
            <w:fldChar w:fldCharType="end"/>
          </w:r>
        </w:p>
        <w:p>
          <w:pPr>
            <w:pStyle w:val="15"/>
            <w:tabs>
              <w:tab w:val="right" w:leader="dot" w:pos="8310"/>
            </w:tabs>
            <w:spacing w:line="480" w:lineRule="auto"/>
            <w:rPr>
              <w:rFonts w:ascii="黑体" w:hAnsi="黑体" w:eastAsia="黑体" w:cs="黑体"/>
              <w:sz w:val="28"/>
              <w:szCs w:val="28"/>
            </w:rPr>
          </w:pPr>
          <w:r>
            <w:fldChar w:fldCharType="begin"/>
          </w:r>
          <w:r>
            <w:instrText xml:space="preserve"> HYPERLINK \l "_Toc32091" </w:instrText>
          </w:r>
          <w:r>
            <w:fldChar w:fldCharType="separate"/>
          </w:r>
          <w:r>
            <w:rPr>
              <w:rFonts w:hint="eastAsia" w:ascii="黑体" w:hAnsi="黑体" w:eastAsia="黑体" w:cs="黑体"/>
              <w:sz w:val="28"/>
              <w:szCs w:val="28"/>
            </w:rPr>
            <w:t>2  工作范围</w:t>
          </w:r>
          <w:r>
            <w:rPr>
              <w:rFonts w:hint="eastAsia" w:ascii="黑体" w:hAnsi="黑体" w:eastAsia="黑体" w:cs="黑体"/>
              <w:sz w:val="28"/>
              <w:szCs w:val="28"/>
            </w:rPr>
            <w:tab/>
          </w:r>
          <w:r>
            <w:rPr>
              <w:rFonts w:hint="eastAsia" w:ascii="黑体" w:hAnsi="黑体" w:eastAsia="黑体" w:cs="黑体"/>
              <w:sz w:val="28"/>
              <w:szCs w:val="28"/>
            </w:rPr>
            <w:t>1</w:t>
          </w:r>
          <w:r>
            <w:rPr>
              <w:rFonts w:hint="eastAsia" w:ascii="黑体" w:hAnsi="黑体" w:eastAsia="黑体" w:cs="黑体"/>
              <w:sz w:val="28"/>
              <w:szCs w:val="28"/>
            </w:rPr>
            <w:fldChar w:fldCharType="end"/>
          </w:r>
        </w:p>
        <w:p>
          <w:pPr>
            <w:pStyle w:val="15"/>
            <w:tabs>
              <w:tab w:val="right" w:leader="dot" w:pos="8310"/>
            </w:tabs>
            <w:spacing w:line="480" w:lineRule="auto"/>
            <w:rPr>
              <w:rFonts w:ascii="黑体" w:hAnsi="黑体" w:eastAsia="黑体" w:cs="黑体"/>
              <w:sz w:val="28"/>
              <w:szCs w:val="28"/>
            </w:rPr>
          </w:pPr>
          <w:r>
            <w:fldChar w:fldCharType="begin"/>
          </w:r>
          <w:r>
            <w:instrText xml:space="preserve"> HYPERLINK \l "_Toc905" </w:instrText>
          </w:r>
          <w:r>
            <w:fldChar w:fldCharType="separate"/>
          </w:r>
          <w:r>
            <w:rPr>
              <w:rFonts w:hint="eastAsia" w:ascii="黑体" w:hAnsi="黑体" w:eastAsia="黑体" w:cs="黑体"/>
              <w:sz w:val="28"/>
              <w:szCs w:val="28"/>
            </w:rPr>
            <w:t>3  应遵循的主要标准</w:t>
          </w:r>
          <w:r>
            <w:rPr>
              <w:rFonts w:hint="eastAsia" w:ascii="黑体" w:hAnsi="黑体" w:eastAsia="黑体" w:cs="黑体"/>
              <w:sz w:val="28"/>
              <w:szCs w:val="28"/>
            </w:rPr>
            <w:tab/>
          </w:r>
          <w:r>
            <w:rPr>
              <w:rFonts w:hint="eastAsia" w:ascii="黑体" w:hAnsi="黑体" w:eastAsia="黑体" w:cs="黑体"/>
              <w:sz w:val="28"/>
              <w:szCs w:val="28"/>
            </w:rPr>
            <w:t>3</w:t>
          </w:r>
          <w:r>
            <w:rPr>
              <w:rFonts w:hint="eastAsia" w:ascii="黑体" w:hAnsi="黑体" w:eastAsia="黑体" w:cs="黑体"/>
              <w:sz w:val="28"/>
              <w:szCs w:val="28"/>
            </w:rPr>
            <w:fldChar w:fldCharType="end"/>
          </w:r>
        </w:p>
        <w:p>
          <w:pPr>
            <w:pStyle w:val="15"/>
            <w:tabs>
              <w:tab w:val="right" w:leader="dot" w:pos="8310"/>
            </w:tabs>
            <w:spacing w:line="480" w:lineRule="auto"/>
            <w:rPr>
              <w:rFonts w:ascii="黑体" w:hAnsi="黑体" w:eastAsia="黑体" w:cs="黑体"/>
              <w:sz w:val="28"/>
              <w:szCs w:val="28"/>
            </w:rPr>
          </w:pPr>
          <w:r>
            <w:fldChar w:fldCharType="begin"/>
          </w:r>
          <w:r>
            <w:instrText xml:space="preserve"> HYPERLINK \l "_Toc14522" </w:instrText>
          </w:r>
          <w:r>
            <w:fldChar w:fldCharType="separate"/>
          </w:r>
          <w:r>
            <w:rPr>
              <w:rFonts w:hint="eastAsia" w:ascii="黑体" w:hAnsi="黑体" w:eastAsia="黑体" w:cs="黑体"/>
              <w:sz w:val="28"/>
              <w:szCs w:val="28"/>
            </w:rPr>
            <w:t>4  质量保证</w:t>
          </w:r>
          <w:r>
            <w:rPr>
              <w:rFonts w:hint="eastAsia" w:ascii="黑体" w:hAnsi="黑体" w:eastAsia="黑体" w:cs="黑体"/>
              <w:sz w:val="28"/>
              <w:szCs w:val="28"/>
            </w:rPr>
            <w:tab/>
          </w:r>
          <w:r>
            <w:rPr>
              <w:rFonts w:hint="eastAsia" w:ascii="黑体" w:hAnsi="黑体" w:eastAsia="黑体" w:cs="黑体"/>
              <w:sz w:val="28"/>
              <w:szCs w:val="28"/>
            </w:rPr>
            <w:t>5</w:t>
          </w:r>
          <w:r>
            <w:rPr>
              <w:rFonts w:hint="eastAsia" w:ascii="黑体" w:hAnsi="黑体" w:eastAsia="黑体" w:cs="黑体"/>
              <w:sz w:val="28"/>
              <w:szCs w:val="28"/>
            </w:rPr>
            <w:fldChar w:fldCharType="end"/>
          </w:r>
        </w:p>
        <w:p>
          <w:pPr>
            <w:pStyle w:val="15"/>
            <w:tabs>
              <w:tab w:val="right" w:leader="dot" w:pos="8310"/>
            </w:tabs>
            <w:spacing w:line="480" w:lineRule="auto"/>
            <w:rPr>
              <w:rFonts w:ascii="黑体" w:hAnsi="黑体" w:eastAsia="黑体" w:cs="黑体"/>
              <w:sz w:val="28"/>
              <w:szCs w:val="28"/>
            </w:rPr>
          </w:pPr>
          <w:r>
            <w:fldChar w:fldCharType="begin"/>
          </w:r>
          <w:r>
            <w:instrText xml:space="preserve"> HYPERLINK \l "_Toc24670" </w:instrText>
          </w:r>
          <w:r>
            <w:fldChar w:fldCharType="separate"/>
          </w:r>
          <w:r>
            <w:rPr>
              <w:rFonts w:hint="eastAsia" w:ascii="黑体" w:hAnsi="黑体" w:eastAsia="黑体" w:cs="黑体"/>
              <w:sz w:val="28"/>
              <w:szCs w:val="28"/>
            </w:rPr>
            <w:t>5  包装、运输和储存</w:t>
          </w:r>
          <w:r>
            <w:rPr>
              <w:rFonts w:hint="eastAsia" w:ascii="黑体" w:hAnsi="黑体" w:eastAsia="黑体" w:cs="黑体"/>
              <w:sz w:val="28"/>
              <w:szCs w:val="28"/>
            </w:rPr>
            <w:tab/>
          </w:r>
          <w:r>
            <w:rPr>
              <w:rFonts w:hint="eastAsia" w:ascii="黑体" w:hAnsi="黑体" w:eastAsia="黑体" w:cs="黑体"/>
              <w:sz w:val="28"/>
              <w:szCs w:val="28"/>
            </w:rPr>
            <w:t>5</w:t>
          </w:r>
          <w:r>
            <w:rPr>
              <w:rFonts w:hint="eastAsia" w:ascii="黑体" w:hAnsi="黑体" w:eastAsia="黑体" w:cs="黑体"/>
              <w:sz w:val="28"/>
              <w:szCs w:val="28"/>
            </w:rPr>
            <w:fldChar w:fldCharType="end"/>
          </w:r>
        </w:p>
        <w:p>
          <w:pPr>
            <w:pStyle w:val="15"/>
            <w:tabs>
              <w:tab w:val="right" w:leader="dot" w:pos="8310"/>
            </w:tabs>
            <w:spacing w:line="480" w:lineRule="auto"/>
            <w:rPr>
              <w:rFonts w:ascii="黑体" w:hAnsi="黑体" w:eastAsia="黑体" w:cs="黑体"/>
              <w:sz w:val="28"/>
              <w:szCs w:val="28"/>
            </w:rPr>
          </w:pPr>
          <w:r>
            <w:fldChar w:fldCharType="begin"/>
          </w:r>
          <w:r>
            <w:instrText xml:space="preserve"> HYPERLINK \l "_Toc10235" </w:instrText>
          </w:r>
          <w:r>
            <w:fldChar w:fldCharType="separate"/>
          </w:r>
          <w:r>
            <w:rPr>
              <w:rFonts w:hint="eastAsia" w:ascii="黑体" w:hAnsi="黑体" w:eastAsia="黑体" w:cs="黑体"/>
              <w:sz w:val="28"/>
              <w:szCs w:val="28"/>
            </w:rPr>
            <w:t>6、双方工作安排</w:t>
          </w:r>
          <w:r>
            <w:rPr>
              <w:rFonts w:hint="eastAsia" w:ascii="黑体" w:hAnsi="黑体" w:eastAsia="黑体" w:cs="黑体"/>
              <w:sz w:val="28"/>
              <w:szCs w:val="28"/>
            </w:rPr>
            <w:tab/>
          </w:r>
          <w:r>
            <w:rPr>
              <w:rFonts w:hint="eastAsia" w:ascii="黑体" w:hAnsi="黑体" w:eastAsia="黑体" w:cs="黑体"/>
              <w:sz w:val="28"/>
              <w:szCs w:val="28"/>
            </w:rPr>
            <w:t>5</w:t>
          </w:r>
          <w:r>
            <w:rPr>
              <w:rFonts w:hint="eastAsia" w:ascii="黑体" w:hAnsi="黑体" w:eastAsia="黑体" w:cs="黑体"/>
              <w:sz w:val="28"/>
              <w:szCs w:val="28"/>
            </w:rPr>
            <w:fldChar w:fldCharType="end"/>
          </w:r>
        </w:p>
        <w:p>
          <w:pPr>
            <w:pStyle w:val="15"/>
            <w:tabs>
              <w:tab w:val="right" w:leader="dot" w:pos="8310"/>
            </w:tabs>
            <w:spacing w:line="480" w:lineRule="auto"/>
            <w:rPr>
              <w:rFonts w:ascii="黑体" w:hAnsi="黑体" w:eastAsia="黑体" w:cs="黑体"/>
              <w:sz w:val="28"/>
              <w:szCs w:val="28"/>
            </w:rPr>
          </w:pPr>
          <w:r>
            <w:fldChar w:fldCharType="begin"/>
          </w:r>
          <w:r>
            <w:instrText xml:space="preserve"> HYPERLINK \l "_Toc6391" </w:instrText>
          </w:r>
          <w:r>
            <w:fldChar w:fldCharType="separate"/>
          </w:r>
          <w:r>
            <w:rPr>
              <w:rFonts w:hint="eastAsia" w:ascii="黑体" w:hAnsi="黑体" w:eastAsia="黑体" w:cs="黑体"/>
              <w:sz w:val="28"/>
              <w:szCs w:val="28"/>
            </w:rPr>
            <w:t>7  备品备件及专用工具</w:t>
          </w:r>
          <w:r>
            <w:rPr>
              <w:rFonts w:hint="eastAsia" w:ascii="黑体" w:hAnsi="黑体" w:eastAsia="黑体" w:cs="黑体"/>
              <w:sz w:val="28"/>
              <w:szCs w:val="28"/>
            </w:rPr>
            <w:tab/>
          </w:r>
          <w:r>
            <w:rPr>
              <w:rFonts w:hint="eastAsia" w:ascii="黑体" w:hAnsi="黑体" w:eastAsia="黑体" w:cs="黑体"/>
              <w:sz w:val="28"/>
              <w:szCs w:val="28"/>
            </w:rPr>
            <w:t>6</w:t>
          </w:r>
          <w:r>
            <w:rPr>
              <w:rFonts w:hint="eastAsia" w:ascii="黑体" w:hAnsi="黑体" w:eastAsia="黑体" w:cs="黑体"/>
              <w:sz w:val="28"/>
              <w:szCs w:val="28"/>
            </w:rPr>
            <w:fldChar w:fldCharType="end"/>
          </w:r>
        </w:p>
        <w:p>
          <w:pPr>
            <w:pStyle w:val="15"/>
            <w:tabs>
              <w:tab w:val="right" w:leader="dot" w:pos="8310"/>
            </w:tabs>
            <w:spacing w:line="480" w:lineRule="auto"/>
            <w:rPr>
              <w:rFonts w:ascii="黑体" w:hAnsi="黑体" w:eastAsia="黑体" w:cs="黑体"/>
              <w:sz w:val="28"/>
              <w:szCs w:val="28"/>
            </w:rPr>
          </w:pPr>
          <w:r>
            <w:fldChar w:fldCharType="begin"/>
          </w:r>
          <w:r>
            <w:instrText xml:space="preserve"> HYPERLINK \l "_Toc9278" </w:instrText>
          </w:r>
          <w:r>
            <w:fldChar w:fldCharType="separate"/>
          </w:r>
          <w:r>
            <w:rPr>
              <w:rFonts w:hint="eastAsia" w:ascii="黑体" w:hAnsi="黑体" w:eastAsia="黑体" w:cs="黑体"/>
              <w:sz w:val="28"/>
              <w:szCs w:val="28"/>
            </w:rPr>
            <w:t>8  投标方应填写主要部件来源、规范一览表</w:t>
          </w:r>
          <w:r>
            <w:rPr>
              <w:rFonts w:hint="eastAsia" w:ascii="黑体" w:hAnsi="黑体" w:eastAsia="黑体" w:cs="黑体"/>
              <w:sz w:val="28"/>
              <w:szCs w:val="28"/>
            </w:rPr>
            <w:tab/>
          </w:r>
          <w:r>
            <w:rPr>
              <w:rFonts w:hint="eastAsia" w:ascii="黑体" w:hAnsi="黑体" w:eastAsia="黑体" w:cs="黑体"/>
              <w:sz w:val="28"/>
              <w:szCs w:val="28"/>
            </w:rPr>
            <w:t>6</w:t>
          </w:r>
          <w:r>
            <w:rPr>
              <w:rFonts w:hint="eastAsia" w:ascii="黑体" w:hAnsi="黑体" w:eastAsia="黑体" w:cs="黑体"/>
              <w:sz w:val="28"/>
              <w:szCs w:val="28"/>
            </w:rPr>
            <w:fldChar w:fldCharType="end"/>
          </w:r>
        </w:p>
        <w:p>
          <w:pPr>
            <w:pStyle w:val="15"/>
            <w:tabs>
              <w:tab w:val="right" w:leader="dot" w:pos="8310"/>
            </w:tabs>
            <w:spacing w:line="480" w:lineRule="auto"/>
            <w:rPr>
              <w:rFonts w:ascii="黑体" w:hAnsi="黑体" w:eastAsia="黑体" w:cs="黑体"/>
              <w:sz w:val="28"/>
              <w:szCs w:val="28"/>
            </w:rPr>
          </w:pPr>
          <w:r>
            <w:fldChar w:fldCharType="begin"/>
          </w:r>
          <w:r>
            <w:instrText xml:space="preserve"> HYPERLINK \l "_Toc1704" </w:instrText>
          </w:r>
          <w:r>
            <w:fldChar w:fldCharType="separate"/>
          </w:r>
          <w:r>
            <w:rPr>
              <w:rFonts w:hint="eastAsia" w:ascii="黑体" w:hAnsi="黑体" w:eastAsia="黑体" w:cs="黑体"/>
              <w:sz w:val="28"/>
              <w:szCs w:val="28"/>
            </w:rPr>
            <w:t>9  技术标书评价依据</w:t>
          </w:r>
          <w:r>
            <w:rPr>
              <w:rFonts w:hint="eastAsia" w:ascii="黑体" w:hAnsi="黑体" w:eastAsia="黑体" w:cs="黑体"/>
              <w:sz w:val="28"/>
              <w:szCs w:val="28"/>
            </w:rPr>
            <w:tab/>
          </w:r>
          <w:r>
            <w:rPr>
              <w:rFonts w:hint="eastAsia" w:ascii="黑体" w:hAnsi="黑体" w:eastAsia="黑体" w:cs="黑体"/>
              <w:sz w:val="28"/>
              <w:szCs w:val="28"/>
            </w:rPr>
            <w:t>7</w:t>
          </w:r>
          <w:r>
            <w:rPr>
              <w:rFonts w:hint="eastAsia" w:ascii="黑体" w:hAnsi="黑体" w:eastAsia="黑体" w:cs="黑体"/>
              <w:sz w:val="28"/>
              <w:szCs w:val="28"/>
            </w:rPr>
            <w:fldChar w:fldCharType="end"/>
          </w:r>
        </w:p>
        <w:p>
          <w:pPr>
            <w:pStyle w:val="15"/>
            <w:tabs>
              <w:tab w:val="right" w:leader="dot" w:pos="8310"/>
            </w:tabs>
            <w:spacing w:line="480" w:lineRule="auto"/>
            <w:rPr>
              <w:rFonts w:ascii="黑体" w:hAnsi="黑体" w:eastAsia="黑体" w:cs="黑体"/>
              <w:sz w:val="28"/>
              <w:szCs w:val="28"/>
            </w:rPr>
          </w:pPr>
          <w:r>
            <w:fldChar w:fldCharType="begin"/>
          </w:r>
          <w:r>
            <w:instrText xml:space="preserve"> HYPERLINK \l "_Toc13789" </w:instrText>
          </w:r>
          <w:r>
            <w:fldChar w:fldCharType="separate"/>
          </w:r>
          <w:r>
            <w:rPr>
              <w:rFonts w:hint="eastAsia" w:ascii="黑体" w:hAnsi="黑体" w:eastAsia="黑体" w:cs="黑体"/>
              <w:sz w:val="28"/>
              <w:szCs w:val="28"/>
            </w:rPr>
            <w:t>10 技术应答及技术差异表</w:t>
          </w:r>
          <w:r>
            <w:rPr>
              <w:rFonts w:hint="eastAsia" w:ascii="黑体" w:hAnsi="黑体" w:eastAsia="黑体" w:cs="黑体"/>
              <w:sz w:val="28"/>
              <w:szCs w:val="28"/>
            </w:rPr>
            <w:tab/>
          </w:r>
          <w:r>
            <w:rPr>
              <w:rFonts w:hint="eastAsia" w:ascii="黑体" w:hAnsi="黑体" w:eastAsia="黑体" w:cs="黑体"/>
              <w:sz w:val="28"/>
              <w:szCs w:val="28"/>
            </w:rPr>
            <w:t>7</w:t>
          </w:r>
          <w:r>
            <w:rPr>
              <w:rFonts w:hint="eastAsia" w:ascii="黑体" w:hAnsi="黑体" w:eastAsia="黑体" w:cs="黑体"/>
              <w:sz w:val="28"/>
              <w:szCs w:val="28"/>
            </w:rPr>
            <w:fldChar w:fldCharType="end"/>
          </w:r>
        </w:p>
        <w:p>
          <w:pPr>
            <w:pStyle w:val="15"/>
            <w:tabs>
              <w:tab w:val="right" w:leader="dot" w:pos="8310"/>
            </w:tabs>
            <w:spacing w:line="480" w:lineRule="auto"/>
            <w:rPr>
              <w:rFonts w:ascii="黑体" w:hAnsi="黑体" w:eastAsia="黑体" w:cs="黑体"/>
              <w:sz w:val="28"/>
              <w:szCs w:val="28"/>
            </w:rPr>
          </w:pPr>
          <w:r>
            <w:fldChar w:fldCharType="begin"/>
          </w:r>
          <w:r>
            <w:instrText xml:space="preserve"> HYPERLINK \l "_Toc15189" </w:instrText>
          </w:r>
          <w:r>
            <w:fldChar w:fldCharType="separate"/>
          </w:r>
          <w:r>
            <w:rPr>
              <w:rFonts w:hint="eastAsia" w:ascii="黑体" w:hAnsi="黑体" w:eastAsia="黑体" w:cs="黑体"/>
              <w:sz w:val="28"/>
              <w:szCs w:val="28"/>
            </w:rPr>
            <w:t>11 其它</w:t>
          </w:r>
          <w:r>
            <w:rPr>
              <w:rFonts w:hint="eastAsia" w:ascii="黑体" w:hAnsi="黑体" w:eastAsia="黑体" w:cs="黑体"/>
              <w:sz w:val="28"/>
              <w:szCs w:val="28"/>
            </w:rPr>
            <w:tab/>
          </w:r>
          <w:r>
            <w:rPr>
              <w:rFonts w:hint="eastAsia" w:ascii="黑体" w:hAnsi="黑体" w:eastAsia="黑体" w:cs="黑体"/>
              <w:sz w:val="28"/>
              <w:szCs w:val="28"/>
            </w:rPr>
            <w:t>7</w:t>
          </w:r>
          <w:r>
            <w:rPr>
              <w:rFonts w:hint="eastAsia" w:ascii="黑体" w:hAnsi="黑体" w:eastAsia="黑体" w:cs="黑体"/>
              <w:sz w:val="28"/>
              <w:szCs w:val="28"/>
            </w:rPr>
            <w:fldChar w:fldCharType="end"/>
          </w:r>
        </w:p>
        <w:p>
          <w:pPr>
            <w:pStyle w:val="15"/>
            <w:tabs>
              <w:tab w:val="right" w:leader="dot" w:pos="8310"/>
            </w:tabs>
            <w:spacing w:line="480" w:lineRule="auto"/>
            <w:rPr>
              <w:rFonts w:ascii="黑体" w:hAnsi="黑体" w:eastAsia="黑体" w:cs="黑体"/>
              <w:sz w:val="28"/>
              <w:szCs w:val="28"/>
            </w:rPr>
          </w:pPr>
          <w:r>
            <w:fldChar w:fldCharType="begin"/>
          </w:r>
          <w:r>
            <w:instrText xml:space="preserve"> HYPERLINK \l "_Toc28247" </w:instrText>
          </w:r>
          <w:r>
            <w:fldChar w:fldCharType="separate"/>
          </w:r>
          <w:r>
            <w:rPr>
              <w:rFonts w:hint="eastAsia" w:ascii="黑体" w:hAnsi="黑体" w:eastAsia="黑体" w:cs="黑体"/>
              <w:bCs/>
              <w:sz w:val="28"/>
              <w:szCs w:val="28"/>
            </w:rPr>
            <w:t>附表1 技术差异表</w:t>
          </w:r>
          <w:r>
            <w:rPr>
              <w:rFonts w:hint="eastAsia" w:ascii="黑体" w:hAnsi="黑体" w:eastAsia="黑体" w:cs="黑体"/>
              <w:sz w:val="28"/>
              <w:szCs w:val="28"/>
            </w:rPr>
            <w:tab/>
          </w:r>
          <w:r>
            <w:rPr>
              <w:rFonts w:hint="eastAsia" w:ascii="黑体" w:hAnsi="黑体" w:eastAsia="黑体" w:cs="黑体"/>
              <w:sz w:val="28"/>
              <w:szCs w:val="28"/>
            </w:rPr>
            <w:t>7</w:t>
          </w:r>
          <w:r>
            <w:rPr>
              <w:rFonts w:hint="eastAsia" w:ascii="黑体" w:hAnsi="黑体" w:eastAsia="黑体" w:cs="黑体"/>
              <w:sz w:val="28"/>
              <w:szCs w:val="28"/>
            </w:rPr>
            <w:fldChar w:fldCharType="end"/>
          </w:r>
        </w:p>
        <w:p>
          <w:pPr>
            <w:pStyle w:val="2"/>
            <w:topLinePunct/>
            <w:autoSpaceDE/>
            <w:autoSpaceDN/>
            <w:spacing w:line="480" w:lineRule="auto"/>
            <w:rPr>
              <w:rFonts w:ascii="Times New Roman" w:hAnsi="Times New Roman" w:cs="Times New Roman"/>
              <w:kern w:val="21"/>
              <w:lang w:eastAsia="zh-CN"/>
            </w:rPr>
          </w:pPr>
          <w:r>
            <w:rPr>
              <w:rFonts w:hint="eastAsia" w:ascii="黑体" w:hAnsi="黑体" w:eastAsia="黑体" w:cs="黑体"/>
              <w:kern w:val="21"/>
              <w:sz w:val="28"/>
              <w:szCs w:val="28"/>
              <w:lang w:eastAsia="zh-CN"/>
            </w:rPr>
            <w:fldChar w:fldCharType="end"/>
          </w:r>
        </w:p>
      </w:sdtContent>
    </w:sdt>
    <w:p>
      <w:pPr>
        <w:pStyle w:val="4"/>
        <w:rPr>
          <w:lang w:eastAsia="zh-CN"/>
        </w:rPr>
      </w:pPr>
      <w:bookmarkStart w:id="0" w:name="_Toc27858"/>
    </w:p>
    <w:p>
      <w:pPr>
        <w:rPr>
          <w:lang w:eastAsia="zh-CN"/>
        </w:rPr>
      </w:pPr>
    </w:p>
    <w:p>
      <w:pPr>
        <w:rPr>
          <w:lang w:eastAsia="zh-CN"/>
        </w:rPr>
      </w:pPr>
    </w:p>
    <w:p>
      <w:pPr>
        <w:pStyle w:val="4"/>
        <w:sectPr>
          <w:footerReference r:id="rId5" w:type="first"/>
          <w:headerReference r:id="rId3" w:type="default"/>
          <w:footerReference r:id="rId4" w:type="default"/>
          <w:pgSz w:w="11910" w:h="16850"/>
          <w:pgMar w:top="1440" w:right="1800" w:bottom="1440" w:left="1800" w:header="0" w:footer="1292" w:gutter="0"/>
          <w:cols w:space="720" w:num="1"/>
          <w:titlePg/>
        </w:sectPr>
      </w:pPr>
    </w:p>
    <w:p>
      <w:pPr>
        <w:pStyle w:val="4"/>
      </w:pPr>
      <w:r>
        <w:t>1</w:t>
      </w:r>
      <w:r>
        <w:rPr>
          <w:rFonts w:hint="eastAsia"/>
          <w:lang w:eastAsia="zh-CN"/>
        </w:rPr>
        <w:t xml:space="preserve">  </w:t>
      </w:r>
      <w:r>
        <w:t>总则</w:t>
      </w:r>
      <w:bookmarkEnd w:id="0"/>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本招标技术文件适用于</w:t>
      </w:r>
      <w:r>
        <w:rPr>
          <w:rFonts w:hint="eastAsia" w:ascii="Times New Roman" w:hAnsi="Times New Roman" w:eastAsia="宋体" w:cs="Times New Roman"/>
          <w:kern w:val="21"/>
          <w:lang w:eastAsia="zh-CN"/>
        </w:rPr>
        <w:t>《基于故障录波器的10kV小电阻接地系统高阻接地故障检测</w:t>
      </w:r>
      <w:r>
        <w:rPr>
          <w:rFonts w:hint="eastAsia" w:ascii="Times New Roman" w:hAnsi="Times New Roman" w:eastAsia="宋体" w:cs="Times New Roman"/>
          <w:kern w:val="21"/>
          <w:lang w:val="en-US" w:eastAsia="zh-CN"/>
        </w:rPr>
        <w:t>及快速处置</w:t>
      </w:r>
      <w:r>
        <w:rPr>
          <w:rFonts w:hint="eastAsia" w:ascii="Times New Roman" w:hAnsi="Times New Roman" w:eastAsia="宋体" w:cs="Times New Roman"/>
          <w:kern w:val="21"/>
          <w:lang w:eastAsia="zh-CN"/>
        </w:rPr>
        <w:t>》</w:t>
      </w:r>
      <w:r>
        <w:rPr>
          <w:rFonts w:hint="eastAsia" w:ascii="Times New Roman" w:hAnsi="Times New Roman" w:eastAsia="宋体" w:cs="Times New Roman"/>
          <w:kern w:val="21"/>
          <w:lang w:val="en-US" w:eastAsia="zh-CN"/>
        </w:rPr>
        <w:t>项目</w:t>
      </w:r>
      <w:r>
        <w:rPr>
          <w:rFonts w:ascii="Times New Roman" w:hAnsi="Times New Roman" w:eastAsia="宋体" w:cs="Times New Roman"/>
          <w:kern w:val="21"/>
          <w:lang w:eastAsia="zh-CN"/>
        </w:rPr>
        <w:t>的订货</w:t>
      </w:r>
      <w:r>
        <w:rPr>
          <w:rFonts w:hint="eastAsia" w:ascii="Times New Roman" w:hAnsi="Times New Roman" w:eastAsia="宋体" w:cs="Times New Roman"/>
          <w:kern w:val="21"/>
          <w:lang w:eastAsia="zh-CN"/>
        </w:rPr>
        <w:t>，</w:t>
      </w:r>
      <w:r>
        <w:rPr>
          <w:rFonts w:ascii="Times New Roman" w:hAnsi="Times New Roman" w:eastAsia="宋体" w:cs="Times New Roman"/>
          <w:kern w:val="21"/>
          <w:lang w:eastAsia="zh-CN"/>
        </w:rPr>
        <w:t>提出了</w:t>
      </w:r>
      <w:r>
        <w:rPr>
          <w:rFonts w:hint="eastAsia" w:ascii="Times New Roman" w:hAnsi="Times New Roman" w:eastAsia="宋体" w:cs="Times New Roman"/>
          <w:kern w:val="21"/>
          <w:lang w:val="en-US" w:eastAsia="zh-CN"/>
        </w:rPr>
        <w:t>本项目</w:t>
      </w:r>
      <w:r>
        <w:rPr>
          <w:rFonts w:ascii="Times New Roman" w:hAnsi="Times New Roman" w:eastAsia="宋体" w:cs="Times New Roman"/>
          <w:kern w:val="21"/>
          <w:lang w:eastAsia="zh-CN"/>
        </w:rPr>
        <w:t>的功能、性能、结构、安装等方面的技术要求。</w:t>
      </w:r>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本招标技术文件提出的是最低限度的技术要求，并未对一切技术细节做出规定，也未充分引述有关标准和规范的条文，投标方应提供符合本规范书和工业标准的优质产品。凡本技术条件中未规定，但在相关设备的国家标准或</w:t>
      </w:r>
      <w:r>
        <w:rPr>
          <w:rFonts w:ascii="Times New Roman" w:hAnsi="Times New Roman" w:eastAsia="Times New Roman" w:cs="Times New Roman"/>
          <w:kern w:val="21"/>
          <w:lang w:eastAsia="zh-CN"/>
        </w:rPr>
        <w:t xml:space="preserve">IEC </w:t>
      </w:r>
      <w:r>
        <w:rPr>
          <w:rFonts w:ascii="Times New Roman" w:hAnsi="Times New Roman" w:eastAsia="宋体" w:cs="Times New Roman"/>
          <w:kern w:val="21"/>
          <w:lang w:eastAsia="zh-CN"/>
        </w:rPr>
        <w:t>标准中有规定的规范条文，投标方应按相应标准的条文进行设备设计、制造、试验和安装。对国家有关安全、环保等强制性标准，必须满足其要求。</w:t>
      </w:r>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如果投标方没有以书面形式对本招标技术文件的条文提出异议，则意味着投标方提供的设备完全符合本招标技术文件的要求。如有异议，不管是多么微小，都应在报价书中以</w:t>
      </w:r>
      <w:r>
        <w:rPr>
          <w:rFonts w:hint="eastAsia" w:ascii="Times New Roman" w:hAnsi="Times New Roman" w:eastAsia="宋体" w:cs="Times New Roman"/>
          <w:kern w:val="21"/>
          <w:lang w:eastAsia="zh-CN"/>
        </w:rPr>
        <w:t>“</w:t>
      </w:r>
      <w:r>
        <w:rPr>
          <w:rFonts w:ascii="Times New Roman" w:hAnsi="Times New Roman" w:eastAsia="宋体" w:cs="Times New Roman"/>
          <w:kern w:val="21"/>
          <w:lang w:eastAsia="zh-CN"/>
        </w:rPr>
        <w:t>对招标技术文件的意见和同招标技术文件的差异</w:t>
      </w:r>
      <w:r>
        <w:rPr>
          <w:rFonts w:hint="eastAsia" w:ascii="Times New Roman" w:hAnsi="Times New Roman" w:eastAsia="宋体" w:cs="Times New Roman"/>
          <w:kern w:val="21"/>
          <w:lang w:eastAsia="zh-CN"/>
        </w:rPr>
        <w:t>”</w:t>
      </w:r>
      <w:r>
        <w:rPr>
          <w:rFonts w:ascii="Times New Roman" w:hAnsi="Times New Roman" w:eastAsia="宋体" w:cs="Times New Roman"/>
          <w:kern w:val="21"/>
          <w:lang w:eastAsia="zh-CN"/>
        </w:rPr>
        <w:t>为标题的专门章节中加以详细描述。</w:t>
      </w:r>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lang w:eastAsia="zh-CN"/>
        </w:rPr>
      </w:pPr>
      <w:r>
        <w:rPr>
          <w:rFonts w:hint="eastAsia" w:ascii="Times New Roman" w:hAnsi="Times New Roman" w:eastAsia="宋体" w:cs="Times New Roman"/>
          <w:kern w:val="21"/>
          <w:lang w:eastAsia="zh-CN"/>
        </w:rPr>
        <w:t>本招标技术文件所使用的标准如遇与招标方所执行的标准不一致时，按照较高标准执行。</w:t>
      </w:r>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本技术条件书经招、投标双方确认后作为订货合同的技术附件，与合同正文具有同等法律效力。</w:t>
      </w:r>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本招标技术文件未尽事宜，由招、投标双方协商确定。</w:t>
      </w:r>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投标方在应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不同程度的影响。</w:t>
      </w:r>
    </w:p>
    <w:p>
      <w:pPr>
        <w:numPr>
          <w:ilvl w:val="1"/>
          <w:numId w:val="1"/>
        </w:numPr>
        <w:kinsoku/>
        <w:topLinePunct/>
        <w:autoSpaceDE/>
        <w:autoSpaceDN/>
        <w:spacing w:line="360" w:lineRule="auto"/>
        <w:ind w:firstLine="420" w:firstLineChars="200"/>
        <w:jc w:val="both"/>
        <w:rPr>
          <w:rFonts w:eastAsia="宋体"/>
          <w:lang w:eastAsia="zh-CN"/>
        </w:rPr>
      </w:pPr>
      <w:r>
        <w:rPr>
          <w:rFonts w:ascii="Times New Roman" w:hAnsi="Times New Roman" w:eastAsia="宋体" w:cs="Times New Roman"/>
          <w:kern w:val="21"/>
          <w:lang w:eastAsia="zh-CN"/>
        </w:rPr>
        <w:t>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kinsoku/>
        <w:topLinePunct/>
        <w:autoSpaceDE/>
        <w:autoSpaceDN/>
        <w:spacing w:line="360" w:lineRule="auto"/>
        <w:jc w:val="both"/>
        <w:rPr>
          <w:rFonts w:hint="eastAsia" w:ascii="Times New Roman" w:hAnsi="Times New Roman" w:eastAsia="宋体" w:cs="Times New Roman"/>
          <w:kern w:val="21"/>
          <w:lang w:eastAsia="zh-CN"/>
        </w:rPr>
      </w:pPr>
    </w:p>
    <w:p>
      <w:pPr>
        <w:pStyle w:val="4"/>
        <w:rPr>
          <w:rFonts w:ascii="Times New Roman" w:hAnsi="Times New Roman" w:eastAsia="宋体" w:cs="Times New Roman"/>
          <w:lang w:eastAsia="zh-CN"/>
        </w:rPr>
      </w:pPr>
      <w:r>
        <w:rPr>
          <w:rFonts w:hint="eastAsia" w:ascii="Times New Roman" w:hAnsi="Times New Roman" w:eastAsia="宋体" w:cs="Times New Roman"/>
          <w:lang w:eastAsia="zh-CN"/>
        </w:rPr>
        <w:t>2  工作范围</w:t>
      </w:r>
    </w:p>
    <w:p>
      <w:pPr>
        <w:pStyle w:val="4"/>
        <w:rPr>
          <w:rFonts w:hint="eastAsia" w:ascii="Times New Roman" w:hAnsi="Times New Roman" w:eastAsia="宋体" w:cs="Times New Roman"/>
          <w:b/>
          <w:bCs w:val="0"/>
          <w:lang w:eastAsia="zh-CN"/>
        </w:rPr>
      </w:pPr>
      <w:r>
        <w:rPr>
          <w:rFonts w:hint="eastAsia" w:ascii="Times New Roman" w:hAnsi="Times New Roman" w:eastAsia="宋体" w:cs="Times New Roman"/>
          <w:b/>
          <w:bCs w:val="0"/>
          <w:lang w:eastAsia="zh-CN"/>
        </w:rPr>
        <w:t>2.1 项目概况</w:t>
      </w:r>
    </w:p>
    <w:p>
      <w:pPr>
        <w:keepNext w:val="0"/>
        <w:keepLines w:val="0"/>
        <w:pageBreakBefore w:val="0"/>
        <w:widowControl w:val="0"/>
        <w:kinsoku/>
        <w:wordWrap/>
        <w:overflowPunct/>
        <w:topLinePunct w:val="0"/>
        <w:autoSpaceDE/>
        <w:autoSpaceDN/>
        <w:bidi w:val="0"/>
        <w:adjustRightInd/>
        <w:snapToGrid/>
        <w:spacing w:line="300" w:lineRule="auto"/>
        <w:ind w:firstLine="420" w:firstLineChars="200"/>
        <w:jc w:val="both"/>
        <w:textAlignment w:val="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广州电网10kV系统为接地变压器中性点经10Ω电阻接地的小电阻接地系统，接地变及出线配置专用零序CT的零序过流保护。目前，零序保护定值一次值为跳闸60A、告警25A，固定延时，即只能检测到稳定的经250Ω左右电阻的接地故障；对不同馈线发生多点经过渡电阻接地故障，馈线保护可能达不到定值而造成接地变保护越级动作；若降低定值，存在保护误告警误动作跳闸的可能，影响保护的运行和供电可靠性，而升级保护版本的工作量难以接受，且对大量存量变电站，保护软硬件限制且厂家众多，也难以实施。</w:t>
      </w:r>
    </w:p>
    <w:p>
      <w:pPr>
        <w:keepNext w:val="0"/>
        <w:keepLines w:val="0"/>
        <w:pageBreakBefore w:val="0"/>
        <w:widowControl w:val="0"/>
        <w:kinsoku/>
        <w:wordWrap/>
        <w:overflowPunct/>
        <w:topLinePunct w:val="0"/>
        <w:autoSpaceDE/>
        <w:autoSpaceDN/>
        <w:bidi w:val="0"/>
        <w:adjustRightInd/>
        <w:snapToGrid/>
        <w:spacing w:line="300" w:lineRule="auto"/>
        <w:ind w:firstLine="420"/>
        <w:jc w:val="both"/>
        <w:textAlignment w:val="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变电站都配置故障录波器，接入10kV母线三相电压、零序电压和接地变中性点零序电流模拟量，采样频率和精度高，厂家比较单一，设备量少，具备嵌入高阻接地故障检测功能，不涉及保护运行，是比较好的选择方案。</w:t>
      </w:r>
    </w:p>
    <w:p>
      <w:pPr>
        <w:topLinePunct/>
        <w:autoSpaceDE/>
        <w:autoSpaceDN/>
        <w:spacing w:line="360" w:lineRule="auto"/>
        <w:ind w:firstLine="420" w:firstLineChars="200"/>
        <w:jc w:val="both"/>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本</w:t>
      </w:r>
      <w:r>
        <w:rPr>
          <w:rFonts w:hint="eastAsia" w:ascii="Times New Roman" w:hAnsi="Times New Roman" w:eastAsia="宋体" w:cs="Times New Roman"/>
          <w:lang w:val="en-US" w:eastAsia="zh-CN"/>
        </w:rPr>
        <w:t>项目</w:t>
      </w:r>
      <w:r>
        <w:rPr>
          <w:rFonts w:hint="default" w:ascii="Times New Roman" w:hAnsi="Times New Roman" w:eastAsia="宋体" w:cs="Times New Roman"/>
          <w:lang w:val="en-US" w:eastAsia="zh-CN"/>
        </w:rPr>
        <w:t>将变电站的故障录波器增加10kV高阻接地故障检测和预告警功能，同时站内监控主机增加自动识别故障间隔功能，实现对高阻故障的实时检测、自动告警、快速处置。</w:t>
      </w:r>
    </w:p>
    <w:p>
      <w:pPr>
        <w:keepNext w:val="0"/>
        <w:keepLines w:val="0"/>
        <w:pageBreakBefore w:val="0"/>
        <w:widowControl w:val="0"/>
        <w:kinsoku/>
        <w:wordWrap/>
        <w:overflowPunct/>
        <w:topLinePunct w:val="0"/>
        <w:autoSpaceDE/>
        <w:autoSpaceDN/>
        <w:bidi w:val="0"/>
        <w:adjustRightInd/>
        <w:snapToGrid/>
        <w:spacing w:line="300" w:lineRule="auto"/>
        <w:ind w:firstLine="420" w:firstLineChars="200"/>
        <w:textAlignment w:val="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本</w:t>
      </w:r>
      <w:r>
        <w:rPr>
          <w:rFonts w:hint="eastAsia" w:ascii="Times New Roman" w:hAnsi="Times New Roman" w:eastAsia="宋体" w:cs="Times New Roman"/>
          <w:lang w:val="en-US" w:eastAsia="zh-CN"/>
        </w:rPr>
        <w:t>项目拟</w:t>
      </w:r>
      <w:r>
        <w:rPr>
          <w:rFonts w:hint="default" w:ascii="Times New Roman" w:hAnsi="Times New Roman" w:eastAsia="宋体" w:cs="Times New Roman"/>
          <w:lang w:val="en-US" w:eastAsia="zh-CN"/>
        </w:rPr>
        <w:t>开发一套</w:t>
      </w:r>
      <w:r>
        <w:rPr>
          <w:rFonts w:hint="default" w:ascii="Times New Roman" w:hAnsi="Times New Roman" w:eastAsia="宋体" w:cs="Times New Roman"/>
        </w:rPr>
        <w:t>基于故障录波器的10kV小电阻接地系统高阻接地故障检测</w:t>
      </w:r>
      <w:r>
        <w:rPr>
          <w:rFonts w:hint="default" w:ascii="Times New Roman" w:hAnsi="Times New Roman" w:eastAsia="宋体" w:cs="Times New Roman"/>
          <w:lang w:val="en-US" w:eastAsia="zh-CN"/>
        </w:rPr>
        <w:t>及快速处置系统，实现对高阻故障的实时检测、自动告警、快速处置，一定程度上解决众多存量变电站无法有效检测高阻接地故障的生产性难题。具体</w:t>
      </w:r>
      <w:r>
        <w:rPr>
          <w:rFonts w:hint="eastAsia" w:ascii="Times New Roman" w:hAnsi="Times New Roman" w:eastAsia="宋体" w:cs="Times New Roman"/>
          <w:lang w:val="en-US" w:eastAsia="zh-CN"/>
        </w:rPr>
        <w:t>技术要求</w:t>
      </w:r>
      <w:r>
        <w:rPr>
          <w:rFonts w:hint="default" w:ascii="Times New Roman" w:hAnsi="Times New Roman" w:eastAsia="宋体" w:cs="Times New Roman"/>
          <w:lang w:val="en-US" w:eastAsia="zh-CN"/>
        </w:rPr>
        <w:t>有：</w:t>
      </w:r>
    </w:p>
    <w:p>
      <w:pPr>
        <w:keepNext w:val="0"/>
        <w:keepLines w:val="0"/>
        <w:pageBreakBefore w:val="0"/>
        <w:widowControl w:val="0"/>
        <w:kinsoku/>
        <w:wordWrap/>
        <w:overflowPunct/>
        <w:topLinePunct w:val="0"/>
        <w:autoSpaceDE/>
        <w:autoSpaceDN/>
        <w:bidi w:val="0"/>
        <w:adjustRightInd/>
        <w:snapToGrid/>
        <w:spacing w:line="300" w:lineRule="auto"/>
        <w:ind w:firstLine="420" w:firstLineChars="200"/>
        <w:textAlignment w:val="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①故障录波器增加10kV高阻接地故障检测功能模块</w:t>
      </w:r>
      <w:r>
        <w:rPr>
          <w:rFonts w:hint="eastAsia" w:ascii="Times New Roman" w:hAnsi="Times New Roman" w:eastAsia="宋体" w:cs="Times New Roman"/>
          <w:lang w:val="en-US" w:eastAsia="zh-CN"/>
        </w:rPr>
        <w:t>，包括间隔配置、定值设置</w:t>
      </w:r>
      <w:r>
        <w:rPr>
          <w:rFonts w:hint="default" w:ascii="Times New Roman" w:hAnsi="Times New Roman" w:eastAsia="宋体" w:cs="Times New Roman"/>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20" w:firstLineChars="200"/>
        <w:textAlignment w:val="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②</w:t>
      </w:r>
      <w:r>
        <w:rPr>
          <w:rFonts w:hint="eastAsia" w:ascii="Times New Roman" w:hAnsi="Times New Roman" w:eastAsia="宋体" w:cs="Times New Roman"/>
          <w:lang w:val="en-US" w:eastAsia="zh-CN"/>
        </w:rPr>
        <w:t>提出</w:t>
      </w:r>
      <w:r>
        <w:rPr>
          <w:rFonts w:hint="default" w:ascii="Times New Roman" w:hAnsi="Times New Roman" w:eastAsia="宋体" w:cs="Times New Roman"/>
          <w:lang w:val="en-US" w:eastAsia="zh-CN"/>
        </w:rPr>
        <w:t>基于录波已有3U0、3I0采样</w:t>
      </w:r>
      <w:r>
        <w:rPr>
          <w:rFonts w:hint="eastAsia" w:ascii="Times New Roman" w:hAnsi="Times New Roman" w:eastAsia="宋体" w:cs="Times New Roman"/>
          <w:lang w:val="en-US" w:eastAsia="zh-CN"/>
        </w:rPr>
        <w:t>检测</w:t>
      </w:r>
      <w:r>
        <w:rPr>
          <w:rFonts w:hint="default" w:ascii="Times New Roman" w:hAnsi="Times New Roman" w:eastAsia="宋体" w:cs="Times New Roman"/>
          <w:lang w:val="en-US" w:eastAsia="zh-CN"/>
        </w:rPr>
        <w:t>10kV高阻接地故障</w:t>
      </w:r>
      <w:r>
        <w:rPr>
          <w:rFonts w:hint="eastAsia" w:ascii="Times New Roman" w:hAnsi="Times New Roman" w:eastAsia="宋体" w:cs="Times New Roman"/>
          <w:lang w:val="en-US" w:eastAsia="zh-CN"/>
        </w:rPr>
        <w:t>的</w:t>
      </w:r>
      <w:r>
        <w:rPr>
          <w:rFonts w:hint="default" w:ascii="Times New Roman" w:hAnsi="Times New Roman" w:eastAsia="宋体" w:cs="Times New Roman"/>
          <w:lang w:val="en-US" w:eastAsia="zh-CN"/>
        </w:rPr>
        <w:t>算法；</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20" w:firstLineChars="200"/>
        <w:textAlignment w:val="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③故障录波器增加独立的告警输出接点；</w:t>
      </w:r>
    </w:p>
    <w:p>
      <w:pPr>
        <w:keepNext w:val="0"/>
        <w:keepLines w:val="0"/>
        <w:pageBreakBefore w:val="0"/>
        <w:widowControl w:val="0"/>
        <w:kinsoku/>
        <w:wordWrap/>
        <w:overflowPunct/>
        <w:topLinePunct w:val="0"/>
        <w:autoSpaceDE/>
        <w:autoSpaceDN/>
        <w:bidi w:val="0"/>
        <w:adjustRightInd/>
        <w:snapToGrid/>
        <w:spacing w:line="300" w:lineRule="auto"/>
        <w:ind w:firstLine="420" w:firstLineChars="200"/>
        <w:textAlignment w:val="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④站端监控主机根据3I0遥测等信息自动识别故障间隔。</w:t>
      </w:r>
    </w:p>
    <w:p>
      <w:pPr>
        <w:rPr>
          <w:rFonts w:hint="eastAsia" w:eastAsiaTheme="minorEastAsia"/>
          <w:lang w:eastAsia="zh-CN"/>
        </w:rPr>
      </w:pPr>
    </w:p>
    <w:p>
      <w:pPr>
        <w:topLinePunct/>
        <w:autoSpaceDE/>
        <w:autoSpaceDN/>
        <w:spacing w:line="360" w:lineRule="auto"/>
        <w:outlineLvl w:val="0"/>
        <w:rPr>
          <w:rFonts w:ascii="Times New Roman" w:hAnsi="Times New Roman" w:eastAsia="宋体" w:cs="Times New Roman"/>
          <w:kern w:val="21"/>
          <w:sz w:val="24"/>
          <w:szCs w:val="24"/>
          <w:lang w:eastAsia="zh-CN"/>
        </w:rPr>
      </w:pPr>
      <w:bookmarkStart w:id="1" w:name="_Toc18511"/>
      <w:r>
        <w:rPr>
          <w:rFonts w:ascii="Times New Roman" w:hAnsi="Times New Roman" w:eastAsia="宋体" w:cs="Times New Roman"/>
          <w:b/>
          <w:bCs/>
          <w:kern w:val="21"/>
          <w:sz w:val="24"/>
          <w:szCs w:val="24"/>
          <w:lang w:eastAsia="zh-CN"/>
        </w:rPr>
        <w:t>2.</w:t>
      </w:r>
      <w:r>
        <w:rPr>
          <w:rFonts w:hint="eastAsia" w:ascii="Times New Roman" w:hAnsi="Times New Roman" w:eastAsia="宋体" w:cs="Times New Roman"/>
          <w:b/>
          <w:bCs/>
          <w:kern w:val="21"/>
          <w:sz w:val="24"/>
          <w:szCs w:val="24"/>
          <w:lang w:eastAsia="zh-CN"/>
        </w:rPr>
        <w:t>2</w:t>
      </w:r>
      <w:r>
        <w:rPr>
          <w:rFonts w:ascii="Times New Roman" w:hAnsi="Times New Roman" w:eastAsia="宋体" w:cs="Times New Roman"/>
          <w:kern w:val="21"/>
          <w:sz w:val="24"/>
          <w:szCs w:val="24"/>
          <w:lang w:eastAsia="zh-CN"/>
        </w:rPr>
        <w:t xml:space="preserve"> </w:t>
      </w:r>
      <w:r>
        <w:rPr>
          <w:rFonts w:ascii="Times New Roman" w:hAnsi="Times New Roman" w:eastAsia="宋体" w:cs="Times New Roman"/>
          <w:b/>
          <w:bCs/>
          <w:kern w:val="21"/>
          <w:sz w:val="24"/>
          <w:szCs w:val="24"/>
          <w:lang w:eastAsia="zh-CN"/>
        </w:rPr>
        <w:t>供货范围</w:t>
      </w:r>
      <w:bookmarkEnd w:id="1"/>
    </w:p>
    <w:p>
      <w:pPr>
        <w:keepNext w:val="0"/>
        <w:keepLines w:val="0"/>
        <w:pageBreakBefore w:val="0"/>
        <w:widowControl w:val="0"/>
        <w:kinsoku/>
        <w:wordWrap/>
        <w:overflowPunct/>
        <w:topLinePunct w:val="0"/>
        <w:autoSpaceDE/>
        <w:autoSpaceDN/>
        <w:bidi w:val="0"/>
        <w:adjustRightInd/>
        <w:snapToGrid/>
        <w:spacing w:line="300" w:lineRule="auto"/>
        <w:ind w:firstLine="420" w:firstLineChars="200"/>
        <w:textAlignment w:val="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本技术条件书要求采购的设备规范详见</w:t>
      </w:r>
      <w:r>
        <w:rPr>
          <w:rFonts w:hint="eastAsia" w:ascii="Times New Roman" w:hAnsi="Times New Roman" w:eastAsia="宋体" w:cs="Times New Roman"/>
          <w:lang w:val="en-US" w:eastAsia="zh-CN"/>
        </w:rPr>
        <w:t>“</w:t>
      </w:r>
      <w:r>
        <w:rPr>
          <w:rFonts w:hint="default" w:ascii="Times New Roman" w:hAnsi="Times New Roman" w:eastAsia="宋体" w:cs="Times New Roman"/>
          <w:lang w:val="en-US" w:eastAsia="zh-CN"/>
        </w:rPr>
        <w:t>3.应遵循的主要标准</w:t>
      </w:r>
      <w:r>
        <w:rPr>
          <w:rFonts w:hint="eastAsia" w:ascii="Times New Roman" w:hAnsi="Times New Roman" w:eastAsia="宋体" w:cs="Times New Roman"/>
          <w:lang w:val="en-US" w:eastAsia="zh-CN"/>
        </w:rPr>
        <w:t>”</w:t>
      </w:r>
      <w:r>
        <w:rPr>
          <w:rFonts w:hint="default" w:ascii="Times New Roman" w:hAnsi="Times New Roman" w:eastAsia="宋体" w:cs="Times New Roman"/>
          <w:lang w:val="en-US" w:eastAsia="zh-CN"/>
        </w:rPr>
        <w:t xml:space="preserve">。供货范围包括: </w:t>
      </w:r>
      <w:r>
        <w:rPr>
          <w:rFonts w:hint="eastAsia" w:ascii="Times New Roman" w:hAnsi="Times New Roman" w:eastAsia="宋体" w:cs="Times New Roman"/>
          <w:lang w:val="en-US" w:eastAsia="zh-CN"/>
        </w:rPr>
        <w:t>1）交付一套10kV小电阻接地系统高阻接地故障检测及告警系统；2）交付图纸、说明书等纸质资料；3）提供测试、</w:t>
      </w:r>
      <w:r>
        <w:rPr>
          <w:rFonts w:hint="default" w:ascii="Times New Roman" w:hAnsi="Times New Roman" w:eastAsia="宋体" w:cs="Times New Roman"/>
          <w:lang w:val="en-US" w:eastAsia="zh-CN"/>
        </w:rPr>
        <w:t>安装、调试</w:t>
      </w:r>
      <w:r>
        <w:rPr>
          <w:rFonts w:hint="eastAsia" w:ascii="Times New Roman" w:hAnsi="Times New Roman" w:eastAsia="宋体" w:cs="Times New Roman"/>
          <w:lang w:val="en-US" w:eastAsia="zh-CN"/>
        </w:rPr>
        <w:t>服务。</w:t>
      </w:r>
    </w:p>
    <w:p>
      <w:pPr>
        <w:topLinePunct/>
        <w:autoSpaceDE/>
        <w:autoSpaceDN/>
        <w:spacing w:line="360" w:lineRule="auto"/>
        <w:ind w:firstLine="420" w:firstLineChars="200"/>
        <w:jc w:val="both"/>
        <w:rPr>
          <w:rFonts w:ascii="Times New Roman" w:hAnsi="Times New Roman" w:eastAsia="宋体" w:cs="Times New Roman"/>
          <w:kern w:val="21"/>
          <w:lang w:eastAsia="zh-CN"/>
        </w:rPr>
      </w:pPr>
      <w:r>
        <w:rPr>
          <w:rFonts w:hint="eastAsia" w:ascii="Times New Roman" w:hAnsi="Times New Roman" w:eastAsia="宋体" w:cs="Times New Roman"/>
          <w:kern w:val="21"/>
          <w:lang w:eastAsia="zh-CN"/>
        </w:rPr>
        <w:t>具体的供货范围详见下表：</w:t>
      </w:r>
    </w:p>
    <w:tbl>
      <w:tblPr>
        <w:tblStyle w:val="13"/>
        <w:tblW w:w="82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4"/>
        <w:gridCol w:w="1995"/>
        <w:gridCol w:w="3069"/>
        <w:gridCol w:w="679"/>
        <w:gridCol w:w="769"/>
        <w:gridCol w:w="109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674" w:type="dxa"/>
            <w:vAlign w:val="center"/>
          </w:tcPr>
          <w:p>
            <w:pPr>
              <w:pStyle w:val="14"/>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序号</w:t>
            </w:r>
          </w:p>
        </w:tc>
        <w:tc>
          <w:tcPr>
            <w:tcW w:w="1995" w:type="dxa"/>
            <w:vAlign w:val="center"/>
          </w:tcPr>
          <w:p>
            <w:pPr>
              <w:pStyle w:val="14"/>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名称</w:t>
            </w:r>
          </w:p>
        </w:tc>
        <w:tc>
          <w:tcPr>
            <w:tcW w:w="3069" w:type="dxa"/>
            <w:vAlign w:val="center"/>
          </w:tcPr>
          <w:p>
            <w:pPr>
              <w:pStyle w:val="14"/>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color w:val="auto"/>
                <w:kern w:val="21"/>
                <w:sz w:val="21"/>
                <w:szCs w:val="21"/>
              </w:rPr>
              <w:t>规格型号</w:t>
            </w:r>
          </w:p>
        </w:tc>
        <w:tc>
          <w:tcPr>
            <w:tcW w:w="679" w:type="dxa"/>
            <w:vAlign w:val="center"/>
          </w:tcPr>
          <w:p>
            <w:pPr>
              <w:pStyle w:val="14"/>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单位</w:t>
            </w:r>
          </w:p>
        </w:tc>
        <w:tc>
          <w:tcPr>
            <w:tcW w:w="769" w:type="dxa"/>
            <w:vAlign w:val="center"/>
          </w:tcPr>
          <w:p>
            <w:pPr>
              <w:pStyle w:val="14"/>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数量</w:t>
            </w:r>
          </w:p>
        </w:tc>
        <w:tc>
          <w:tcPr>
            <w:tcW w:w="1093" w:type="dxa"/>
            <w:vAlign w:val="center"/>
          </w:tcPr>
          <w:p>
            <w:pPr>
              <w:pStyle w:val="14"/>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4" w:hRule="atLeast"/>
        </w:trPr>
        <w:tc>
          <w:tcPr>
            <w:tcW w:w="674" w:type="dxa"/>
            <w:vAlign w:val="center"/>
          </w:tcPr>
          <w:p>
            <w:pPr>
              <w:topLinePunct/>
              <w:autoSpaceDE/>
              <w:autoSpaceDN/>
              <w:spacing w:line="360" w:lineRule="auto"/>
              <w:jc w:val="both"/>
              <w:rPr>
                <w:rFonts w:ascii="Times New Roman" w:hAnsi="Times New Roman" w:cs="Times New Roman"/>
                <w:kern w:val="21"/>
              </w:rPr>
            </w:pPr>
          </w:p>
          <w:p>
            <w:pPr>
              <w:pStyle w:val="14"/>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1</w:t>
            </w:r>
          </w:p>
        </w:tc>
        <w:tc>
          <w:tcPr>
            <w:tcW w:w="1995" w:type="dxa"/>
            <w:vAlign w:val="center"/>
          </w:tcPr>
          <w:p>
            <w:pPr>
              <w:topLinePunct/>
              <w:autoSpaceDE/>
              <w:autoSpaceDN/>
              <w:spacing w:line="360" w:lineRule="auto"/>
              <w:jc w:val="center"/>
              <w:rPr>
                <w:rFonts w:ascii="Times New Roman" w:hAnsi="Times New Roman" w:eastAsia="宋体" w:cs="Times New Roman"/>
                <w:kern w:val="21"/>
                <w:lang w:eastAsia="zh-CN"/>
              </w:rPr>
            </w:pPr>
            <w:r>
              <w:rPr>
                <w:rFonts w:hint="eastAsia" w:ascii="Times New Roman" w:hAnsi="Times New Roman" w:eastAsia="宋体" w:cs="Times New Roman"/>
                <w:kern w:val="21"/>
                <w:lang w:eastAsia="zh-CN"/>
              </w:rPr>
              <w:t>一套10kV小电阻接地系统高阻接地故障检测及告警系统</w:t>
            </w:r>
          </w:p>
        </w:tc>
        <w:tc>
          <w:tcPr>
            <w:tcW w:w="3069" w:type="dxa"/>
            <w:vAlign w:val="center"/>
          </w:tcPr>
          <w:p>
            <w:pPr>
              <w:pStyle w:val="14"/>
              <w:topLinePunct/>
              <w:autoSpaceDE/>
              <w:autoSpaceDN/>
              <w:spacing w:line="360" w:lineRule="auto"/>
              <w:jc w:val="both"/>
              <w:rPr>
                <w:rFonts w:hint="eastAsia"/>
                <w:lang w:eastAsia="zh-CN"/>
              </w:rPr>
            </w:pPr>
            <w:r>
              <w:rPr>
                <w:rFonts w:hint="eastAsia"/>
                <w:lang w:val="en-US" w:eastAsia="zh-CN"/>
              </w:rPr>
              <w:t>1.</w:t>
            </w:r>
            <w:r>
              <w:rPr>
                <w:rFonts w:hint="eastAsia"/>
                <w:lang w:eastAsia="zh-CN"/>
              </w:rPr>
              <w:t>具备间隔配置、通道关联、定值设置、独立告警输出等功能；</w:t>
            </w:r>
          </w:p>
          <w:p>
            <w:pPr>
              <w:pStyle w:val="14"/>
              <w:topLinePunct/>
              <w:autoSpaceDE/>
              <w:autoSpaceDN/>
              <w:spacing w:line="360" w:lineRule="auto"/>
              <w:jc w:val="both"/>
              <w:rPr>
                <w:rFonts w:hint="eastAsia"/>
                <w:lang w:eastAsia="zh-CN"/>
              </w:rPr>
            </w:pPr>
            <w:r>
              <w:rPr>
                <w:rFonts w:hint="eastAsia"/>
                <w:lang w:val="en-US" w:eastAsia="zh-CN"/>
              </w:rPr>
              <w:t>2.</w:t>
            </w:r>
            <w:r>
              <w:rPr>
                <w:rFonts w:hint="eastAsia"/>
                <w:lang w:eastAsia="zh-CN"/>
              </w:rPr>
              <w:t>具有</w:t>
            </w:r>
            <w:r>
              <w:rPr>
                <w:rFonts w:hint="eastAsia"/>
                <w:lang w:val="en-US" w:eastAsia="zh-CN"/>
              </w:rPr>
              <w:t>高可靠性和准确性的</w:t>
            </w:r>
            <w:r>
              <w:rPr>
                <w:rFonts w:hint="eastAsia"/>
                <w:lang w:eastAsia="zh-CN"/>
              </w:rPr>
              <w:t>检测算法，对500Ω以下的稳定性、间歇性高阻接地故障具有灵敏度，不误检、不漏检；对1000Ω以内高阻接地故障具有一定的灵敏度。</w:t>
            </w:r>
          </w:p>
          <w:p>
            <w:pPr>
              <w:pStyle w:val="14"/>
              <w:topLinePunct/>
              <w:autoSpaceDE/>
              <w:autoSpaceDN/>
              <w:spacing w:line="360" w:lineRule="auto"/>
              <w:jc w:val="both"/>
              <w:rPr>
                <w:rFonts w:hint="eastAsia"/>
                <w:lang w:eastAsia="zh-CN"/>
              </w:rPr>
            </w:pPr>
            <w:r>
              <w:rPr>
                <w:rFonts w:hint="eastAsia"/>
                <w:lang w:val="en-US" w:eastAsia="zh-CN"/>
              </w:rPr>
              <w:t>3.</w:t>
            </w:r>
            <w:r>
              <w:rPr>
                <w:rFonts w:hint="eastAsia"/>
                <w:lang w:eastAsia="zh-CN"/>
              </w:rPr>
              <w:t>软件兼容性好，运行平稳，</w:t>
            </w:r>
            <w:r>
              <w:rPr>
                <w:rFonts w:hint="eastAsia" w:ascii="Times New Roman" w:hAnsi="Times New Roman" w:eastAsia="宋体" w:cs="Times New Roman"/>
                <w:kern w:val="21"/>
                <w:lang w:val="en-US" w:eastAsia="zh-CN"/>
              </w:rPr>
              <w:t>能够运行于不同版本的常规录波器和智能录波器</w:t>
            </w:r>
            <w:r>
              <w:rPr>
                <w:rFonts w:hint="eastAsia"/>
                <w:lang w:eastAsia="zh-CN"/>
              </w:rPr>
              <w:t>。</w:t>
            </w:r>
          </w:p>
        </w:tc>
        <w:tc>
          <w:tcPr>
            <w:tcW w:w="679" w:type="dxa"/>
            <w:vAlign w:val="center"/>
          </w:tcPr>
          <w:p>
            <w:pPr>
              <w:pStyle w:val="14"/>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套</w:t>
            </w:r>
          </w:p>
        </w:tc>
        <w:tc>
          <w:tcPr>
            <w:tcW w:w="769" w:type="dxa"/>
            <w:vAlign w:val="center"/>
          </w:tcPr>
          <w:p>
            <w:pPr>
              <w:pStyle w:val="14"/>
              <w:topLinePunct/>
              <w:autoSpaceDE/>
              <w:autoSpaceDN/>
              <w:spacing w:line="360" w:lineRule="auto"/>
              <w:jc w:val="center"/>
              <w:rPr>
                <w:rFonts w:ascii="Times New Roman" w:hAnsi="Times New Roman" w:cs="Times New Roman"/>
                <w:kern w:val="21"/>
                <w:sz w:val="21"/>
                <w:szCs w:val="21"/>
                <w:lang w:eastAsia="zh-CN"/>
              </w:rPr>
            </w:pPr>
            <w:r>
              <w:rPr>
                <w:rFonts w:hint="eastAsia" w:ascii="Times New Roman" w:hAnsi="Times New Roman" w:cs="Times New Roman"/>
                <w:kern w:val="21"/>
                <w:sz w:val="21"/>
                <w:szCs w:val="21"/>
                <w:lang w:eastAsia="zh-CN"/>
              </w:rPr>
              <w:t>1</w:t>
            </w:r>
          </w:p>
        </w:tc>
        <w:tc>
          <w:tcPr>
            <w:tcW w:w="1093" w:type="dxa"/>
            <w:vAlign w:val="center"/>
          </w:tcPr>
          <w:p>
            <w:pPr>
              <w:topLinePunct/>
              <w:autoSpaceDE/>
              <w:autoSpaceDN/>
              <w:spacing w:line="360" w:lineRule="auto"/>
              <w:jc w:val="center"/>
              <w:rPr>
                <w:rFonts w:ascii="Times New Roman" w:hAnsi="Times New Roman" w:cs="Times New Roman"/>
                <w:kern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7" w:hRule="atLeast"/>
        </w:trPr>
        <w:tc>
          <w:tcPr>
            <w:tcW w:w="674" w:type="dxa"/>
            <w:vAlign w:val="center"/>
          </w:tcPr>
          <w:p>
            <w:pPr>
              <w:pStyle w:val="14"/>
              <w:topLinePunct/>
              <w:autoSpaceDE/>
              <w:autoSpaceDN/>
              <w:spacing w:line="360" w:lineRule="auto"/>
              <w:jc w:val="center"/>
              <w:rPr>
                <w:rFonts w:ascii="Times New Roman" w:hAnsi="Times New Roman" w:cs="Times New Roman"/>
                <w:kern w:val="21"/>
                <w:sz w:val="21"/>
                <w:szCs w:val="21"/>
                <w:lang w:eastAsia="zh-CN"/>
              </w:rPr>
            </w:pPr>
            <w:r>
              <w:rPr>
                <w:rFonts w:hint="eastAsia" w:ascii="Times New Roman" w:hAnsi="Times New Roman" w:cs="Times New Roman"/>
                <w:kern w:val="21"/>
                <w:sz w:val="21"/>
                <w:szCs w:val="21"/>
                <w:lang w:eastAsia="zh-CN"/>
              </w:rPr>
              <w:t>2</w:t>
            </w:r>
          </w:p>
        </w:tc>
        <w:tc>
          <w:tcPr>
            <w:tcW w:w="1995" w:type="dxa"/>
            <w:vAlign w:val="center"/>
          </w:tcPr>
          <w:p>
            <w:pPr>
              <w:topLinePunct/>
              <w:autoSpaceDE/>
              <w:autoSpaceDN/>
              <w:spacing w:line="360" w:lineRule="auto"/>
              <w:jc w:val="center"/>
              <w:rPr>
                <w:rFonts w:hint="default" w:ascii="Times New Roman" w:hAnsi="Times New Roman" w:eastAsia="宋体" w:cs="Times New Roman"/>
                <w:kern w:val="21"/>
                <w:lang w:val="en-US" w:eastAsia="zh-CN"/>
              </w:rPr>
            </w:pPr>
            <w:r>
              <w:rPr>
                <w:rFonts w:hint="eastAsia" w:ascii="Times New Roman" w:hAnsi="Times New Roman" w:eastAsia="宋体" w:cs="Times New Roman"/>
                <w:kern w:val="21"/>
                <w:lang w:val="en-US" w:eastAsia="zh-CN"/>
              </w:rPr>
              <w:t>纸质资料</w:t>
            </w:r>
          </w:p>
        </w:tc>
        <w:tc>
          <w:tcPr>
            <w:tcW w:w="3069" w:type="dxa"/>
            <w:vAlign w:val="center"/>
          </w:tcPr>
          <w:p>
            <w:pPr>
              <w:pStyle w:val="14"/>
              <w:tabs>
                <w:tab w:val="left" w:pos="686"/>
              </w:tabs>
              <w:topLinePunct/>
              <w:autoSpaceDE/>
              <w:autoSpaceDN/>
              <w:spacing w:line="360" w:lineRule="auto"/>
              <w:jc w:val="both"/>
              <w:rPr>
                <w:rFonts w:ascii="Times New Roman" w:hAnsi="Times New Roman" w:cs="Times New Roman"/>
                <w:kern w:val="21"/>
                <w:lang w:eastAsia="zh-CN"/>
              </w:rPr>
            </w:pPr>
            <w:r>
              <w:rPr>
                <w:rFonts w:hint="eastAsia" w:ascii="Times New Roman" w:hAnsi="Times New Roman" w:cs="Times New Roman"/>
                <w:kern w:val="21"/>
                <w:lang w:eastAsia="zh-CN"/>
              </w:rPr>
              <w:t>1.提供产品设计图；</w:t>
            </w:r>
          </w:p>
          <w:p>
            <w:pPr>
              <w:pStyle w:val="14"/>
              <w:tabs>
                <w:tab w:val="left" w:pos="686"/>
              </w:tabs>
              <w:topLinePunct/>
              <w:autoSpaceDE/>
              <w:autoSpaceDN/>
              <w:spacing w:line="360" w:lineRule="auto"/>
              <w:jc w:val="both"/>
              <w:rPr>
                <w:rFonts w:ascii="Times New Roman" w:hAnsi="Times New Roman" w:cs="Times New Roman"/>
                <w:kern w:val="21"/>
                <w:lang w:eastAsia="zh-CN"/>
              </w:rPr>
            </w:pPr>
            <w:r>
              <w:rPr>
                <w:rFonts w:hint="eastAsia" w:ascii="Times New Roman" w:hAnsi="Times New Roman" w:cs="Times New Roman"/>
                <w:kern w:val="21"/>
                <w:lang w:eastAsia="zh-CN"/>
              </w:rPr>
              <w:t>2.</w:t>
            </w:r>
            <w:r>
              <w:rPr>
                <w:rFonts w:hint="eastAsia" w:ascii="Times New Roman" w:hAnsi="Times New Roman" w:cs="Times New Roman"/>
                <w:kern w:val="21"/>
                <w:lang w:val="en-US" w:eastAsia="zh-CN"/>
              </w:rPr>
              <w:t>提供技术</w:t>
            </w:r>
            <w:r>
              <w:rPr>
                <w:rFonts w:hint="eastAsia" w:ascii="Times New Roman" w:hAnsi="Times New Roman" w:cs="Times New Roman"/>
                <w:kern w:val="21"/>
                <w:lang w:eastAsia="zh-CN"/>
              </w:rPr>
              <w:t>说明书、</w:t>
            </w:r>
            <w:r>
              <w:rPr>
                <w:rFonts w:hint="eastAsia" w:ascii="Times New Roman" w:hAnsi="Times New Roman" w:cs="Times New Roman"/>
                <w:kern w:val="21"/>
                <w:lang w:val="en-US" w:eastAsia="zh-CN"/>
              </w:rPr>
              <w:t>使用及维护说明等。</w:t>
            </w:r>
          </w:p>
        </w:tc>
        <w:tc>
          <w:tcPr>
            <w:tcW w:w="679" w:type="dxa"/>
            <w:vAlign w:val="center"/>
          </w:tcPr>
          <w:p>
            <w:pPr>
              <w:pStyle w:val="14"/>
              <w:topLinePunct/>
              <w:autoSpaceDE/>
              <w:autoSpaceDN/>
              <w:spacing w:line="360" w:lineRule="auto"/>
              <w:jc w:val="center"/>
              <w:rPr>
                <w:rFonts w:ascii="Times New Roman" w:hAnsi="Times New Roman" w:cs="Times New Roman"/>
                <w:kern w:val="21"/>
                <w:sz w:val="21"/>
                <w:szCs w:val="21"/>
                <w:lang w:eastAsia="zh-CN"/>
              </w:rPr>
            </w:pPr>
            <w:r>
              <w:rPr>
                <w:rFonts w:hint="eastAsia" w:ascii="Times New Roman" w:hAnsi="Times New Roman" w:cs="Times New Roman"/>
                <w:kern w:val="21"/>
                <w:sz w:val="21"/>
                <w:szCs w:val="21"/>
                <w:lang w:eastAsia="zh-CN"/>
              </w:rPr>
              <w:t>套</w:t>
            </w:r>
          </w:p>
        </w:tc>
        <w:tc>
          <w:tcPr>
            <w:tcW w:w="769" w:type="dxa"/>
            <w:vAlign w:val="center"/>
          </w:tcPr>
          <w:p>
            <w:pPr>
              <w:pStyle w:val="14"/>
              <w:topLinePunct/>
              <w:autoSpaceDE/>
              <w:autoSpaceDN/>
              <w:spacing w:line="360" w:lineRule="auto"/>
              <w:jc w:val="center"/>
              <w:rPr>
                <w:rFonts w:ascii="Times New Roman" w:hAnsi="Times New Roman" w:cs="Times New Roman"/>
                <w:kern w:val="21"/>
                <w:sz w:val="21"/>
                <w:szCs w:val="21"/>
                <w:lang w:eastAsia="zh-CN"/>
              </w:rPr>
            </w:pPr>
            <w:r>
              <w:rPr>
                <w:rFonts w:hint="eastAsia" w:ascii="Times New Roman" w:hAnsi="Times New Roman" w:cs="Times New Roman"/>
                <w:kern w:val="21"/>
                <w:sz w:val="21"/>
                <w:szCs w:val="21"/>
                <w:lang w:eastAsia="zh-CN"/>
              </w:rPr>
              <w:t>1</w:t>
            </w:r>
          </w:p>
        </w:tc>
        <w:tc>
          <w:tcPr>
            <w:tcW w:w="1093" w:type="dxa"/>
            <w:vAlign w:val="center"/>
          </w:tcPr>
          <w:p>
            <w:pPr>
              <w:topLinePunct/>
              <w:autoSpaceDE/>
              <w:autoSpaceDN/>
              <w:spacing w:line="360" w:lineRule="auto"/>
              <w:jc w:val="center"/>
              <w:rPr>
                <w:rFonts w:ascii="Times New Roman" w:hAnsi="Times New Roman" w:cs="Times New Roman"/>
                <w:kern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674" w:type="dxa"/>
            <w:vAlign w:val="center"/>
          </w:tcPr>
          <w:p>
            <w:pPr>
              <w:pStyle w:val="14"/>
              <w:topLinePunct/>
              <w:autoSpaceDE/>
              <w:autoSpaceDN/>
              <w:spacing w:line="360" w:lineRule="auto"/>
              <w:jc w:val="center"/>
              <w:rPr>
                <w:rFonts w:ascii="Times New Roman" w:hAnsi="Times New Roman" w:cs="Times New Roman"/>
                <w:kern w:val="21"/>
                <w:sz w:val="21"/>
                <w:szCs w:val="21"/>
              </w:rPr>
            </w:pPr>
            <w:r>
              <w:rPr>
                <w:rFonts w:hint="eastAsia" w:ascii="Times New Roman" w:hAnsi="Times New Roman" w:cs="Times New Roman"/>
                <w:kern w:val="21"/>
                <w:sz w:val="21"/>
                <w:szCs w:val="21"/>
                <w:lang w:eastAsia="zh-CN"/>
              </w:rPr>
              <w:t>3</w:t>
            </w:r>
          </w:p>
        </w:tc>
        <w:tc>
          <w:tcPr>
            <w:tcW w:w="1995" w:type="dxa"/>
            <w:vAlign w:val="center"/>
          </w:tcPr>
          <w:p>
            <w:pPr>
              <w:pStyle w:val="14"/>
              <w:topLinePunct/>
              <w:autoSpaceDE/>
              <w:autoSpaceDN/>
              <w:spacing w:line="360" w:lineRule="auto"/>
              <w:jc w:val="center"/>
              <w:rPr>
                <w:rFonts w:ascii="Times New Roman" w:hAnsi="Times New Roman" w:cs="Times New Roman"/>
                <w:kern w:val="21"/>
                <w:sz w:val="21"/>
                <w:szCs w:val="21"/>
              </w:rPr>
            </w:pPr>
            <w:r>
              <w:rPr>
                <w:rFonts w:hint="eastAsia" w:ascii="Times New Roman" w:hAnsi="Times New Roman" w:cs="Times New Roman"/>
                <w:kern w:val="21"/>
                <w:sz w:val="21"/>
                <w:szCs w:val="21"/>
                <w:lang w:val="en-US" w:eastAsia="zh-CN"/>
              </w:rPr>
              <w:t>测试、</w:t>
            </w:r>
            <w:r>
              <w:rPr>
                <w:rFonts w:ascii="Times New Roman" w:hAnsi="Times New Roman" w:cs="Times New Roman"/>
                <w:kern w:val="21"/>
                <w:sz w:val="21"/>
                <w:szCs w:val="21"/>
              </w:rPr>
              <w:t>安装、调试</w:t>
            </w:r>
          </w:p>
          <w:p>
            <w:pPr>
              <w:pStyle w:val="14"/>
              <w:topLinePunct/>
              <w:autoSpaceDE/>
              <w:autoSpaceDN/>
              <w:spacing w:line="360" w:lineRule="auto"/>
              <w:jc w:val="center"/>
              <w:rPr>
                <w:rFonts w:hint="eastAsia" w:ascii="Times New Roman" w:hAnsi="Times New Roman" w:eastAsia="宋体" w:cs="Times New Roman"/>
                <w:kern w:val="21"/>
                <w:sz w:val="21"/>
                <w:szCs w:val="21"/>
                <w:lang w:val="en-US" w:eastAsia="zh-CN"/>
              </w:rPr>
            </w:pPr>
            <w:r>
              <w:rPr>
                <w:rFonts w:hint="eastAsia" w:ascii="Times New Roman" w:hAnsi="Times New Roman" w:cs="Times New Roman"/>
                <w:kern w:val="21"/>
                <w:sz w:val="21"/>
                <w:szCs w:val="21"/>
                <w:lang w:val="en-US" w:eastAsia="zh-CN"/>
              </w:rPr>
              <w:t>服务</w:t>
            </w:r>
          </w:p>
        </w:tc>
        <w:tc>
          <w:tcPr>
            <w:tcW w:w="3069" w:type="dxa"/>
            <w:vAlign w:val="center"/>
          </w:tcPr>
          <w:p>
            <w:pPr>
              <w:topLinePunct/>
              <w:autoSpaceDE/>
              <w:autoSpaceDN/>
              <w:spacing w:line="360" w:lineRule="auto"/>
              <w:jc w:val="left"/>
              <w:rPr>
                <w:rFonts w:hint="eastAsia" w:ascii="Times New Roman" w:hAnsi="Times New Roman" w:eastAsia="宋体" w:cs="Times New Roman"/>
                <w:kern w:val="21"/>
                <w:lang w:val="en-US" w:eastAsia="zh-CN"/>
              </w:rPr>
            </w:pPr>
            <w:r>
              <w:rPr>
                <w:rFonts w:hint="eastAsia" w:ascii="Times New Roman" w:hAnsi="Times New Roman" w:eastAsia="宋体" w:cs="Times New Roman"/>
                <w:kern w:val="21"/>
                <w:lang w:val="en-US" w:eastAsia="zh-CN"/>
              </w:rPr>
              <w:t>/</w:t>
            </w:r>
            <w:bookmarkStart w:id="21" w:name="_GoBack"/>
            <w:bookmarkEnd w:id="21"/>
          </w:p>
        </w:tc>
        <w:tc>
          <w:tcPr>
            <w:tcW w:w="679" w:type="dxa"/>
            <w:vAlign w:val="center"/>
          </w:tcPr>
          <w:p>
            <w:pPr>
              <w:pStyle w:val="14"/>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套</w:t>
            </w:r>
          </w:p>
        </w:tc>
        <w:tc>
          <w:tcPr>
            <w:tcW w:w="769" w:type="dxa"/>
            <w:vAlign w:val="center"/>
          </w:tcPr>
          <w:p>
            <w:pPr>
              <w:pStyle w:val="14"/>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1</w:t>
            </w:r>
          </w:p>
        </w:tc>
        <w:tc>
          <w:tcPr>
            <w:tcW w:w="1093" w:type="dxa"/>
            <w:vAlign w:val="center"/>
          </w:tcPr>
          <w:p>
            <w:pPr>
              <w:topLinePunct/>
              <w:autoSpaceDE/>
              <w:autoSpaceDN/>
              <w:spacing w:line="360" w:lineRule="auto"/>
              <w:jc w:val="center"/>
              <w:rPr>
                <w:rFonts w:ascii="Times New Roman" w:hAnsi="Times New Roman" w:cs="Times New Roman"/>
                <w:kern w:val="21"/>
              </w:rPr>
            </w:pPr>
          </w:p>
        </w:tc>
      </w:tr>
    </w:tbl>
    <w:p>
      <w:pPr>
        <w:pStyle w:val="2"/>
        <w:topLinePunct/>
        <w:autoSpaceDE/>
        <w:autoSpaceDN/>
        <w:spacing w:line="360" w:lineRule="auto"/>
        <w:rPr>
          <w:rFonts w:ascii="Times New Roman" w:hAnsi="Times New Roman" w:cs="Times New Roman"/>
          <w:kern w:val="21"/>
        </w:rPr>
      </w:pPr>
    </w:p>
    <w:p>
      <w:pPr>
        <w:topLinePunct/>
        <w:autoSpaceDE/>
        <w:autoSpaceDN/>
        <w:spacing w:line="360" w:lineRule="auto"/>
        <w:outlineLvl w:val="0"/>
        <w:rPr>
          <w:rFonts w:ascii="Times New Roman" w:hAnsi="Times New Roman" w:eastAsia="宋体" w:cs="Times New Roman"/>
          <w:b/>
          <w:bCs/>
          <w:kern w:val="21"/>
          <w:sz w:val="24"/>
          <w:szCs w:val="24"/>
        </w:rPr>
      </w:pPr>
      <w:bookmarkStart w:id="2" w:name="_Toc8467"/>
      <w:r>
        <w:rPr>
          <w:rFonts w:ascii="Times New Roman" w:hAnsi="Times New Roman" w:eastAsia="宋体" w:cs="Times New Roman"/>
          <w:b/>
          <w:bCs/>
          <w:kern w:val="21"/>
          <w:sz w:val="24"/>
          <w:szCs w:val="24"/>
        </w:rPr>
        <w:t>2.</w:t>
      </w:r>
      <w:r>
        <w:rPr>
          <w:rFonts w:hint="eastAsia" w:ascii="Times New Roman" w:hAnsi="Times New Roman" w:eastAsia="宋体" w:cs="Times New Roman"/>
          <w:b/>
          <w:bCs/>
          <w:kern w:val="21"/>
          <w:sz w:val="24"/>
          <w:szCs w:val="24"/>
          <w:lang w:eastAsia="zh-CN"/>
        </w:rPr>
        <w:t>3</w:t>
      </w:r>
      <w:r>
        <w:rPr>
          <w:rFonts w:ascii="Times New Roman" w:hAnsi="Times New Roman" w:eastAsia="宋体" w:cs="Times New Roman"/>
          <w:kern w:val="21"/>
          <w:sz w:val="24"/>
          <w:szCs w:val="24"/>
        </w:rPr>
        <w:t xml:space="preserve"> </w:t>
      </w:r>
      <w:r>
        <w:rPr>
          <w:rFonts w:ascii="Times New Roman" w:hAnsi="Times New Roman" w:eastAsia="宋体" w:cs="Times New Roman"/>
          <w:b/>
          <w:bCs/>
          <w:kern w:val="21"/>
          <w:sz w:val="24"/>
          <w:szCs w:val="24"/>
        </w:rPr>
        <w:t>服务范围</w:t>
      </w:r>
      <w:bookmarkEnd w:id="2"/>
    </w:p>
    <w:p>
      <w:pPr>
        <w:topLinePunct/>
        <w:autoSpaceDE/>
        <w:autoSpaceDN/>
        <w:spacing w:line="360" w:lineRule="auto"/>
        <w:outlineLvl w:val="0"/>
        <w:rPr>
          <w:rFonts w:ascii="Times New Roman" w:hAnsi="Times New Roman" w:eastAsia="宋体" w:cs="Times New Roman"/>
          <w:kern w:val="21"/>
          <w:lang w:eastAsia="zh-CN"/>
        </w:rPr>
      </w:pPr>
      <w:bookmarkStart w:id="3" w:name="_Toc23151"/>
      <w:r>
        <w:rPr>
          <w:rFonts w:hint="eastAsia" w:ascii="Times New Roman" w:hAnsi="Times New Roman" w:eastAsia="宋体" w:cs="Times New Roman"/>
          <w:kern w:val="21"/>
          <w:lang w:eastAsia="zh-CN"/>
        </w:rPr>
        <w:t>2.3.1 从投标方至招标方指定位置的运输全部由投标方完成。</w:t>
      </w:r>
      <w:bookmarkEnd w:id="3"/>
    </w:p>
    <w:p>
      <w:pPr>
        <w:topLinePunct/>
        <w:autoSpaceDE/>
        <w:autoSpaceDN/>
        <w:spacing w:line="360" w:lineRule="auto"/>
        <w:outlineLvl w:val="0"/>
        <w:rPr>
          <w:rFonts w:ascii="Times New Roman" w:hAnsi="Times New Roman" w:eastAsia="宋体" w:cs="Times New Roman"/>
          <w:kern w:val="21"/>
          <w:lang w:eastAsia="zh-CN"/>
        </w:rPr>
      </w:pPr>
      <w:bookmarkStart w:id="4" w:name="_Toc6925"/>
      <w:r>
        <w:rPr>
          <w:rFonts w:hint="eastAsia" w:ascii="Times New Roman" w:hAnsi="Times New Roman" w:eastAsia="宋体" w:cs="Times New Roman"/>
          <w:kern w:val="21"/>
          <w:lang w:eastAsia="zh-CN"/>
        </w:rPr>
        <w:t>2.3.2 投标方协助招标方按验收标准检查产品的到货质量，必要时投标方需提供现场安装或试验的技术指导，对安装和运行人员免费培训。</w:t>
      </w:r>
      <w:bookmarkEnd w:id="4"/>
    </w:p>
    <w:p>
      <w:pPr>
        <w:topLinePunct/>
        <w:autoSpaceDE/>
        <w:autoSpaceDN/>
        <w:spacing w:line="360" w:lineRule="auto"/>
        <w:outlineLvl w:val="0"/>
        <w:rPr>
          <w:rFonts w:ascii="Times New Roman" w:hAnsi="Times New Roman" w:eastAsia="宋体" w:cs="Times New Roman"/>
          <w:kern w:val="21"/>
          <w:lang w:eastAsia="zh-CN"/>
        </w:rPr>
      </w:pPr>
      <w:bookmarkStart w:id="5" w:name="_Toc11281"/>
      <w:r>
        <w:rPr>
          <w:rFonts w:ascii="Times New Roman" w:hAnsi="Times New Roman" w:eastAsia="宋体" w:cs="Times New Roman"/>
          <w:kern w:val="21"/>
          <w:lang w:eastAsia="zh-CN"/>
        </w:rPr>
        <w:t>2.</w:t>
      </w:r>
      <w:r>
        <w:rPr>
          <w:rFonts w:hint="eastAsia" w:ascii="Times New Roman" w:hAnsi="Times New Roman" w:eastAsia="宋体" w:cs="Times New Roman"/>
          <w:kern w:val="21"/>
          <w:lang w:eastAsia="zh-CN"/>
        </w:rPr>
        <w:t>3</w:t>
      </w:r>
      <w:r>
        <w:rPr>
          <w:rFonts w:ascii="Times New Roman" w:hAnsi="Times New Roman" w:eastAsia="宋体" w:cs="Times New Roman"/>
          <w:kern w:val="21"/>
          <w:lang w:eastAsia="zh-CN"/>
        </w:rPr>
        <w:t>.3</w:t>
      </w:r>
      <w:r>
        <w:rPr>
          <w:rFonts w:hint="eastAsia" w:ascii="Times New Roman" w:hAnsi="Times New Roman" w:eastAsia="宋体" w:cs="Times New Roman"/>
          <w:kern w:val="21"/>
          <w:lang w:eastAsia="zh-CN"/>
        </w:rPr>
        <w:t xml:space="preserve"> </w:t>
      </w:r>
      <w:r>
        <w:rPr>
          <w:rFonts w:ascii="Times New Roman" w:hAnsi="Times New Roman" w:eastAsia="宋体" w:cs="Times New Roman"/>
          <w:kern w:val="21"/>
          <w:lang w:eastAsia="zh-CN"/>
        </w:rPr>
        <w:t>投标方为招标方提供至少两年的</w:t>
      </w:r>
      <w:r>
        <w:rPr>
          <w:rFonts w:hint="eastAsia" w:ascii="Times New Roman" w:hAnsi="Times New Roman" w:eastAsia="宋体" w:cs="Times New Roman"/>
          <w:kern w:val="21"/>
          <w:lang w:eastAsia="zh-CN"/>
        </w:rPr>
        <w:t>基于故障录波器的10kV小电阻接地系统高阻接地故障检测</w:t>
      </w:r>
      <w:r>
        <w:rPr>
          <w:rFonts w:hint="eastAsia" w:ascii="Times New Roman" w:hAnsi="Times New Roman" w:eastAsia="宋体" w:cs="Times New Roman"/>
          <w:kern w:val="21"/>
          <w:lang w:val="en-US" w:eastAsia="zh-CN"/>
        </w:rPr>
        <w:t>的</w:t>
      </w:r>
      <w:r>
        <w:rPr>
          <w:rFonts w:hint="eastAsia" w:ascii="Times New Roman" w:hAnsi="Times New Roman" w:eastAsia="宋体" w:cs="Times New Roman"/>
          <w:kern w:val="21"/>
          <w:lang w:eastAsia="zh-CN"/>
        </w:rPr>
        <w:t>质量保障</w:t>
      </w:r>
      <w:r>
        <w:rPr>
          <w:rFonts w:ascii="Times New Roman" w:hAnsi="Times New Roman" w:eastAsia="宋体" w:cs="Times New Roman"/>
          <w:kern w:val="21"/>
          <w:lang w:eastAsia="zh-CN"/>
        </w:rPr>
        <w:t>服务</w:t>
      </w:r>
      <w:r>
        <w:rPr>
          <w:rFonts w:hint="eastAsia" w:ascii="Times New Roman" w:hAnsi="Times New Roman" w:eastAsia="宋体" w:cs="Times New Roman"/>
          <w:kern w:val="21"/>
          <w:lang w:eastAsia="zh-CN"/>
        </w:rPr>
        <w:t>，</w:t>
      </w:r>
      <w:r>
        <w:rPr>
          <w:rFonts w:ascii="Times New Roman" w:hAnsi="Times New Roman" w:eastAsia="宋体" w:cs="Times New Roman"/>
          <w:kern w:val="21"/>
          <w:lang w:eastAsia="zh-CN"/>
        </w:rPr>
        <w:t>三年内投标方负责免费维修、更换。</w:t>
      </w:r>
      <w:bookmarkEnd w:id="5"/>
    </w:p>
    <w:p>
      <w:pPr>
        <w:topLinePunct/>
        <w:autoSpaceDE/>
        <w:autoSpaceDN/>
        <w:spacing w:line="360" w:lineRule="auto"/>
        <w:outlineLvl w:val="0"/>
        <w:rPr>
          <w:lang w:eastAsia="zh-CN"/>
        </w:rPr>
      </w:pPr>
      <w:bookmarkStart w:id="6" w:name="_Toc30113"/>
      <w:r>
        <w:rPr>
          <w:rFonts w:ascii="Times New Roman" w:hAnsi="Times New Roman" w:eastAsia="宋体" w:cs="Times New Roman"/>
          <w:kern w:val="21"/>
          <w:lang w:eastAsia="zh-CN"/>
        </w:rPr>
        <w:t>2.</w:t>
      </w:r>
      <w:r>
        <w:rPr>
          <w:rFonts w:hint="eastAsia" w:ascii="Times New Roman" w:hAnsi="Times New Roman" w:eastAsia="宋体" w:cs="Times New Roman"/>
          <w:kern w:val="21"/>
          <w:lang w:eastAsia="zh-CN"/>
        </w:rPr>
        <w:t>3</w:t>
      </w:r>
      <w:r>
        <w:rPr>
          <w:rFonts w:ascii="Times New Roman" w:hAnsi="Times New Roman" w:eastAsia="宋体" w:cs="Times New Roman"/>
          <w:kern w:val="21"/>
          <w:lang w:eastAsia="zh-CN"/>
        </w:rPr>
        <w:t>.4 投标方应协助招标方解决</w:t>
      </w:r>
      <w:r>
        <w:rPr>
          <w:rFonts w:hint="eastAsia" w:ascii="Times New Roman" w:hAnsi="Times New Roman" w:eastAsia="宋体" w:cs="Times New Roman"/>
          <w:kern w:val="21"/>
          <w:lang w:val="en-US" w:eastAsia="zh-CN"/>
        </w:rPr>
        <w:t>设备</w:t>
      </w:r>
      <w:r>
        <w:rPr>
          <w:rFonts w:ascii="Times New Roman" w:hAnsi="Times New Roman" w:eastAsia="宋体" w:cs="Times New Roman"/>
          <w:kern w:val="21"/>
          <w:lang w:eastAsia="zh-CN"/>
        </w:rPr>
        <w:t>运行中出现的问题。</w:t>
      </w:r>
      <w:bookmarkEnd w:id="6"/>
      <w:bookmarkStart w:id="7" w:name="bookmark4"/>
      <w:bookmarkEnd w:id="7"/>
      <w:bookmarkStart w:id="8" w:name="bookmark5"/>
      <w:bookmarkEnd w:id="8"/>
      <w:bookmarkStart w:id="9" w:name="bookmark6"/>
      <w:bookmarkEnd w:id="9"/>
      <w:bookmarkStart w:id="10" w:name="bookmark7"/>
      <w:bookmarkEnd w:id="10"/>
    </w:p>
    <w:p>
      <w:pPr>
        <w:pStyle w:val="4"/>
        <w:rPr>
          <w:lang w:eastAsia="zh-CN"/>
        </w:rPr>
      </w:pPr>
      <w:bookmarkStart w:id="11" w:name="_Toc905"/>
      <w:r>
        <w:rPr>
          <w:lang w:eastAsia="zh-CN"/>
        </w:rPr>
        <w:t xml:space="preserve">3 </w:t>
      </w:r>
      <w:r>
        <w:rPr>
          <w:rFonts w:hint="eastAsia"/>
          <w:lang w:eastAsia="zh-CN"/>
        </w:rPr>
        <w:t xml:space="preserve"> </w:t>
      </w:r>
      <w:r>
        <w:rPr>
          <w:lang w:eastAsia="zh-CN"/>
        </w:rPr>
        <w:t>应遵循的主要标准</w:t>
      </w:r>
      <w:bookmarkEnd w:id="11"/>
    </w:p>
    <w:p>
      <w:pPr>
        <w:topLinePunct/>
        <w:autoSpaceDE/>
        <w:autoSpaceDN/>
        <w:spacing w:line="360" w:lineRule="auto"/>
        <w:outlineLvl w:val="6"/>
        <w:rPr>
          <w:rFonts w:ascii="Times New Roman" w:hAnsi="Times New Roman" w:eastAsia="宋体" w:cs="Times New Roman"/>
          <w:kern w:val="21"/>
          <w:sz w:val="24"/>
          <w:szCs w:val="24"/>
          <w:lang w:eastAsia="zh-CN"/>
        </w:rPr>
      </w:pPr>
      <w:r>
        <w:rPr>
          <w:rFonts w:ascii="Times New Roman" w:hAnsi="Times New Roman" w:eastAsia="宋体" w:cs="Times New Roman"/>
          <w:b/>
          <w:bCs/>
          <w:kern w:val="21"/>
          <w:sz w:val="24"/>
          <w:szCs w:val="24"/>
          <w:lang w:eastAsia="zh-CN"/>
        </w:rPr>
        <w:t>3.1 应遵循的主要现行标准</w:t>
      </w:r>
    </w:p>
    <w:p>
      <w:pPr>
        <w:topLinePunct/>
        <w:autoSpaceDE/>
        <w:autoSpaceDN/>
        <w:spacing w:line="360" w:lineRule="auto"/>
        <w:ind w:firstLine="41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投标方所提供的产品均按规定的标准和规程的最新版本进行设计、制造、试验和</w:t>
      </w:r>
      <w:r>
        <w:rPr>
          <w:rFonts w:hint="eastAsia" w:ascii="Times New Roman" w:hAnsi="Times New Roman" w:eastAsia="宋体" w:cs="Times New Roman"/>
          <w:kern w:val="21"/>
          <w:lang w:eastAsia="zh-CN"/>
        </w:rPr>
        <w:t>安装。</w:t>
      </w:r>
      <w:r>
        <w:rPr>
          <w:rFonts w:ascii="Times New Roman" w:hAnsi="Times New Roman" w:eastAsia="宋体" w:cs="Times New Roman"/>
          <w:kern w:val="21"/>
          <w:lang w:eastAsia="zh-CN"/>
        </w:rPr>
        <w:t>如果这些标准内容有矛盾时，应按最高标准的条款执行或按双方商定的标准执行。主要引用标准如下：</w:t>
      </w:r>
    </w:p>
    <w:p>
      <w:pPr>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GB2423.1-89</w:t>
      </w:r>
      <w:r>
        <w:rPr>
          <w:rFonts w:hint="eastAsia" w:ascii="Times New Roman" w:hAnsi="Times New Roman" w:eastAsia="宋体" w:cs="Times New Roman"/>
          <w:kern w:val="21"/>
          <w:lang w:eastAsia="zh-CN"/>
        </w:rPr>
        <w:t xml:space="preserve">     </w:t>
      </w:r>
      <w:r>
        <w:rPr>
          <w:rFonts w:ascii="Times New Roman" w:hAnsi="Times New Roman" w:eastAsia="宋体" w:cs="Times New Roman"/>
          <w:kern w:val="21"/>
          <w:lang w:eastAsia="zh-CN"/>
        </w:rPr>
        <w:t>《电工电子产品基本环境试验规程试验A:低温试验方法》</w:t>
      </w:r>
    </w:p>
    <w:p>
      <w:pPr>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GB/T2423.4-93</w:t>
      </w:r>
      <w:r>
        <w:rPr>
          <w:rFonts w:hint="eastAsia" w:ascii="Times New Roman" w:hAnsi="Times New Roman" w:eastAsia="宋体" w:cs="Times New Roman"/>
          <w:kern w:val="21"/>
          <w:lang w:eastAsia="zh-CN"/>
        </w:rPr>
        <w:t xml:space="preserve"> </w:t>
      </w:r>
      <w:r>
        <w:rPr>
          <w:rFonts w:ascii="Times New Roman" w:hAnsi="Times New Roman" w:eastAsia="宋体" w:cs="Times New Roman"/>
          <w:kern w:val="21"/>
          <w:lang w:eastAsia="zh-CN"/>
        </w:rPr>
        <w:t>《电工电子产品基本环境试验规程试验Db:交变湿热实验方法》</w:t>
      </w:r>
    </w:p>
    <w:p>
      <w:pPr>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GB2423.16-81</w:t>
      </w:r>
      <w:r>
        <w:rPr>
          <w:rFonts w:hint="eastAsia" w:ascii="Times New Roman" w:hAnsi="Times New Roman" w:eastAsia="宋体" w:cs="Times New Roman"/>
          <w:kern w:val="21"/>
          <w:lang w:eastAsia="zh-CN"/>
        </w:rPr>
        <w:t xml:space="preserve">   </w:t>
      </w:r>
      <w:r>
        <w:rPr>
          <w:rFonts w:ascii="Times New Roman" w:hAnsi="Times New Roman" w:eastAsia="宋体" w:cs="Times New Roman"/>
          <w:kern w:val="21"/>
          <w:lang w:eastAsia="zh-CN"/>
        </w:rPr>
        <w:t>《电工电子产品基本环境试验规程试验J:长霉试验方法》</w:t>
      </w:r>
    </w:p>
    <w:p>
      <w:pPr>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GB/T2423.17-93《电工电子产品基本环境试验规程试验</w:t>
      </w:r>
      <w:r>
        <w:rPr>
          <w:rFonts w:ascii="Times New Roman" w:hAnsi="Times New Roman" w:eastAsia="Times New Roman" w:cs="Times New Roman"/>
          <w:kern w:val="21"/>
          <w:lang w:eastAsia="zh-CN"/>
        </w:rPr>
        <w:t>Ka:</w:t>
      </w:r>
      <w:r>
        <w:rPr>
          <w:rFonts w:ascii="Times New Roman" w:hAnsi="Times New Roman" w:eastAsia="宋体" w:cs="Times New Roman"/>
          <w:kern w:val="21"/>
          <w:lang w:eastAsia="zh-CN"/>
        </w:rPr>
        <w:t>盐雾实验方法》</w:t>
      </w:r>
    </w:p>
    <w:p>
      <w:pPr>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GB2423.37-89</w:t>
      </w:r>
      <w:r>
        <w:rPr>
          <w:rFonts w:hint="eastAsia" w:ascii="Times New Roman" w:hAnsi="Times New Roman" w:eastAsia="宋体" w:cs="Times New Roman"/>
          <w:kern w:val="21"/>
          <w:lang w:eastAsia="zh-CN"/>
        </w:rPr>
        <w:t xml:space="preserve">    </w:t>
      </w:r>
      <w:r>
        <w:rPr>
          <w:rFonts w:ascii="Times New Roman" w:hAnsi="Times New Roman" w:eastAsia="宋体" w:cs="Times New Roman"/>
          <w:kern w:val="21"/>
          <w:lang w:eastAsia="zh-CN"/>
        </w:rPr>
        <w:t>《电工电子产品基本环境试验规程―试验L:沙尘试验方法》</w:t>
      </w:r>
    </w:p>
    <w:p>
      <w:pPr>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GBT 4208-2017</w:t>
      </w:r>
      <w:r>
        <w:rPr>
          <w:rFonts w:hint="eastAsia" w:ascii="Times New Roman" w:hAnsi="Times New Roman" w:eastAsia="宋体" w:cs="Times New Roman"/>
          <w:kern w:val="21"/>
          <w:lang w:eastAsia="zh-CN"/>
        </w:rPr>
        <w:t xml:space="preserve">  </w:t>
      </w:r>
      <w:r>
        <w:rPr>
          <w:rFonts w:ascii="Times New Roman" w:hAnsi="Times New Roman" w:eastAsia="宋体" w:cs="Times New Roman"/>
          <w:kern w:val="21"/>
          <w:lang w:eastAsia="zh-CN"/>
        </w:rPr>
        <w:t>《外壳防护等级(IP代码）》</w:t>
      </w:r>
    </w:p>
    <w:p>
      <w:pPr>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GB6833.2-87</w:t>
      </w:r>
      <w:r>
        <w:rPr>
          <w:rFonts w:hint="eastAsia" w:ascii="Times New Roman" w:hAnsi="Times New Roman" w:eastAsia="宋体" w:cs="Times New Roman"/>
          <w:kern w:val="21"/>
          <w:lang w:eastAsia="zh-CN"/>
        </w:rPr>
        <w:t xml:space="preserve">       </w:t>
      </w:r>
      <w:r>
        <w:rPr>
          <w:rFonts w:ascii="Times New Roman" w:hAnsi="Times New Roman" w:eastAsia="宋体" w:cs="Times New Roman"/>
          <w:kern w:val="21"/>
          <w:lang w:eastAsia="zh-CN"/>
        </w:rPr>
        <w:t>《电子测量仪表电磁兼容性实验规范，磁场敏感度试验》</w:t>
      </w:r>
    </w:p>
    <w:p>
      <w:pPr>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GB6833.3-87</w:t>
      </w:r>
      <w:r>
        <w:rPr>
          <w:rFonts w:hint="eastAsia" w:ascii="Times New Roman" w:hAnsi="Times New Roman" w:eastAsia="宋体" w:cs="Times New Roman"/>
          <w:kern w:val="21"/>
          <w:lang w:eastAsia="zh-CN"/>
        </w:rPr>
        <w:t xml:space="preserve">       </w:t>
      </w:r>
      <w:r>
        <w:rPr>
          <w:rFonts w:ascii="Times New Roman" w:hAnsi="Times New Roman" w:eastAsia="宋体" w:cs="Times New Roman"/>
          <w:kern w:val="21"/>
          <w:lang w:eastAsia="zh-CN"/>
        </w:rPr>
        <w:t>《电子测量仪表电磁兼容性实验规范,静电放电敏感度试验》</w:t>
      </w:r>
    </w:p>
    <w:p>
      <w:pPr>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GB6833.4-87</w:t>
      </w:r>
      <w:r>
        <w:rPr>
          <w:rFonts w:hint="eastAsia" w:ascii="Times New Roman" w:hAnsi="Times New Roman" w:eastAsia="宋体" w:cs="Times New Roman"/>
          <w:kern w:val="21"/>
          <w:lang w:eastAsia="zh-CN"/>
        </w:rPr>
        <w:t xml:space="preserve">       </w:t>
      </w:r>
      <w:r>
        <w:rPr>
          <w:rFonts w:ascii="Times New Roman" w:hAnsi="Times New Roman" w:eastAsia="宋体" w:cs="Times New Roman"/>
          <w:kern w:val="21"/>
          <w:lang w:eastAsia="zh-CN"/>
        </w:rPr>
        <w:t>《电子测量仪表电磁兼容性实验规范，电源瞬态敏感度试验》</w:t>
      </w:r>
    </w:p>
    <w:p>
      <w:pPr>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GB6833.5-87</w:t>
      </w:r>
      <w:r>
        <w:rPr>
          <w:rFonts w:hint="eastAsia" w:ascii="Times New Roman" w:hAnsi="Times New Roman" w:eastAsia="宋体" w:cs="Times New Roman"/>
          <w:kern w:val="21"/>
          <w:lang w:eastAsia="zh-CN"/>
        </w:rPr>
        <w:t xml:space="preserve">      </w:t>
      </w:r>
      <w:r>
        <w:rPr>
          <w:rFonts w:ascii="Times New Roman" w:hAnsi="Times New Roman" w:eastAsia="宋体" w:cs="Times New Roman"/>
          <w:kern w:val="21"/>
          <w:lang w:eastAsia="zh-CN"/>
        </w:rPr>
        <w:t>《电子测量仪表电磁兼容性实验规范，辐射敏感度试验》</w:t>
      </w:r>
    </w:p>
    <w:p>
      <w:pPr>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GB6833.6-87</w:t>
      </w:r>
      <w:r>
        <w:rPr>
          <w:rFonts w:hint="eastAsia" w:ascii="Times New Roman" w:hAnsi="Times New Roman" w:eastAsia="宋体" w:cs="Times New Roman"/>
          <w:kern w:val="21"/>
          <w:lang w:eastAsia="zh-CN"/>
        </w:rPr>
        <w:t xml:space="preserve">      </w:t>
      </w:r>
      <w:r>
        <w:rPr>
          <w:rFonts w:ascii="Times New Roman" w:hAnsi="Times New Roman" w:eastAsia="宋体" w:cs="Times New Roman"/>
          <w:kern w:val="21"/>
          <w:lang w:eastAsia="zh-CN"/>
        </w:rPr>
        <w:t>《电子测量仪表电磁兼容性实验规范，传导敏感度试验》</w:t>
      </w:r>
    </w:p>
    <w:p>
      <w:pPr>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GB/T 9813-2000《微型计算机通用规范》</w:t>
      </w:r>
    </w:p>
    <w:p>
      <w:pPr>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DL/T 667-1999</w:t>
      </w:r>
      <w:r>
        <w:rPr>
          <w:rFonts w:hint="eastAsia" w:ascii="Times New Roman" w:hAnsi="Times New Roman" w:eastAsia="宋体" w:cs="Times New Roman"/>
          <w:kern w:val="21"/>
          <w:lang w:eastAsia="zh-CN"/>
        </w:rPr>
        <w:t xml:space="preserve">  </w:t>
      </w:r>
      <w:r>
        <w:rPr>
          <w:rFonts w:ascii="Times New Roman" w:hAnsi="Times New Roman" w:eastAsia="宋体" w:cs="Times New Roman"/>
          <w:kern w:val="21"/>
          <w:lang w:eastAsia="zh-CN"/>
        </w:rPr>
        <w:t>《继电保护设备信息接口配套标准》</w:t>
      </w:r>
    </w:p>
    <w:p>
      <w:pPr>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DL 5136-2001</w:t>
      </w:r>
      <w:r>
        <w:rPr>
          <w:rFonts w:hint="eastAsia" w:ascii="Times New Roman" w:hAnsi="Times New Roman" w:eastAsia="宋体" w:cs="Times New Roman"/>
          <w:kern w:val="21"/>
          <w:lang w:eastAsia="zh-CN"/>
        </w:rPr>
        <w:t xml:space="preserve">    </w:t>
      </w:r>
      <w:r>
        <w:rPr>
          <w:rFonts w:ascii="Times New Roman" w:hAnsi="Times New Roman" w:eastAsia="宋体" w:cs="Times New Roman"/>
          <w:kern w:val="21"/>
          <w:lang w:eastAsia="zh-CN"/>
        </w:rPr>
        <w:t>《火力发电厂、变电所二次接线设计技术规程》</w:t>
      </w:r>
    </w:p>
    <w:p>
      <w:pPr>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GB4943.1-2011</w:t>
      </w:r>
      <w:r>
        <w:rPr>
          <w:rFonts w:hint="eastAsia" w:ascii="Times New Roman" w:hAnsi="Times New Roman" w:eastAsia="宋体" w:cs="Times New Roman"/>
          <w:kern w:val="21"/>
          <w:lang w:eastAsia="zh-CN"/>
        </w:rPr>
        <w:t xml:space="preserve">  《电子产品安全要求》</w:t>
      </w:r>
    </w:p>
    <w:p>
      <w:pPr>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GB-5023-2008</w:t>
      </w:r>
      <w:r>
        <w:rPr>
          <w:rFonts w:hint="eastAsia" w:ascii="Times New Roman" w:hAnsi="Times New Roman" w:eastAsia="宋体" w:cs="Times New Roman"/>
          <w:kern w:val="21"/>
          <w:lang w:eastAsia="zh-CN"/>
        </w:rPr>
        <w:t xml:space="preserve">    《可开关设备、娱乐、家用电器用塑料绝缘软电线电缆》</w:t>
      </w:r>
    </w:p>
    <w:p>
      <w:pPr>
        <w:topLinePunct/>
        <w:autoSpaceDE/>
        <w:autoSpaceDN/>
        <w:spacing w:line="360" w:lineRule="auto"/>
        <w:ind w:firstLine="420" w:firstLineChars="200"/>
        <w:jc w:val="both"/>
        <w:rPr>
          <w:rFonts w:hint="eastAsia" w:ascii="Times New Roman" w:hAnsi="Times New Roman" w:eastAsia="宋体" w:cs="Times New Roman"/>
          <w:kern w:val="21"/>
          <w:lang w:eastAsia="zh-CN"/>
        </w:rPr>
      </w:pPr>
      <w:r>
        <w:rPr>
          <w:rFonts w:ascii="Times New Roman" w:hAnsi="Times New Roman" w:eastAsia="宋体" w:cs="Times New Roman"/>
          <w:kern w:val="21"/>
          <w:lang w:eastAsia="zh-CN"/>
        </w:rPr>
        <w:t>GB/T 35590-2017</w:t>
      </w:r>
      <w:r>
        <w:rPr>
          <w:rFonts w:hint="eastAsia" w:ascii="Times New Roman" w:hAnsi="Times New Roman" w:eastAsia="宋体" w:cs="Times New Roman"/>
          <w:kern w:val="21"/>
          <w:lang w:eastAsia="zh-CN"/>
        </w:rPr>
        <w:t>《信息技术</w:t>
      </w:r>
      <w:r>
        <w:rPr>
          <w:rFonts w:ascii="Times New Roman" w:hAnsi="Times New Roman" w:eastAsia="宋体" w:cs="Times New Roman"/>
          <w:kern w:val="21"/>
          <w:lang w:eastAsia="zh-CN"/>
        </w:rPr>
        <w:t xml:space="preserve"> </w:t>
      </w:r>
      <w:r>
        <w:rPr>
          <w:rFonts w:hint="eastAsia" w:ascii="Times New Roman" w:hAnsi="Times New Roman" w:eastAsia="宋体" w:cs="Times New Roman"/>
          <w:kern w:val="21"/>
          <w:lang w:eastAsia="zh-CN"/>
        </w:rPr>
        <w:t>便携式数字设备用移动电源通用规范》</w:t>
      </w:r>
    </w:p>
    <w:p>
      <w:pPr>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Q/CSG 10011-2005中国南方电网《220kV</w:t>
      </w:r>
      <w:r>
        <w:rPr>
          <w:rFonts w:hint="eastAsia" w:ascii="Times New Roman" w:hAnsi="Times New Roman" w:eastAsia="宋体" w:cs="Times New Roman"/>
          <w:kern w:val="21"/>
          <w:lang w:eastAsia="zh-CN"/>
        </w:rPr>
        <w:t>~</w:t>
      </w:r>
      <w:r>
        <w:rPr>
          <w:rFonts w:ascii="Times New Roman" w:hAnsi="Times New Roman" w:eastAsia="宋体" w:cs="Times New Roman"/>
          <w:kern w:val="21"/>
          <w:lang w:eastAsia="zh-CN"/>
        </w:rPr>
        <w:t>500kV变电站电气技术导则》</w:t>
      </w:r>
    </w:p>
    <w:p>
      <w:pPr>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Q/CSG 110023-2012《南方电网公司变电站防止电气误操作闭锁装置技术规范》</w:t>
      </w:r>
    </w:p>
    <w:p>
      <w:pPr>
        <w:topLinePunct/>
        <w:autoSpaceDE/>
        <w:autoSpaceDN/>
        <w:spacing w:line="360" w:lineRule="auto"/>
        <w:ind w:firstLine="420" w:firstLineChars="200"/>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南方电网生技〔2017〕6号中国南方电网公司反事故措施（2020年版)</w:t>
      </w:r>
    </w:p>
    <w:p>
      <w:pPr>
        <w:topLinePunct/>
        <w:autoSpaceDE/>
        <w:autoSpaceDN/>
        <w:spacing w:line="360" w:lineRule="auto"/>
        <w:jc w:val="both"/>
        <w:rPr>
          <w:rFonts w:ascii="Times New Roman" w:hAnsi="Times New Roman" w:eastAsia="宋体" w:cs="Times New Roman"/>
          <w:kern w:val="21"/>
          <w:lang w:eastAsia="zh-CN"/>
        </w:rPr>
      </w:pPr>
      <w:r>
        <w:rPr>
          <w:rFonts w:ascii="Times New Roman" w:hAnsi="Times New Roman" w:eastAsia="宋体" w:cs="Times New Roman"/>
          <w:kern w:val="21"/>
          <w:lang w:eastAsia="zh-CN"/>
        </w:rPr>
        <w:t>以上标准如有新版本，按最新版本执行。</w:t>
      </w:r>
    </w:p>
    <w:p>
      <w:pPr>
        <w:topLinePunct/>
        <w:autoSpaceDE/>
        <w:autoSpaceDN/>
        <w:spacing w:line="360" w:lineRule="auto"/>
        <w:rPr>
          <w:rFonts w:ascii="Times New Roman" w:hAnsi="Times New Roman" w:eastAsia="宋体" w:cs="Times New Roman"/>
          <w:kern w:val="21"/>
          <w:lang w:eastAsia="zh-CN"/>
        </w:rPr>
      </w:pPr>
    </w:p>
    <w:p>
      <w:pPr>
        <w:topLinePunct/>
        <w:autoSpaceDE/>
        <w:autoSpaceDN/>
        <w:spacing w:line="360" w:lineRule="auto"/>
        <w:outlineLvl w:val="6"/>
        <w:rPr>
          <w:rFonts w:ascii="Times New Roman" w:hAnsi="Times New Roman" w:eastAsia="宋体" w:cs="Times New Roman"/>
          <w:kern w:val="21"/>
          <w:lang w:eastAsia="zh-CN"/>
        </w:rPr>
      </w:pPr>
      <w:r>
        <w:rPr>
          <w:rFonts w:ascii="Times New Roman" w:hAnsi="Times New Roman" w:eastAsia="宋体" w:cs="Times New Roman"/>
          <w:b/>
          <w:bCs/>
          <w:kern w:val="21"/>
          <w:sz w:val="24"/>
          <w:szCs w:val="24"/>
          <w:lang w:eastAsia="zh-CN"/>
        </w:rPr>
        <w:t>3.</w:t>
      </w:r>
      <w:r>
        <w:rPr>
          <w:rFonts w:hint="eastAsia" w:ascii="Times New Roman" w:hAnsi="Times New Roman" w:eastAsia="宋体" w:cs="Times New Roman"/>
          <w:b/>
          <w:bCs/>
          <w:kern w:val="21"/>
          <w:sz w:val="24"/>
          <w:szCs w:val="24"/>
          <w:lang w:eastAsia="zh-CN"/>
        </w:rPr>
        <w:t>2</w:t>
      </w:r>
      <w:r>
        <w:rPr>
          <w:rFonts w:ascii="Times New Roman" w:hAnsi="Times New Roman" w:eastAsia="宋体" w:cs="Times New Roman"/>
          <w:kern w:val="21"/>
          <w:sz w:val="24"/>
          <w:szCs w:val="24"/>
          <w:lang w:eastAsia="zh-CN"/>
        </w:rPr>
        <w:t xml:space="preserve">  </w:t>
      </w:r>
      <w:r>
        <w:rPr>
          <w:rFonts w:hint="eastAsia" w:ascii="Times New Roman" w:hAnsi="Times New Roman" w:eastAsia="宋体" w:cs="Times New Roman"/>
          <w:b/>
          <w:bCs/>
          <w:kern w:val="21"/>
          <w:sz w:val="24"/>
          <w:szCs w:val="24"/>
          <w:lang w:eastAsia="zh-CN"/>
        </w:rPr>
        <w:t>使用条件</w:t>
      </w:r>
    </w:p>
    <w:p>
      <w:pPr>
        <w:topLinePunct/>
        <w:autoSpaceDE/>
        <w:autoSpaceDN/>
        <w:spacing w:line="360" w:lineRule="auto"/>
        <w:ind w:firstLine="420" w:firstLineChars="200"/>
        <w:rPr>
          <w:rFonts w:ascii="Times New Roman" w:hAnsi="Times New Roman" w:eastAsia="宋体" w:cs="Times New Roman"/>
          <w:kern w:val="21"/>
          <w:lang w:eastAsia="zh-CN"/>
        </w:rPr>
      </w:pPr>
      <w:r>
        <w:rPr>
          <w:rFonts w:ascii="Times New Roman" w:hAnsi="Times New Roman" w:eastAsia="宋体" w:cs="Times New Roman"/>
          <w:kern w:val="21"/>
          <w:lang w:eastAsia="zh-CN"/>
        </w:rPr>
        <w:t>本物资招标技术文件所规定的物资技术条款和参数要求，适用下列环境条件使用。</w:t>
      </w:r>
    </w:p>
    <w:p>
      <w:pPr>
        <w:topLinePunct/>
        <w:autoSpaceDE/>
        <w:autoSpaceDN/>
        <w:spacing w:line="360" w:lineRule="auto"/>
        <w:ind w:firstLine="420" w:firstLineChars="200"/>
        <w:rPr>
          <w:rFonts w:hint="eastAsia" w:ascii="Times New Roman" w:hAnsi="Times New Roman" w:eastAsia="宋体" w:cs="Times New Roman"/>
          <w:kern w:val="21"/>
          <w:lang w:eastAsia="zh-CN"/>
        </w:rPr>
      </w:pPr>
      <w:r>
        <w:rPr>
          <w:rFonts w:ascii="Times New Roman" w:hAnsi="Times New Roman" w:eastAsia="宋体" w:cs="Times New Roman"/>
          <w:kern w:val="21"/>
          <w:lang w:eastAsia="zh-CN"/>
        </w:rPr>
        <w:t>环境温度：户内</w:t>
      </w:r>
      <w:r>
        <w:rPr>
          <w:rFonts w:hint="eastAsia" w:ascii="Times New Roman" w:hAnsi="Times New Roman" w:eastAsia="宋体" w:cs="Times New Roman"/>
          <w:kern w:val="21"/>
          <w:lang w:eastAsia="zh-CN"/>
        </w:rPr>
        <w:t>主控室-10</w:t>
      </w:r>
      <w:r>
        <w:rPr>
          <w:rFonts w:ascii="Times New Roman" w:hAnsi="Times New Roman" w:eastAsia="宋体" w:cs="Times New Roman"/>
          <w:kern w:val="21"/>
          <w:lang w:eastAsia="zh-CN"/>
        </w:rPr>
        <w:t>℃</w:t>
      </w:r>
      <w:r>
        <w:rPr>
          <w:rFonts w:hint="eastAsia" w:ascii="Times New Roman" w:hAnsi="Times New Roman" w:eastAsia="宋体" w:cs="Times New Roman"/>
          <w:kern w:val="21"/>
          <w:lang w:eastAsia="zh-CN"/>
        </w:rPr>
        <w:t>~</w:t>
      </w:r>
      <w:r>
        <w:rPr>
          <w:rFonts w:ascii="Times New Roman" w:hAnsi="Times New Roman" w:eastAsia="宋体" w:cs="Times New Roman"/>
          <w:kern w:val="21"/>
          <w:lang w:eastAsia="zh-CN"/>
        </w:rPr>
        <w:t>45℃</w:t>
      </w:r>
    </w:p>
    <w:p>
      <w:pPr>
        <w:topLinePunct/>
        <w:autoSpaceDE/>
        <w:autoSpaceDN/>
        <w:spacing w:line="360" w:lineRule="auto"/>
        <w:ind w:firstLine="420" w:firstLineChars="200"/>
        <w:rPr>
          <w:rFonts w:ascii="Times New Roman" w:hAnsi="Times New Roman" w:eastAsia="宋体" w:cs="Times New Roman"/>
          <w:kern w:val="21"/>
          <w:lang w:eastAsia="zh-CN"/>
        </w:rPr>
      </w:pPr>
      <w:r>
        <w:rPr>
          <w:rFonts w:ascii="Times New Roman" w:hAnsi="Times New Roman" w:eastAsia="宋体" w:cs="Times New Roman"/>
          <w:kern w:val="21"/>
          <w:lang w:eastAsia="zh-CN"/>
        </w:rPr>
        <w:t>相对湿度：日平均</w:t>
      </w:r>
      <w:r>
        <w:rPr>
          <w:rFonts w:hint="eastAsia" w:ascii="Times New Roman" w:hAnsi="Times New Roman" w:eastAsia="宋体" w:cs="Times New Roman"/>
          <w:kern w:val="21"/>
          <w:lang w:eastAsia="zh-CN"/>
        </w:rPr>
        <w:t>≤</w:t>
      </w:r>
      <w:r>
        <w:rPr>
          <w:rFonts w:ascii="Times New Roman" w:hAnsi="Times New Roman" w:eastAsia="宋体" w:cs="Times New Roman"/>
          <w:kern w:val="21"/>
          <w:lang w:eastAsia="zh-CN"/>
        </w:rPr>
        <w:t>95%</w:t>
      </w:r>
      <w:r>
        <w:rPr>
          <w:rFonts w:hint="eastAsia" w:ascii="Times New Roman" w:hAnsi="Times New Roman" w:eastAsia="宋体" w:cs="Times New Roman"/>
          <w:kern w:val="21"/>
          <w:lang w:eastAsia="zh-CN"/>
        </w:rPr>
        <w:t>，</w:t>
      </w:r>
      <w:r>
        <w:rPr>
          <w:rFonts w:ascii="Times New Roman" w:hAnsi="Times New Roman" w:eastAsia="宋体" w:cs="Times New Roman"/>
          <w:kern w:val="21"/>
          <w:lang w:eastAsia="zh-CN"/>
        </w:rPr>
        <w:t>月平均</w:t>
      </w:r>
      <w:r>
        <w:rPr>
          <w:rFonts w:hint="eastAsia" w:ascii="Times New Roman" w:hAnsi="Times New Roman" w:eastAsia="宋体" w:cs="Times New Roman"/>
          <w:kern w:val="21"/>
          <w:lang w:eastAsia="zh-CN"/>
        </w:rPr>
        <w:t>≤</w:t>
      </w:r>
      <w:r>
        <w:rPr>
          <w:rFonts w:ascii="Times New Roman" w:hAnsi="Times New Roman" w:eastAsia="宋体" w:cs="Times New Roman"/>
          <w:kern w:val="21"/>
          <w:lang w:eastAsia="zh-CN"/>
        </w:rPr>
        <w:t>90%</w:t>
      </w:r>
    </w:p>
    <w:p>
      <w:pPr>
        <w:topLinePunct/>
        <w:autoSpaceDE/>
        <w:autoSpaceDN/>
        <w:spacing w:line="360" w:lineRule="auto"/>
        <w:ind w:firstLine="420" w:firstLineChars="200"/>
        <w:rPr>
          <w:rFonts w:ascii="Times New Roman" w:hAnsi="Times New Roman" w:eastAsia="Times New Roman" w:cs="Times New Roman"/>
          <w:kern w:val="21"/>
        </w:rPr>
      </w:pPr>
      <w:r>
        <w:rPr>
          <w:rFonts w:ascii="Times New Roman" w:hAnsi="Times New Roman" w:eastAsia="宋体" w:cs="Times New Roman"/>
          <w:kern w:val="21"/>
        </w:rPr>
        <w:t>抗震能力：地面水平加速度0.3</w:t>
      </w:r>
      <w:r>
        <w:rPr>
          <w:rFonts w:ascii="Times New Roman" w:hAnsi="Times New Roman" w:eastAsia="Times New Roman" w:cs="Times New Roman"/>
          <w:kern w:val="21"/>
        </w:rPr>
        <w:t>g</w:t>
      </w:r>
      <w:r>
        <w:rPr>
          <w:rFonts w:hint="eastAsia" w:ascii="Times New Roman" w:hAnsi="Times New Roman" w:eastAsia="宋体" w:cs="Times New Roman"/>
          <w:kern w:val="21"/>
          <w:lang w:eastAsia="zh-CN"/>
        </w:rPr>
        <w:t>，</w:t>
      </w:r>
      <w:r>
        <w:rPr>
          <w:rFonts w:ascii="Times New Roman" w:hAnsi="Times New Roman" w:eastAsia="宋体" w:cs="Times New Roman"/>
          <w:kern w:val="21"/>
        </w:rPr>
        <w:t>地面垂直加速度0.15</w:t>
      </w:r>
      <w:r>
        <w:rPr>
          <w:rFonts w:ascii="Times New Roman" w:hAnsi="Times New Roman" w:eastAsia="Times New Roman" w:cs="Times New Roman"/>
          <w:kern w:val="21"/>
        </w:rPr>
        <w:t>g</w:t>
      </w:r>
    </w:p>
    <w:p>
      <w:pPr>
        <w:topLinePunct/>
        <w:autoSpaceDE/>
        <w:autoSpaceDN/>
        <w:spacing w:line="360" w:lineRule="auto"/>
        <w:ind w:firstLine="420" w:firstLineChars="200"/>
        <w:rPr>
          <w:rFonts w:ascii="Times New Roman" w:hAnsi="Times New Roman" w:eastAsia="宋体" w:cs="Times New Roman"/>
          <w:kern w:val="21"/>
          <w:lang w:eastAsia="zh-CN"/>
        </w:rPr>
      </w:pPr>
      <w:r>
        <w:rPr>
          <w:rFonts w:ascii="Times New Roman" w:hAnsi="Times New Roman" w:eastAsia="宋体" w:cs="Times New Roman"/>
          <w:kern w:val="21"/>
          <w:lang w:eastAsia="zh-CN"/>
        </w:rPr>
        <w:t>海拔高度：</w:t>
      </w:r>
      <w:r>
        <w:rPr>
          <w:rFonts w:hint="eastAsia" w:ascii="Times New Roman" w:hAnsi="Times New Roman" w:eastAsia="宋体" w:cs="Times New Roman"/>
          <w:kern w:val="21"/>
          <w:lang w:eastAsia="zh-CN"/>
        </w:rPr>
        <w:t>≤</w:t>
      </w:r>
      <w:r>
        <w:rPr>
          <w:rFonts w:ascii="Times New Roman" w:hAnsi="Times New Roman" w:eastAsia="宋体" w:cs="Times New Roman"/>
          <w:kern w:val="21"/>
          <w:lang w:eastAsia="zh-CN"/>
        </w:rPr>
        <w:t>2500m</w:t>
      </w:r>
    </w:p>
    <w:p>
      <w:pPr>
        <w:topLinePunct/>
        <w:autoSpaceDE/>
        <w:autoSpaceDN/>
        <w:spacing w:line="360" w:lineRule="auto"/>
        <w:ind w:firstLine="420" w:firstLineChars="200"/>
        <w:rPr>
          <w:rFonts w:ascii="Times New Roman" w:hAnsi="Times New Roman" w:eastAsia="宋体" w:cs="Times New Roman"/>
          <w:kern w:val="21"/>
          <w:lang w:eastAsia="zh-CN"/>
        </w:rPr>
      </w:pPr>
    </w:p>
    <w:p>
      <w:pPr>
        <w:topLinePunct/>
        <w:autoSpaceDE/>
        <w:autoSpaceDN/>
        <w:spacing w:line="360" w:lineRule="auto"/>
        <w:outlineLvl w:val="6"/>
        <w:rPr>
          <w:rFonts w:ascii="Times New Roman" w:hAnsi="Times New Roman" w:eastAsia="宋体" w:cs="Times New Roman"/>
          <w:kern w:val="21"/>
          <w:sz w:val="24"/>
          <w:szCs w:val="24"/>
          <w:lang w:eastAsia="zh-CN"/>
        </w:rPr>
      </w:pPr>
      <w:r>
        <w:rPr>
          <w:rFonts w:ascii="Times New Roman" w:hAnsi="Times New Roman" w:eastAsia="宋体" w:cs="Times New Roman"/>
          <w:b/>
          <w:bCs/>
          <w:kern w:val="21"/>
          <w:sz w:val="24"/>
          <w:szCs w:val="24"/>
          <w:lang w:eastAsia="zh-CN"/>
        </w:rPr>
        <w:t>3.3</w:t>
      </w:r>
      <w:r>
        <w:rPr>
          <w:rFonts w:ascii="Times New Roman" w:hAnsi="Times New Roman" w:eastAsia="宋体" w:cs="Times New Roman"/>
          <w:kern w:val="21"/>
          <w:sz w:val="24"/>
          <w:szCs w:val="24"/>
          <w:lang w:eastAsia="zh-CN"/>
        </w:rPr>
        <w:t xml:space="preserve">  </w:t>
      </w:r>
      <w:r>
        <w:rPr>
          <w:rFonts w:ascii="Times New Roman" w:hAnsi="Times New Roman" w:eastAsia="宋体" w:cs="Times New Roman"/>
          <w:b/>
          <w:bCs/>
          <w:kern w:val="21"/>
          <w:sz w:val="24"/>
          <w:szCs w:val="24"/>
          <w:lang w:eastAsia="zh-CN"/>
        </w:rPr>
        <w:t>基本技术要求</w:t>
      </w:r>
    </w:p>
    <w:p>
      <w:pPr>
        <w:topLinePunct/>
        <w:autoSpaceDE/>
        <w:autoSpaceDN/>
        <w:spacing w:line="360" w:lineRule="auto"/>
        <w:rPr>
          <w:rFonts w:hint="eastAsia" w:ascii="Times New Roman" w:hAnsi="Times New Roman" w:eastAsia="宋体" w:cs="Times New Roman"/>
          <w:b/>
          <w:bCs/>
          <w:kern w:val="21"/>
          <w:lang w:val="en-US" w:eastAsia="zh-CN"/>
        </w:rPr>
      </w:pPr>
      <w:r>
        <w:rPr>
          <w:rFonts w:hint="eastAsia" w:ascii="Times New Roman" w:hAnsi="Times New Roman" w:eastAsia="宋体" w:cs="Times New Roman"/>
          <w:b/>
          <w:bCs/>
          <w:kern w:val="21"/>
          <w:lang w:eastAsia="zh-CN"/>
        </w:rPr>
        <w:t>1.</w:t>
      </w:r>
      <w:r>
        <w:rPr>
          <w:rFonts w:hint="eastAsia" w:ascii="Times New Roman" w:hAnsi="Times New Roman" w:eastAsia="宋体" w:cs="Times New Roman"/>
          <w:b/>
          <w:bCs/>
          <w:kern w:val="21"/>
          <w:lang w:val="en-US" w:eastAsia="zh-CN"/>
        </w:rPr>
        <w:t>设备功能要求</w:t>
      </w:r>
    </w:p>
    <w:p>
      <w:pPr>
        <w:topLinePunct/>
        <w:autoSpaceDE/>
        <w:autoSpaceDN/>
        <w:spacing w:line="360" w:lineRule="auto"/>
        <w:ind w:firstLine="420" w:firstLineChars="200"/>
        <w:rPr>
          <w:rFonts w:hint="default" w:ascii="Times New Roman" w:hAnsi="Times New Roman" w:eastAsia="宋体" w:cs="Times New Roman"/>
          <w:kern w:val="21"/>
          <w:lang w:val="en-US" w:eastAsia="zh-CN"/>
        </w:rPr>
      </w:pPr>
      <w:r>
        <w:rPr>
          <w:rFonts w:hint="eastAsia" w:ascii="Times New Roman" w:hAnsi="Times New Roman" w:eastAsia="宋体" w:cs="Times New Roman"/>
          <w:kern w:val="21"/>
          <w:lang w:val="en-US" w:eastAsia="zh-CN"/>
        </w:rPr>
        <w:t>借助变电站已有的</w:t>
      </w:r>
      <w:r>
        <w:rPr>
          <w:rFonts w:hint="default" w:ascii="Times New Roman" w:hAnsi="Times New Roman" w:eastAsia="宋体" w:cs="Times New Roman"/>
          <w:kern w:val="21"/>
          <w:lang w:val="en-US" w:eastAsia="zh-CN"/>
        </w:rPr>
        <w:t>故障录波器</w:t>
      </w:r>
      <w:r>
        <w:rPr>
          <w:rFonts w:hint="eastAsia" w:ascii="Times New Roman" w:hAnsi="Times New Roman" w:eastAsia="宋体" w:cs="Times New Roman"/>
          <w:kern w:val="21"/>
          <w:lang w:val="en-US" w:eastAsia="zh-CN"/>
        </w:rPr>
        <w:t>平台，开发</w:t>
      </w:r>
      <w:r>
        <w:rPr>
          <w:rFonts w:hint="eastAsia" w:ascii="Times New Roman" w:hAnsi="Times New Roman" w:eastAsia="宋体" w:cs="Times New Roman"/>
          <w:kern w:val="21"/>
          <w:lang w:eastAsia="zh-CN"/>
        </w:rPr>
        <w:t>一套10kV小电阻接地系统高阻接地故障检测及告警系统，</w:t>
      </w:r>
      <w:r>
        <w:rPr>
          <w:rFonts w:hint="eastAsia" w:ascii="Times New Roman" w:hAnsi="Times New Roman" w:eastAsia="宋体" w:cs="Times New Roman"/>
          <w:kern w:val="21"/>
          <w:lang w:val="en-US" w:eastAsia="zh-CN"/>
        </w:rPr>
        <w:t>具体功能有</w:t>
      </w:r>
      <w:r>
        <w:rPr>
          <w:rFonts w:hint="default" w:ascii="Times New Roman" w:hAnsi="Times New Roman" w:eastAsia="宋体" w:cs="Times New Roman"/>
          <w:kern w:val="21"/>
          <w:lang w:val="en-US" w:eastAsia="zh-CN"/>
        </w:rPr>
        <w:t>：</w:t>
      </w:r>
    </w:p>
    <w:p>
      <w:pPr>
        <w:topLinePunct/>
        <w:autoSpaceDE/>
        <w:autoSpaceDN/>
        <w:spacing w:line="360" w:lineRule="auto"/>
        <w:ind w:firstLine="420" w:firstLineChars="200"/>
        <w:rPr>
          <w:rFonts w:hint="default" w:ascii="Times New Roman" w:hAnsi="Times New Roman" w:eastAsia="宋体" w:cs="Times New Roman"/>
          <w:kern w:val="21"/>
          <w:lang w:val="en-US" w:eastAsia="zh-CN"/>
        </w:rPr>
      </w:pPr>
      <w:r>
        <w:rPr>
          <w:rFonts w:hint="default" w:ascii="Times New Roman" w:hAnsi="Times New Roman" w:eastAsia="宋体" w:cs="Times New Roman"/>
          <w:kern w:val="21"/>
          <w:lang w:val="en-US" w:eastAsia="zh-CN"/>
        </w:rPr>
        <w:t>①故障录波器增加10kV高阻接地故障检测功能模块；</w:t>
      </w:r>
    </w:p>
    <w:p>
      <w:pPr>
        <w:topLinePunct/>
        <w:autoSpaceDE/>
        <w:autoSpaceDN/>
        <w:spacing w:line="360" w:lineRule="auto"/>
        <w:ind w:firstLine="420" w:firstLineChars="200"/>
        <w:rPr>
          <w:rFonts w:hint="default" w:ascii="Times New Roman" w:hAnsi="Times New Roman" w:eastAsia="宋体" w:cs="Times New Roman"/>
          <w:kern w:val="21"/>
          <w:lang w:val="en-US" w:eastAsia="zh-CN"/>
        </w:rPr>
      </w:pPr>
      <w:r>
        <w:rPr>
          <w:rFonts w:hint="default" w:ascii="Times New Roman" w:hAnsi="Times New Roman" w:eastAsia="宋体" w:cs="Times New Roman"/>
          <w:kern w:val="21"/>
          <w:lang w:val="en-US" w:eastAsia="zh-CN"/>
        </w:rPr>
        <w:t>②基于录波已有3U0、3I0采样</w:t>
      </w:r>
      <w:r>
        <w:rPr>
          <w:rFonts w:hint="eastAsia" w:ascii="Times New Roman" w:hAnsi="Times New Roman" w:eastAsia="宋体" w:cs="Times New Roman"/>
          <w:kern w:val="21"/>
          <w:lang w:val="en-US" w:eastAsia="zh-CN"/>
        </w:rPr>
        <w:t>检测</w:t>
      </w:r>
      <w:r>
        <w:rPr>
          <w:rFonts w:hint="default" w:ascii="Times New Roman" w:hAnsi="Times New Roman" w:eastAsia="宋体" w:cs="Times New Roman"/>
          <w:kern w:val="21"/>
          <w:lang w:val="en-US" w:eastAsia="zh-CN"/>
        </w:rPr>
        <w:t>10kV高阻接地故障</w:t>
      </w:r>
      <w:r>
        <w:rPr>
          <w:rFonts w:hint="eastAsia" w:ascii="Times New Roman" w:hAnsi="Times New Roman" w:eastAsia="宋体" w:cs="Times New Roman"/>
          <w:kern w:val="21"/>
          <w:lang w:val="en-US" w:eastAsia="zh-CN"/>
        </w:rPr>
        <w:t>的</w:t>
      </w:r>
      <w:r>
        <w:rPr>
          <w:rFonts w:hint="default" w:ascii="Times New Roman" w:hAnsi="Times New Roman" w:eastAsia="宋体" w:cs="Times New Roman"/>
          <w:kern w:val="21"/>
          <w:lang w:val="en-US" w:eastAsia="zh-CN"/>
        </w:rPr>
        <w:t>算法；</w:t>
      </w:r>
    </w:p>
    <w:p>
      <w:pPr>
        <w:topLinePunct/>
        <w:autoSpaceDE/>
        <w:autoSpaceDN/>
        <w:spacing w:line="360" w:lineRule="auto"/>
        <w:ind w:firstLine="420" w:firstLineChars="200"/>
        <w:rPr>
          <w:rFonts w:hint="eastAsia" w:ascii="Times New Roman" w:hAnsi="Times New Roman" w:eastAsia="宋体" w:cs="Times New Roman"/>
          <w:kern w:val="21"/>
          <w:lang w:val="en-US" w:eastAsia="zh-CN"/>
        </w:rPr>
      </w:pPr>
      <w:r>
        <w:rPr>
          <w:rFonts w:hint="default" w:ascii="Times New Roman" w:hAnsi="Times New Roman" w:eastAsia="宋体" w:cs="Times New Roman"/>
          <w:kern w:val="21"/>
          <w:lang w:val="en-US" w:eastAsia="zh-CN"/>
        </w:rPr>
        <w:t>③故障录波器增加独立的告警输出接点</w:t>
      </w:r>
      <w:r>
        <w:rPr>
          <w:rFonts w:hint="eastAsia" w:ascii="Times New Roman" w:hAnsi="Times New Roman" w:eastAsia="宋体" w:cs="Times New Roman"/>
          <w:kern w:val="21"/>
          <w:lang w:val="en-US" w:eastAsia="zh-CN"/>
        </w:rPr>
        <w:t>。</w:t>
      </w:r>
    </w:p>
    <w:p>
      <w:pPr>
        <w:numPr>
          <w:ilvl w:val="0"/>
          <w:numId w:val="2"/>
        </w:numPr>
        <w:topLinePunct/>
        <w:autoSpaceDE/>
        <w:autoSpaceDN/>
        <w:spacing w:line="360" w:lineRule="auto"/>
        <w:rPr>
          <w:rFonts w:hint="eastAsia" w:ascii="Times New Roman" w:hAnsi="Times New Roman" w:eastAsia="宋体" w:cs="Times New Roman"/>
          <w:b/>
          <w:bCs/>
          <w:kern w:val="21"/>
          <w:lang w:val="en-US" w:eastAsia="zh-CN"/>
        </w:rPr>
      </w:pPr>
      <w:r>
        <w:rPr>
          <w:rFonts w:hint="eastAsia" w:ascii="Times New Roman" w:hAnsi="Times New Roman" w:eastAsia="宋体" w:cs="Times New Roman"/>
          <w:b/>
          <w:bCs/>
          <w:kern w:val="21"/>
          <w:lang w:val="en-US" w:eastAsia="zh-CN"/>
        </w:rPr>
        <w:t>软件性能要求</w:t>
      </w:r>
    </w:p>
    <w:p>
      <w:pPr>
        <w:topLinePunct/>
        <w:autoSpaceDE/>
        <w:autoSpaceDN/>
        <w:spacing w:line="360" w:lineRule="auto"/>
        <w:ind w:firstLine="420" w:firstLineChars="200"/>
        <w:rPr>
          <w:rFonts w:hint="eastAsia" w:ascii="Times New Roman" w:hAnsi="Times New Roman" w:eastAsia="宋体" w:cs="Times New Roman"/>
          <w:kern w:val="21"/>
          <w:lang w:val="en-US" w:eastAsia="zh-CN"/>
        </w:rPr>
      </w:pPr>
      <w:r>
        <w:rPr>
          <w:rFonts w:hint="eastAsia" w:ascii="Times New Roman" w:hAnsi="Times New Roman" w:eastAsia="宋体" w:cs="Times New Roman"/>
          <w:kern w:val="21"/>
          <w:lang w:val="en-US" w:eastAsia="zh-CN"/>
        </w:rPr>
        <w:t>①</w:t>
      </w:r>
      <w:r>
        <w:rPr>
          <w:rFonts w:hint="default" w:ascii="Times New Roman" w:hAnsi="Times New Roman" w:eastAsia="宋体" w:cs="Times New Roman"/>
          <w:kern w:val="21"/>
          <w:lang w:val="en-US" w:eastAsia="zh-CN"/>
        </w:rPr>
        <w:t>10kV高阻接地故障检测功能模块</w:t>
      </w:r>
      <w:r>
        <w:rPr>
          <w:rFonts w:hint="eastAsia" w:ascii="Times New Roman" w:hAnsi="Times New Roman" w:eastAsia="宋体" w:cs="Times New Roman"/>
          <w:kern w:val="21"/>
          <w:lang w:val="en-US" w:eastAsia="zh-CN"/>
        </w:rPr>
        <w:t>，具备间隔配置、通道关联、定值设置等操作界面；</w:t>
      </w:r>
    </w:p>
    <w:p>
      <w:pPr>
        <w:topLinePunct/>
        <w:autoSpaceDE/>
        <w:autoSpaceDN/>
        <w:spacing w:line="360" w:lineRule="auto"/>
        <w:ind w:firstLine="420" w:firstLineChars="200"/>
        <w:rPr>
          <w:rFonts w:hint="eastAsia" w:ascii="Times New Roman" w:hAnsi="Times New Roman" w:eastAsia="宋体" w:cs="Times New Roman"/>
          <w:kern w:val="21"/>
          <w:lang w:val="en-US" w:eastAsia="zh-CN"/>
        </w:rPr>
      </w:pPr>
      <w:r>
        <w:rPr>
          <w:rFonts w:hint="eastAsia" w:ascii="Times New Roman" w:hAnsi="Times New Roman" w:eastAsia="宋体" w:cs="Times New Roman"/>
          <w:kern w:val="21"/>
          <w:lang w:val="en-US" w:eastAsia="zh-CN"/>
        </w:rPr>
        <w:t>②具有高可靠性和准确性的检测算法，对500Ω以下的稳定性、间歇性高阻接地故障具有灵敏度，不误检、不漏检；对1000Ω以内高阻接地故障具有一定的灵敏度；</w:t>
      </w:r>
    </w:p>
    <w:p>
      <w:pPr>
        <w:topLinePunct/>
        <w:autoSpaceDE/>
        <w:autoSpaceDN/>
        <w:spacing w:line="360" w:lineRule="auto"/>
        <w:ind w:firstLine="420" w:firstLineChars="200"/>
        <w:rPr>
          <w:rFonts w:hint="default" w:ascii="Times New Roman" w:hAnsi="Times New Roman" w:eastAsia="宋体" w:cs="Times New Roman"/>
          <w:kern w:val="21"/>
          <w:lang w:val="en-US" w:eastAsia="zh-CN"/>
        </w:rPr>
      </w:pPr>
      <w:r>
        <w:rPr>
          <w:rFonts w:hint="eastAsia" w:ascii="Times New Roman" w:hAnsi="Times New Roman" w:eastAsia="宋体" w:cs="Times New Roman"/>
          <w:kern w:val="21"/>
          <w:lang w:val="en-US" w:eastAsia="zh-CN"/>
        </w:rPr>
        <w:t>③软件兼容性好，运行平稳，能够运行于不同版本的常规录波器和智能录波器。</w:t>
      </w:r>
    </w:p>
    <w:p>
      <w:pPr>
        <w:topLinePunct/>
        <w:autoSpaceDE/>
        <w:autoSpaceDN/>
        <w:spacing w:line="360" w:lineRule="auto"/>
        <w:rPr>
          <w:rFonts w:hint="default" w:ascii="Times New Roman" w:hAnsi="Times New Roman" w:eastAsia="宋体" w:cs="Times New Roman"/>
          <w:b/>
          <w:bCs/>
          <w:kern w:val="21"/>
          <w:lang w:val="en-US" w:eastAsia="zh-CN"/>
        </w:rPr>
      </w:pPr>
      <w:r>
        <w:rPr>
          <w:rFonts w:hint="eastAsia" w:ascii="Times New Roman" w:hAnsi="Times New Roman" w:eastAsia="宋体" w:cs="Times New Roman"/>
          <w:b/>
          <w:bCs/>
          <w:kern w:val="21"/>
          <w:lang w:val="en-US" w:eastAsia="zh-CN"/>
        </w:rPr>
        <w:t>3.硬件性能要求</w:t>
      </w:r>
    </w:p>
    <w:p>
      <w:pPr>
        <w:topLinePunct/>
        <w:autoSpaceDE/>
        <w:autoSpaceDN/>
        <w:spacing w:line="360" w:lineRule="auto"/>
        <w:ind w:firstLine="420" w:firstLineChars="200"/>
        <w:rPr>
          <w:rFonts w:hint="eastAsia" w:ascii="Times New Roman" w:hAnsi="Times New Roman" w:eastAsia="宋体" w:cs="Times New Roman"/>
          <w:kern w:val="21"/>
          <w:lang w:val="en-US" w:eastAsia="zh-CN"/>
        </w:rPr>
      </w:pPr>
      <w:r>
        <w:rPr>
          <w:rFonts w:hint="eastAsia" w:ascii="Times New Roman" w:hAnsi="Times New Roman" w:eastAsia="宋体" w:cs="Times New Roman"/>
          <w:kern w:val="21"/>
          <w:lang w:val="en-US" w:eastAsia="zh-CN"/>
        </w:rPr>
        <w:t xml:space="preserve"> </w:t>
      </w:r>
      <w:r>
        <w:rPr>
          <w:rFonts w:hint="default" w:ascii="Times New Roman" w:hAnsi="Times New Roman" w:eastAsia="宋体" w:cs="Times New Roman"/>
          <w:kern w:val="21"/>
          <w:lang w:val="en-US" w:eastAsia="zh-CN"/>
        </w:rPr>
        <w:t>故障录波器增加独立的告警输出接点</w:t>
      </w:r>
      <w:r>
        <w:rPr>
          <w:rFonts w:hint="eastAsia" w:ascii="Times New Roman" w:hAnsi="Times New Roman" w:eastAsia="宋体" w:cs="Times New Roman"/>
          <w:kern w:val="21"/>
          <w:lang w:val="en-US" w:eastAsia="zh-CN"/>
        </w:rPr>
        <w:t>，当检测到高阻故障时实时驱动告警输出接点。</w:t>
      </w:r>
    </w:p>
    <w:p>
      <w:pPr>
        <w:keepNext w:val="0"/>
        <w:keepLines w:val="0"/>
        <w:pageBreakBefore w:val="0"/>
        <w:widowControl w:val="0"/>
        <w:kinsoku/>
        <w:wordWrap/>
        <w:overflowPunct/>
        <w:topLinePunct w:val="0"/>
        <w:autoSpaceDE/>
        <w:autoSpaceDN/>
        <w:bidi w:val="0"/>
        <w:adjustRightInd/>
        <w:snapToGrid/>
        <w:spacing w:line="300" w:lineRule="auto"/>
        <w:ind w:firstLine="420" w:firstLineChars="200"/>
        <w:textAlignment w:val="auto"/>
        <w:rPr>
          <w:rFonts w:hint="default" w:ascii="Times New Roman" w:hAnsi="Times New Roman" w:eastAsia="宋体" w:cs="Times New Roman"/>
          <w:lang w:val="en-US" w:eastAsia="zh-CN"/>
        </w:rPr>
      </w:pPr>
    </w:p>
    <w:p>
      <w:pPr>
        <w:topLinePunct/>
        <w:autoSpaceDE/>
        <w:autoSpaceDN/>
        <w:spacing w:line="360" w:lineRule="auto"/>
        <w:rPr>
          <w:rFonts w:ascii="Times New Roman" w:hAnsi="Times New Roman" w:eastAsia="宋体" w:cs="Times New Roman"/>
          <w:b/>
          <w:bCs/>
          <w:kern w:val="21"/>
          <w:lang w:eastAsia="zh-CN"/>
        </w:rPr>
      </w:pPr>
      <w:r>
        <w:rPr>
          <w:rFonts w:ascii="Times New Roman" w:hAnsi="Times New Roman" w:eastAsia="宋体" w:cs="Times New Roman"/>
          <w:b/>
          <w:bCs/>
          <w:kern w:val="21"/>
          <w:lang w:eastAsia="zh-CN"/>
        </w:rPr>
        <w:t>注：投标单位产品与以上指标及功能有差异时，可在项目需求部分的项目单位技术差异表中给出，投标人应对该差异表</w:t>
      </w:r>
      <w:r>
        <w:rPr>
          <w:rFonts w:hint="eastAsia" w:ascii="Times New Roman" w:hAnsi="Times New Roman" w:eastAsia="宋体" w:cs="Times New Roman"/>
          <w:b/>
          <w:bCs/>
          <w:kern w:val="21"/>
          <w:lang w:eastAsia="zh-CN"/>
        </w:rPr>
        <w:t>响应。</w:t>
      </w:r>
    </w:p>
    <w:p>
      <w:pPr>
        <w:topLinePunct/>
        <w:autoSpaceDE/>
        <w:autoSpaceDN/>
        <w:spacing w:line="360" w:lineRule="auto"/>
        <w:rPr>
          <w:rFonts w:ascii="Times New Roman" w:hAnsi="Times New Roman" w:eastAsia="宋体" w:cs="Times New Roman"/>
          <w:b/>
          <w:bCs/>
          <w:kern w:val="21"/>
          <w:lang w:eastAsia="zh-CN"/>
        </w:rPr>
      </w:pPr>
    </w:p>
    <w:p>
      <w:pPr>
        <w:topLinePunct/>
        <w:autoSpaceDE/>
        <w:autoSpaceDN/>
        <w:spacing w:line="360" w:lineRule="auto"/>
        <w:rPr>
          <w:rFonts w:ascii="Times New Roman" w:hAnsi="Times New Roman" w:eastAsia="宋体" w:cs="Times New Roman"/>
          <w:b/>
          <w:bCs/>
          <w:kern w:val="21"/>
          <w:lang w:eastAsia="zh-CN"/>
        </w:rPr>
      </w:pPr>
    </w:p>
    <w:p>
      <w:pPr>
        <w:pStyle w:val="4"/>
        <w:rPr>
          <w:kern w:val="21"/>
          <w:lang w:eastAsia="zh-CN"/>
        </w:rPr>
      </w:pPr>
      <w:bookmarkStart w:id="12" w:name="_Toc14522"/>
      <w:r>
        <w:rPr>
          <w:lang w:eastAsia="zh-CN"/>
        </w:rPr>
        <w:t>4  质量保证</w:t>
      </w:r>
      <w:bookmarkEnd w:id="12"/>
    </w:p>
    <w:p>
      <w:pPr>
        <w:topLinePunct/>
        <w:autoSpaceDE/>
        <w:autoSpaceDN/>
        <w:spacing w:line="360" w:lineRule="auto"/>
        <w:ind w:firstLine="420" w:firstLineChars="200"/>
        <w:rPr>
          <w:rFonts w:ascii="Times New Roman" w:hAnsi="Times New Roman" w:eastAsia="宋体" w:cs="Times New Roman"/>
          <w:kern w:val="21"/>
          <w:lang w:eastAsia="zh-CN"/>
        </w:rPr>
      </w:pPr>
      <w:r>
        <w:rPr>
          <w:rFonts w:ascii="Times New Roman" w:hAnsi="Times New Roman" w:eastAsia="宋体" w:cs="Times New Roman"/>
          <w:kern w:val="21"/>
          <w:lang w:eastAsia="zh-CN"/>
        </w:rPr>
        <w:t>4.1订购的产品应满足本规范要求，并提供该产品的试验报告和产品合格证。</w:t>
      </w:r>
    </w:p>
    <w:p>
      <w:pPr>
        <w:topLinePunct/>
        <w:autoSpaceDE/>
        <w:autoSpaceDN/>
        <w:spacing w:line="360" w:lineRule="auto"/>
        <w:ind w:firstLine="420" w:firstLineChars="200"/>
        <w:rPr>
          <w:rFonts w:ascii="Times New Roman" w:hAnsi="Times New Roman" w:eastAsia="宋体" w:cs="Times New Roman"/>
          <w:kern w:val="21"/>
          <w:lang w:eastAsia="zh-CN"/>
        </w:rPr>
      </w:pPr>
      <w:r>
        <w:rPr>
          <w:rFonts w:ascii="Times New Roman" w:hAnsi="Times New Roman" w:eastAsia="宋体" w:cs="Times New Roman"/>
          <w:kern w:val="21"/>
          <w:lang w:eastAsia="zh-CN"/>
        </w:rPr>
        <w:t>4.2投标方应保证制造过程中的所有工艺、材料试验等均应符合本规范的规定。</w:t>
      </w:r>
    </w:p>
    <w:p>
      <w:pPr>
        <w:topLinePunct/>
        <w:autoSpaceDE/>
        <w:autoSpaceDN/>
        <w:spacing w:line="360" w:lineRule="auto"/>
        <w:ind w:firstLine="420" w:firstLineChars="200"/>
        <w:rPr>
          <w:rFonts w:ascii="Times New Roman" w:hAnsi="Times New Roman" w:eastAsia="宋体" w:cs="Times New Roman"/>
          <w:kern w:val="21"/>
          <w:lang w:eastAsia="zh-CN"/>
        </w:rPr>
      </w:pPr>
      <w:r>
        <w:rPr>
          <w:rFonts w:ascii="Times New Roman" w:hAnsi="Times New Roman" w:eastAsia="宋体" w:cs="Times New Roman"/>
          <w:kern w:val="21"/>
          <w:lang w:eastAsia="zh-CN"/>
        </w:rPr>
        <w:t>4.3投标方应有遵守本规范中各条款和工作项目的IS0900-GB/T1900-质量保证体系</w:t>
      </w:r>
    </w:p>
    <w:p>
      <w:pPr>
        <w:topLinePunct/>
        <w:autoSpaceDE/>
        <w:autoSpaceDN/>
        <w:spacing w:line="360" w:lineRule="auto"/>
        <w:ind w:firstLine="420" w:firstLineChars="200"/>
        <w:rPr>
          <w:rFonts w:ascii="Times New Roman" w:hAnsi="Times New Roman" w:eastAsia="宋体" w:cs="Times New Roman"/>
          <w:kern w:val="21"/>
          <w:lang w:eastAsia="zh-CN"/>
        </w:rPr>
      </w:pPr>
      <w:r>
        <w:rPr>
          <w:rFonts w:ascii="Times New Roman" w:hAnsi="Times New Roman" w:eastAsia="宋体" w:cs="Times New Roman"/>
          <w:kern w:val="21"/>
          <w:lang w:eastAsia="zh-CN"/>
        </w:rPr>
        <w:t>该质量保证体系已经通过国家认证和正常运转。</w:t>
      </w:r>
    </w:p>
    <w:p>
      <w:pPr>
        <w:topLinePunct/>
        <w:autoSpaceDE/>
        <w:autoSpaceDN/>
        <w:spacing w:line="360" w:lineRule="auto"/>
        <w:ind w:firstLine="420" w:firstLineChars="200"/>
        <w:rPr>
          <w:rFonts w:ascii="Times New Roman" w:hAnsi="Times New Roman" w:eastAsia="宋体" w:cs="Times New Roman"/>
          <w:kern w:val="21"/>
          <w:lang w:eastAsia="zh-CN"/>
        </w:rPr>
      </w:pPr>
    </w:p>
    <w:p>
      <w:pPr>
        <w:topLinePunct/>
        <w:autoSpaceDE/>
        <w:autoSpaceDN/>
        <w:spacing w:line="360" w:lineRule="auto"/>
        <w:ind w:firstLine="420" w:firstLineChars="200"/>
        <w:rPr>
          <w:rFonts w:ascii="Times New Roman" w:hAnsi="Times New Roman" w:eastAsia="宋体" w:cs="Times New Roman"/>
          <w:kern w:val="21"/>
          <w:lang w:eastAsia="zh-CN"/>
        </w:rPr>
      </w:pPr>
    </w:p>
    <w:p>
      <w:pPr>
        <w:pStyle w:val="4"/>
        <w:rPr>
          <w:kern w:val="21"/>
          <w:lang w:eastAsia="zh-CN"/>
        </w:rPr>
      </w:pPr>
      <w:bookmarkStart w:id="13" w:name="_Toc24670"/>
      <w:r>
        <w:rPr>
          <w:rFonts w:hint="eastAsia"/>
          <w:lang w:eastAsia="zh-CN"/>
        </w:rPr>
        <w:t>5</w:t>
      </w:r>
      <w:r>
        <w:rPr>
          <w:lang w:eastAsia="zh-CN"/>
        </w:rPr>
        <w:t xml:space="preserve">  包装、运输和储存</w:t>
      </w:r>
      <w:bookmarkEnd w:id="13"/>
    </w:p>
    <w:p>
      <w:pPr>
        <w:topLinePunct/>
        <w:autoSpaceDE/>
        <w:autoSpaceDN/>
        <w:spacing w:line="360" w:lineRule="auto"/>
        <w:ind w:firstLine="420" w:firstLineChars="200"/>
        <w:rPr>
          <w:rFonts w:ascii="Times New Roman" w:hAnsi="Times New Roman" w:eastAsia="宋体" w:cs="Times New Roman"/>
          <w:kern w:val="21"/>
          <w:lang w:eastAsia="zh-CN"/>
        </w:rPr>
      </w:pPr>
      <w:r>
        <w:rPr>
          <w:rFonts w:hint="eastAsia" w:ascii="Times New Roman" w:hAnsi="Times New Roman" w:eastAsia="宋体" w:cs="Times New Roman"/>
          <w:kern w:val="21"/>
          <w:lang w:eastAsia="zh-CN"/>
        </w:rPr>
        <w:t>5.1有部件经妥善包装或装箱后，在运输过程中尚应采取其它防护措施，以免散失损坏或被盗。</w:t>
      </w:r>
    </w:p>
    <w:p>
      <w:pPr>
        <w:topLinePunct/>
        <w:autoSpaceDE/>
        <w:autoSpaceDN/>
        <w:spacing w:line="360" w:lineRule="auto"/>
        <w:ind w:firstLine="420" w:firstLineChars="200"/>
        <w:rPr>
          <w:rFonts w:ascii="Times New Roman" w:hAnsi="Times New Roman" w:eastAsia="宋体" w:cs="Times New Roman"/>
          <w:kern w:val="21"/>
          <w:lang w:eastAsia="zh-CN"/>
        </w:rPr>
      </w:pPr>
      <w:r>
        <w:rPr>
          <w:rFonts w:hint="eastAsia" w:ascii="Times New Roman" w:hAnsi="Times New Roman" w:eastAsia="宋体" w:cs="Times New Roman"/>
          <w:kern w:val="21"/>
          <w:lang w:eastAsia="zh-CN"/>
        </w:rPr>
        <w:t>5.2在包装箱外应标明需方的订货号、发货号。</w:t>
      </w:r>
    </w:p>
    <w:p>
      <w:pPr>
        <w:topLinePunct/>
        <w:autoSpaceDE/>
        <w:autoSpaceDN/>
        <w:spacing w:line="360" w:lineRule="auto"/>
        <w:ind w:firstLine="420" w:firstLineChars="200"/>
        <w:rPr>
          <w:rFonts w:ascii="Times New Roman" w:hAnsi="Times New Roman" w:eastAsia="宋体" w:cs="Times New Roman"/>
          <w:kern w:val="21"/>
          <w:lang w:eastAsia="zh-CN"/>
        </w:rPr>
      </w:pPr>
      <w:r>
        <w:rPr>
          <w:rFonts w:hint="eastAsia" w:ascii="Times New Roman" w:hAnsi="Times New Roman" w:eastAsia="宋体" w:cs="Times New Roman"/>
          <w:kern w:val="21"/>
          <w:lang w:eastAsia="zh-CN"/>
        </w:rPr>
        <w:t>5.3各种包装应能确保各零部件在运输过程中不致遭到损坏、丢失、变形、受潮和腐蚀。</w:t>
      </w:r>
    </w:p>
    <w:p>
      <w:pPr>
        <w:topLinePunct/>
        <w:autoSpaceDE/>
        <w:autoSpaceDN/>
        <w:spacing w:line="360" w:lineRule="auto"/>
        <w:ind w:firstLine="420" w:firstLineChars="200"/>
        <w:rPr>
          <w:rFonts w:ascii="Times New Roman" w:hAnsi="Times New Roman" w:eastAsia="宋体" w:cs="Times New Roman"/>
          <w:kern w:val="21"/>
          <w:lang w:eastAsia="zh-CN"/>
        </w:rPr>
      </w:pPr>
      <w:r>
        <w:rPr>
          <w:rFonts w:hint="eastAsia" w:ascii="Times New Roman" w:hAnsi="Times New Roman" w:eastAsia="宋体" w:cs="Times New Roman"/>
          <w:kern w:val="21"/>
          <w:lang w:eastAsia="zh-CN"/>
        </w:rPr>
        <w:t>5.4包装箱上应有明显的包装储运图示标志(按GB/T 191-2008)。</w:t>
      </w:r>
    </w:p>
    <w:p>
      <w:pPr>
        <w:topLinePunct/>
        <w:autoSpaceDE/>
        <w:autoSpaceDN/>
        <w:spacing w:line="360" w:lineRule="auto"/>
        <w:ind w:firstLine="420" w:firstLineChars="200"/>
        <w:rPr>
          <w:rFonts w:ascii="Times New Roman" w:hAnsi="Times New Roman" w:eastAsia="宋体" w:cs="Times New Roman"/>
          <w:kern w:val="21"/>
          <w:lang w:eastAsia="zh-CN"/>
        </w:rPr>
      </w:pPr>
      <w:r>
        <w:rPr>
          <w:rFonts w:hint="eastAsia" w:ascii="Times New Roman" w:hAnsi="Times New Roman" w:eastAsia="宋体" w:cs="Times New Roman"/>
          <w:kern w:val="21"/>
          <w:lang w:eastAsia="zh-CN"/>
        </w:rPr>
        <w:t>5.5整体产品或分别运输的部件都要适合运输和装载的要求。</w:t>
      </w:r>
    </w:p>
    <w:p>
      <w:pPr>
        <w:topLinePunct/>
        <w:autoSpaceDE/>
        <w:autoSpaceDN/>
        <w:spacing w:line="360" w:lineRule="auto"/>
        <w:ind w:firstLine="420" w:firstLineChars="200"/>
        <w:rPr>
          <w:rFonts w:ascii="Times New Roman" w:hAnsi="Times New Roman" w:eastAsia="宋体" w:cs="Times New Roman"/>
          <w:kern w:val="21"/>
          <w:lang w:eastAsia="zh-CN"/>
        </w:rPr>
      </w:pPr>
      <w:r>
        <w:rPr>
          <w:rFonts w:hint="eastAsia" w:ascii="Times New Roman" w:hAnsi="Times New Roman" w:eastAsia="宋体" w:cs="Times New Roman"/>
          <w:kern w:val="21"/>
          <w:lang w:eastAsia="zh-CN"/>
        </w:rPr>
        <w:t>5.6随产品提供的技术资料应完整无缺。</w:t>
      </w:r>
    </w:p>
    <w:p>
      <w:pPr>
        <w:topLinePunct/>
        <w:autoSpaceDE/>
        <w:autoSpaceDN/>
        <w:spacing w:line="360" w:lineRule="auto"/>
        <w:ind w:firstLine="420" w:firstLineChars="200"/>
        <w:rPr>
          <w:rFonts w:ascii="Times New Roman" w:hAnsi="Times New Roman" w:eastAsia="宋体" w:cs="Times New Roman"/>
          <w:kern w:val="21"/>
          <w:lang w:eastAsia="zh-CN"/>
        </w:rPr>
      </w:pPr>
      <w:r>
        <w:rPr>
          <w:rFonts w:hint="eastAsia" w:ascii="Times New Roman" w:hAnsi="Times New Roman" w:eastAsia="宋体" w:cs="Times New Roman"/>
          <w:kern w:val="21"/>
          <w:lang w:eastAsia="zh-CN"/>
        </w:rPr>
        <w:t>5.7 质量保证期为</w:t>
      </w:r>
      <w:r>
        <w:rPr>
          <w:rFonts w:hint="eastAsia" w:ascii="Times New Roman" w:hAnsi="Times New Roman" w:eastAsia="宋体" w:cs="Times New Roman"/>
          <w:kern w:val="21"/>
          <w:lang w:val="en-US" w:eastAsia="zh-CN"/>
        </w:rPr>
        <w:t>设备</w:t>
      </w:r>
      <w:r>
        <w:rPr>
          <w:rFonts w:hint="eastAsia" w:ascii="Times New Roman" w:hAnsi="Times New Roman" w:eastAsia="宋体" w:cs="Times New Roman"/>
          <w:kern w:val="21"/>
          <w:lang w:eastAsia="zh-CN"/>
        </w:rPr>
        <w:t>使用后三年，三年内卖方负责免费维修、更换。</w:t>
      </w:r>
    </w:p>
    <w:p>
      <w:pPr>
        <w:pStyle w:val="4"/>
        <w:rPr>
          <w:lang w:eastAsia="zh-CN"/>
        </w:rPr>
      </w:pPr>
      <w:bookmarkStart w:id="14" w:name="_Toc10235"/>
      <w:r>
        <w:rPr>
          <w:rFonts w:hint="eastAsia"/>
          <w:lang w:eastAsia="zh-CN"/>
        </w:rPr>
        <w:t>6、双方工作安排</w:t>
      </w:r>
      <w:bookmarkEnd w:id="14"/>
    </w:p>
    <w:p>
      <w:pPr>
        <w:topLinePunct/>
        <w:autoSpaceDE/>
        <w:autoSpaceDN/>
        <w:spacing w:line="360" w:lineRule="auto"/>
        <w:ind w:firstLine="420" w:firstLineChars="200"/>
        <w:jc w:val="both"/>
        <w:rPr>
          <w:rFonts w:ascii="Times New Roman" w:hAnsi="Times New Roman" w:eastAsia="宋体" w:cs="Times New Roman"/>
          <w:kern w:val="21"/>
          <w:lang w:eastAsia="zh-CN"/>
        </w:rPr>
      </w:pPr>
      <w:r>
        <w:rPr>
          <w:rFonts w:hint="eastAsia" w:ascii="Times New Roman" w:hAnsi="Times New Roman" w:eastAsia="宋体" w:cs="Times New Roman"/>
          <w:kern w:val="21"/>
          <w:lang w:eastAsia="zh-CN"/>
        </w:rPr>
        <w:t>6.1 需求方应向供货方提供有特殊要求的</w:t>
      </w:r>
      <w:r>
        <w:rPr>
          <w:rFonts w:hint="eastAsia" w:ascii="Times New Roman" w:hAnsi="Times New Roman" w:eastAsia="宋体" w:cs="Times New Roman"/>
          <w:kern w:val="21"/>
          <w:lang w:val="en-US" w:eastAsia="zh-CN"/>
        </w:rPr>
        <w:t>设备</w:t>
      </w:r>
      <w:r>
        <w:rPr>
          <w:rFonts w:hint="eastAsia" w:ascii="Times New Roman" w:hAnsi="Times New Roman" w:eastAsia="宋体" w:cs="Times New Roman"/>
          <w:kern w:val="21"/>
          <w:lang w:eastAsia="zh-CN"/>
        </w:rPr>
        <w:t>技术文件。</w:t>
      </w:r>
    </w:p>
    <w:p>
      <w:pPr>
        <w:topLinePunct/>
        <w:autoSpaceDE/>
        <w:autoSpaceDN/>
        <w:spacing w:line="360" w:lineRule="auto"/>
        <w:ind w:firstLine="420" w:firstLineChars="200"/>
        <w:jc w:val="both"/>
        <w:rPr>
          <w:rFonts w:ascii="Times New Roman" w:hAnsi="Times New Roman" w:eastAsia="宋体" w:cs="Times New Roman"/>
          <w:kern w:val="21"/>
          <w:lang w:eastAsia="zh-CN"/>
        </w:rPr>
      </w:pPr>
      <w:r>
        <w:rPr>
          <w:rFonts w:hint="eastAsia" w:ascii="Times New Roman" w:hAnsi="Times New Roman" w:eastAsia="宋体" w:cs="Times New Roman"/>
          <w:kern w:val="21"/>
          <w:lang w:eastAsia="zh-CN"/>
        </w:rPr>
        <w:t>6.2</w:t>
      </w:r>
      <w:r>
        <w:rPr>
          <w:rFonts w:hint="eastAsia" w:ascii="Times New Roman" w:hAnsi="Times New Roman" w:eastAsia="宋体" w:cs="Times New Roman"/>
          <w:kern w:val="21"/>
          <w:lang w:val="en-US" w:eastAsia="zh-CN"/>
        </w:rPr>
        <w:t>设备</w:t>
      </w:r>
      <w:r>
        <w:rPr>
          <w:rFonts w:hint="eastAsia" w:ascii="Times New Roman" w:hAnsi="Times New Roman" w:eastAsia="宋体" w:cs="Times New Roman"/>
          <w:kern w:val="21"/>
          <w:lang w:eastAsia="zh-CN"/>
        </w:rPr>
        <w:t>安装调试过程中，需求方为供货方现场人员提供工作和生活方便。元件制造过程中，需求方可派出到供货方进行监造和验收，供货方应积极配合，供货方收到技术条件书后如有异议，在5天内书面通知需求方，否则认为供货方同意技术条件书中的全部要求。</w:t>
      </w:r>
    </w:p>
    <w:p>
      <w:pPr>
        <w:topLinePunct/>
        <w:autoSpaceDE/>
        <w:autoSpaceDN/>
        <w:spacing w:line="360" w:lineRule="auto"/>
        <w:ind w:firstLine="420" w:firstLineChars="200"/>
        <w:jc w:val="both"/>
        <w:rPr>
          <w:rFonts w:ascii="Times New Roman" w:hAnsi="Times New Roman" w:eastAsia="宋体" w:cs="Times New Roman"/>
          <w:kern w:val="21"/>
          <w:lang w:eastAsia="zh-CN"/>
        </w:rPr>
      </w:pPr>
      <w:r>
        <w:rPr>
          <w:rFonts w:hint="eastAsia" w:ascii="Times New Roman" w:hAnsi="Times New Roman" w:eastAsia="宋体" w:cs="Times New Roman"/>
          <w:kern w:val="21"/>
          <w:lang w:eastAsia="zh-CN"/>
        </w:rPr>
        <w:t>6.3 根据工程需要，可召开设计联络会或以其他形式解决设计制造中的问题。</w:t>
      </w:r>
    </w:p>
    <w:p>
      <w:pPr>
        <w:topLinePunct/>
        <w:autoSpaceDE/>
        <w:autoSpaceDN/>
        <w:spacing w:line="360" w:lineRule="auto"/>
        <w:ind w:firstLine="420" w:firstLineChars="200"/>
        <w:jc w:val="both"/>
        <w:rPr>
          <w:rFonts w:ascii="Times New Roman" w:hAnsi="Times New Roman" w:eastAsia="宋体" w:cs="Times New Roman"/>
          <w:kern w:val="21"/>
          <w:lang w:eastAsia="zh-CN"/>
        </w:rPr>
      </w:pPr>
      <w:r>
        <w:rPr>
          <w:rFonts w:hint="eastAsia" w:ascii="Times New Roman" w:hAnsi="Times New Roman" w:eastAsia="宋体" w:cs="Times New Roman"/>
          <w:kern w:val="21"/>
          <w:lang w:eastAsia="zh-CN"/>
        </w:rPr>
        <w:t>6.4 对需求方的缺陷通知，供货方应在24小时内回应，48小时内赴现场予以解决。</w:t>
      </w:r>
    </w:p>
    <w:p>
      <w:pPr>
        <w:topLinePunct/>
        <w:autoSpaceDE/>
        <w:autoSpaceDN/>
        <w:spacing w:line="360" w:lineRule="auto"/>
        <w:ind w:firstLine="420" w:firstLineChars="200"/>
        <w:jc w:val="both"/>
        <w:rPr>
          <w:rFonts w:ascii="Times New Roman" w:hAnsi="Times New Roman" w:eastAsia="宋体" w:cs="Times New Roman"/>
          <w:kern w:val="21"/>
          <w:lang w:eastAsia="zh-CN"/>
        </w:rPr>
      </w:pPr>
      <w:r>
        <w:rPr>
          <w:rFonts w:hint="eastAsia" w:ascii="Times New Roman" w:hAnsi="Times New Roman" w:eastAsia="宋体" w:cs="Times New Roman"/>
          <w:kern w:val="21"/>
          <w:lang w:eastAsia="zh-CN"/>
        </w:rPr>
        <w:t>6.5 资料的组织结构清晰、逻辑性强。资料内容正确、准确、一致、清晰完整，满足工程要求。</w:t>
      </w:r>
    </w:p>
    <w:p>
      <w:pPr>
        <w:topLinePunct/>
        <w:autoSpaceDE/>
        <w:autoSpaceDN/>
        <w:spacing w:line="360" w:lineRule="auto"/>
        <w:rPr>
          <w:rFonts w:hint="eastAsia" w:ascii="Times New Roman" w:hAnsi="Times New Roman" w:eastAsia="宋体" w:cs="Times New Roman"/>
          <w:kern w:val="21"/>
          <w:lang w:eastAsia="zh-CN"/>
        </w:rPr>
      </w:pPr>
    </w:p>
    <w:p>
      <w:pPr>
        <w:pStyle w:val="4"/>
        <w:rPr>
          <w:lang w:eastAsia="zh-CN"/>
        </w:rPr>
      </w:pPr>
      <w:bookmarkStart w:id="15" w:name="_Toc6391"/>
      <w:r>
        <w:rPr>
          <w:rFonts w:hint="eastAsia"/>
          <w:lang w:eastAsia="zh-CN"/>
        </w:rPr>
        <w:t>7</w:t>
      </w:r>
      <w:r>
        <w:rPr>
          <w:lang w:eastAsia="zh-CN"/>
        </w:rPr>
        <w:t xml:space="preserve">  备品备件及专用工具</w:t>
      </w:r>
      <w:bookmarkEnd w:id="15"/>
    </w:p>
    <w:p>
      <w:pPr>
        <w:topLinePunct/>
        <w:autoSpaceDE/>
        <w:autoSpaceDN/>
        <w:spacing w:line="360" w:lineRule="auto"/>
        <w:ind w:firstLine="420" w:firstLineChars="200"/>
        <w:rPr>
          <w:rFonts w:ascii="Times New Roman" w:hAnsi="Times New Roman" w:eastAsia="宋体" w:cs="Times New Roman"/>
          <w:kern w:val="21"/>
          <w:lang w:eastAsia="zh-CN"/>
        </w:rPr>
      </w:pPr>
      <w:r>
        <w:rPr>
          <w:rFonts w:ascii="Times New Roman" w:hAnsi="Times New Roman" w:eastAsia="宋体" w:cs="Times New Roman"/>
          <w:kern w:val="21"/>
          <w:lang w:eastAsia="zh-CN"/>
        </w:rPr>
        <w:t>根据产品的技术性能、运行经验，厂家对招标方必须购买的备品备件及专用工具应有详细说明。</w:t>
      </w:r>
    </w:p>
    <w:p>
      <w:pPr>
        <w:topLinePunct/>
        <w:autoSpaceDE/>
        <w:autoSpaceDN/>
        <w:spacing w:line="360" w:lineRule="auto"/>
        <w:outlineLvl w:val="6"/>
        <w:rPr>
          <w:rFonts w:ascii="Times New Roman" w:hAnsi="Times New Roman" w:eastAsia="宋体" w:cs="Times New Roman"/>
          <w:kern w:val="21"/>
          <w:sz w:val="24"/>
          <w:szCs w:val="24"/>
          <w:lang w:eastAsia="zh-CN"/>
        </w:rPr>
      </w:pPr>
      <w:r>
        <w:rPr>
          <w:rFonts w:hint="eastAsia" w:ascii="Times New Roman" w:hAnsi="Times New Roman" w:eastAsia="宋体" w:cs="Times New Roman"/>
          <w:b/>
          <w:bCs/>
          <w:kern w:val="21"/>
          <w:sz w:val="24"/>
          <w:szCs w:val="24"/>
          <w:lang w:eastAsia="zh-CN"/>
        </w:rPr>
        <w:t>7.</w:t>
      </w:r>
      <w:r>
        <w:rPr>
          <w:rFonts w:ascii="Times New Roman" w:hAnsi="Times New Roman" w:eastAsia="宋体" w:cs="Times New Roman"/>
          <w:b/>
          <w:bCs/>
          <w:kern w:val="21"/>
          <w:sz w:val="24"/>
          <w:szCs w:val="24"/>
          <w:lang w:eastAsia="zh-CN"/>
        </w:rPr>
        <w:t>1</w:t>
      </w:r>
      <w:r>
        <w:rPr>
          <w:rFonts w:ascii="Times New Roman" w:hAnsi="Times New Roman" w:eastAsia="宋体" w:cs="Times New Roman"/>
          <w:kern w:val="21"/>
          <w:sz w:val="24"/>
          <w:szCs w:val="24"/>
          <w:lang w:eastAsia="zh-CN"/>
        </w:rPr>
        <w:t xml:space="preserve"> </w:t>
      </w:r>
      <w:r>
        <w:rPr>
          <w:rFonts w:ascii="Times New Roman" w:hAnsi="Times New Roman" w:eastAsia="宋体" w:cs="Times New Roman"/>
          <w:b/>
          <w:bCs/>
          <w:kern w:val="21"/>
          <w:sz w:val="24"/>
          <w:szCs w:val="24"/>
          <w:lang w:eastAsia="zh-CN"/>
        </w:rPr>
        <w:t>备品备件</w:t>
      </w:r>
    </w:p>
    <w:p>
      <w:pPr>
        <w:topLinePunct/>
        <w:autoSpaceDE/>
        <w:autoSpaceDN/>
        <w:spacing w:line="360" w:lineRule="auto"/>
        <w:ind w:firstLine="420" w:firstLineChars="200"/>
        <w:rPr>
          <w:rFonts w:ascii="Times New Roman" w:hAnsi="Times New Roman" w:eastAsia="宋体" w:cs="Times New Roman"/>
          <w:kern w:val="21"/>
          <w:lang w:eastAsia="zh-CN"/>
        </w:rPr>
      </w:pPr>
      <w:r>
        <w:rPr>
          <w:rFonts w:ascii="Times New Roman" w:hAnsi="Times New Roman" w:eastAsia="宋体" w:cs="Times New Roman"/>
          <w:kern w:val="21"/>
          <w:lang w:eastAsia="zh-CN"/>
        </w:rPr>
        <w:t>投标方应向招标方提供必要的备品备件，备品备件应是新品，与</w:t>
      </w:r>
      <w:r>
        <w:rPr>
          <w:rFonts w:hint="eastAsia" w:ascii="Times New Roman" w:hAnsi="Times New Roman" w:eastAsia="宋体" w:cs="Times New Roman"/>
          <w:kern w:val="21"/>
          <w:lang w:val="en-US" w:eastAsia="zh-CN"/>
        </w:rPr>
        <w:t>设备</w:t>
      </w:r>
      <w:r>
        <w:rPr>
          <w:rFonts w:ascii="Times New Roman" w:hAnsi="Times New Roman" w:eastAsia="宋体" w:cs="Times New Roman"/>
          <w:kern w:val="21"/>
          <w:lang w:eastAsia="zh-CN"/>
        </w:rPr>
        <w:t>同型号、同工艺。备品备件清单见表1。</w:t>
      </w:r>
    </w:p>
    <w:p>
      <w:pPr>
        <w:topLinePunct/>
        <w:autoSpaceDE/>
        <w:autoSpaceDN/>
        <w:spacing w:line="360" w:lineRule="auto"/>
        <w:jc w:val="center"/>
        <w:rPr>
          <w:rFonts w:ascii="Times New Roman" w:hAnsi="Times New Roman" w:cs="Times New Roman"/>
          <w:kern w:val="21"/>
          <w:lang w:eastAsia="zh-CN"/>
        </w:rPr>
      </w:pPr>
      <w:r>
        <w:rPr>
          <w:rFonts w:ascii="Times New Roman" w:hAnsi="Times New Roman" w:eastAsia="黑体" w:cs="Times New Roman"/>
          <w:b/>
          <w:bCs/>
          <w:kern w:val="21"/>
          <w:lang w:eastAsia="zh-CN"/>
        </w:rPr>
        <w:t>表1备品备件清单</w:t>
      </w:r>
    </w:p>
    <w:tbl>
      <w:tblPr>
        <w:tblStyle w:val="13"/>
        <w:tblW w:w="91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44"/>
        <w:gridCol w:w="2017"/>
        <w:gridCol w:w="2767"/>
        <w:gridCol w:w="749"/>
        <w:gridCol w:w="759"/>
        <w:gridCol w:w="889"/>
        <w:gridCol w:w="8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044" w:type="dxa"/>
            <w:vAlign w:val="center"/>
          </w:tcPr>
          <w:p>
            <w:pPr>
              <w:pStyle w:val="14"/>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序号</w:t>
            </w:r>
          </w:p>
        </w:tc>
        <w:tc>
          <w:tcPr>
            <w:tcW w:w="2017" w:type="dxa"/>
            <w:vAlign w:val="center"/>
          </w:tcPr>
          <w:p>
            <w:pPr>
              <w:pStyle w:val="14"/>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名称</w:t>
            </w:r>
          </w:p>
        </w:tc>
        <w:tc>
          <w:tcPr>
            <w:tcW w:w="2767" w:type="dxa"/>
            <w:vAlign w:val="center"/>
          </w:tcPr>
          <w:p>
            <w:pPr>
              <w:pStyle w:val="14"/>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型号及规范</w:t>
            </w:r>
          </w:p>
        </w:tc>
        <w:tc>
          <w:tcPr>
            <w:tcW w:w="749" w:type="dxa"/>
            <w:vAlign w:val="center"/>
          </w:tcPr>
          <w:p>
            <w:pPr>
              <w:pStyle w:val="14"/>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单位</w:t>
            </w:r>
          </w:p>
        </w:tc>
        <w:tc>
          <w:tcPr>
            <w:tcW w:w="759" w:type="dxa"/>
            <w:vAlign w:val="center"/>
          </w:tcPr>
          <w:p>
            <w:pPr>
              <w:pStyle w:val="14"/>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数量</w:t>
            </w:r>
          </w:p>
        </w:tc>
        <w:tc>
          <w:tcPr>
            <w:tcW w:w="889" w:type="dxa"/>
            <w:vAlign w:val="center"/>
          </w:tcPr>
          <w:p>
            <w:pPr>
              <w:pStyle w:val="14"/>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用途</w:t>
            </w:r>
          </w:p>
        </w:tc>
        <w:tc>
          <w:tcPr>
            <w:tcW w:w="884" w:type="dxa"/>
            <w:vAlign w:val="center"/>
          </w:tcPr>
          <w:p>
            <w:pPr>
              <w:pStyle w:val="14"/>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044" w:type="dxa"/>
            <w:vAlign w:val="center"/>
          </w:tcPr>
          <w:p>
            <w:pPr>
              <w:pStyle w:val="14"/>
              <w:topLinePunct/>
              <w:autoSpaceDE/>
              <w:autoSpaceDN/>
              <w:spacing w:line="360" w:lineRule="auto"/>
              <w:jc w:val="center"/>
              <w:rPr>
                <w:rFonts w:ascii="Times New Roman" w:hAnsi="Times New Roman" w:cs="Times New Roman"/>
                <w:kern w:val="21"/>
                <w:sz w:val="21"/>
                <w:szCs w:val="21"/>
                <w:lang w:eastAsia="zh-CN"/>
              </w:rPr>
            </w:pPr>
            <w:r>
              <w:rPr>
                <w:rFonts w:hint="eastAsia" w:ascii="Times New Roman" w:hAnsi="Times New Roman" w:cs="Times New Roman"/>
                <w:kern w:val="21"/>
                <w:sz w:val="21"/>
                <w:szCs w:val="21"/>
                <w:lang w:eastAsia="zh-CN"/>
              </w:rPr>
              <w:t>1</w:t>
            </w:r>
          </w:p>
        </w:tc>
        <w:tc>
          <w:tcPr>
            <w:tcW w:w="2017" w:type="dxa"/>
            <w:vAlign w:val="center"/>
          </w:tcPr>
          <w:p>
            <w:pPr>
              <w:pStyle w:val="14"/>
              <w:topLinePunct/>
              <w:autoSpaceDE/>
              <w:autoSpaceDN/>
              <w:spacing w:line="360" w:lineRule="auto"/>
              <w:jc w:val="center"/>
              <w:rPr>
                <w:rFonts w:ascii="Times New Roman" w:hAnsi="Times New Roman" w:cs="Times New Roman"/>
                <w:kern w:val="21"/>
                <w:sz w:val="21"/>
                <w:szCs w:val="21"/>
              </w:rPr>
            </w:pPr>
          </w:p>
        </w:tc>
        <w:tc>
          <w:tcPr>
            <w:tcW w:w="2767" w:type="dxa"/>
            <w:vAlign w:val="center"/>
          </w:tcPr>
          <w:p>
            <w:pPr>
              <w:pStyle w:val="14"/>
              <w:topLinePunct/>
              <w:autoSpaceDE/>
              <w:autoSpaceDN/>
              <w:spacing w:line="360" w:lineRule="auto"/>
              <w:jc w:val="center"/>
              <w:rPr>
                <w:rFonts w:ascii="Times New Roman" w:hAnsi="Times New Roman" w:cs="Times New Roman"/>
                <w:kern w:val="21"/>
                <w:sz w:val="21"/>
                <w:szCs w:val="21"/>
              </w:rPr>
            </w:pPr>
          </w:p>
        </w:tc>
        <w:tc>
          <w:tcPr>
            <w:tcW w:w="749" w:type="dxa"/>
            <w:vAlign w:val="center"/>
          </w:tcPr>
          <w:p>
            <w:pPr>
              <w:pStyle w:val="14"/>
              <w:topLinePunct/>
              <w:autoSpaceDE/>
              <w:autoSpaceDN/>
              <w:spacing w:line="360" w:lineRule="auto"/>
              <w:jc w:val="center"/>
              <w:rPr>
                <w:rFonts w:ascii="Times New Roman" w:hAnsi="Times New Roman" w:cs="Times New Roman"/>
                <w:kern w:val="21"/>
                <w:sz w:val="21"/>
                <w:szCs w:val="21"/>
              </w:rPr>
            </w:pPr>
          </w:p>
        </w:tc>
        <w:tc>
          <w:tcPr>
            <w:tcW w:w="759" w:type="dxa"/>
            <w:vAlign w:val="center"/>
          </w:tcPr>
          <w:p>
            <w:pPr>
              <w:pStyle w:val="14"/>
              <w:topLinePunct/>
              <w:autoSpaceDE/>
              <w:autoSpaceDN/>
              <w:spacing w:line="360" w:lineRule="auto"/>
              <w:jc w:val="center"/>
              <w:rPr>
                <w:rFonts w:ascii="Times New Roman" w:hAnsi="Times New Roman" w:cs="Times New Roman"/>
                <w:kern w:val="21"/>
                <w:sz w:val="21"/>
                <w:szCs w:val="21"/>
              </w:rPr>
            </w:pPr>
          </w:p>
        </w:tc>
        <w:tc>
          <w:tcPr>
            <w:tcW w:w="889" w:type="dxa"/>
            <w:vAlign w:val="center"/>
          </w:tcPr>
          <w:p>
            <w:pPr>
              <w:pStyle w:val="14"/>
              <w:topLinePunct/>
              <w:autoSpaceDE/>
              <w:autoSpaceDN/>
              <w:spacing w:line="360" w:lineRule="auto"/>
              <w:jc w:val="center"/>
              <w:rPr>
                <w:rFonts w:ascii="Times New Roman" w:hAnsi="Times New Roman" w:cs="Times New Roman"/>
                <w:kern w:val="21"/>
                <w:sz w:val="21"/>
                <w:szCs w:val="21"/>
              </w:rPr>
            </w:pPr>
          </w:p>
        </w:tc>
        <w:tc>
          <w:tcPr>
            <w:tcW w:w="884" w:type="dxa"/>
            <w:vAlign w:val="center"/>
          </w:tcPr>
          <w:p>
            <w:pPr>
              <w:pStyle w:val="14"/>
              <w:topLinePunct/>
              <w:autoSpaceDE/>
              <w:autoSpaceDN/>
              <w:spacing w:line="360" w:lineRule="auto"/>
              <w:jc w:val="center"/>
              <w:rPr>
                <w:rFonts w:ascii="Times New Roman" w:hAnsi="Times New Roman" w:cs="Times New Roman"/>
                <w:kern w:val="21"/>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044" w:type="dxa"/>
            <w:vAlign w:val="center"/>
          </w:tcPr>
          <w:p>
            <w:pPr>
              <w:pStyle w:val="14"/>
              <w:topLinePunct/>
              <w:autoSpaceDE/>
              <w:autoSpaceDN/>
              <w:spacing w:line="360" w:lineRule="auto"/>
              <w:jc w:val="center"/>
              <w:rPr>
                <w:rFonts w:ascii="Times New Roman" w:hAnsi="Times New Roman" w:cs="Times New Roman"/>
                <w:kern w:val="21"/>
                <w:sz w:val="21"/>
                <w:szCs w:val="21"/>
                <w:lang w:eastAsia="zh-CN"/>
              </w:rPr>
            </w:pPr>
            <w:r>
              <w:rPr>
                <w:rFonts w:hint="eastAsia" w:ascii="Times New Roman" w:hAnsi="Times New Roman" w:cs="Times New Roman"/>
                <w:kern w:val="21"/>
                <w:sz w:val="21"/>
                <w:szCs w:val="21"/>
                <w:lang w:eastAsia="zh-CN"/>
              </w:rPr>
              <w:t>2</w:t>
            </w:r>
          </w:p>
        </w:tc>
        <w:tc>
          <w:tcPr>
            <w:tcW w:w="2017" w:type="dxa"/>
            <w:vAlign w:val="center"/>
          </w:tcPr>
          <w:p>
            <w:pPr>
              <w:pStyle w:val="14"/>
              <w:topLinePunct/>
              <w:autoSpaceDE/>
              <w:autoSpaceDN/>
              <w:spacing w:line="360" w:lineRule="auto"/>
              <w:jc w:val="center"/>
              <w:rPr>
                <w:rFonts w:ascii="Times New Roman" w:hAnsi="Times New Roman" w:cs="Times New Roman"/>
                <w:kern w:val="21"/>
                <w:sz w:val="21"/>
                <w:szCs w:val="21"/>
              </w:rPr>
            </w:pPr>
          </w:p>
        </w:tc>
        <w:tc>
          <w:tcPr>
            <w:tcW w:w="2767" w:type="dxa"/>
            <w:vAlign w:val="center"/>
          </w:tcPr>
          <w:p>
            <w:pPr>
              <w:pStyle w:val="14"/>
              <w:topLinePunct/>
              <w:autoSpaceDE/>
              <w:autoSpaceDN/>
              <w:spacing w:line="360" w:lineRule="auto"/>
              <w:jc w:val="center"/>
              <w:rPr>
                <w:rFonts w:ascii="Times New Roman" w:hAnsi="Times New Roman" w:cs="Times New Roman"/>
                <w:kern w:val="21"/>
                <w:sz w:val="21"/>
                <w:szCs w:val="21"/>
              </w:rPr>
            </w:pPr>
          </w:p>
        </w:tc>
        <w:tc>
          <w:tcPr>
            <w:tcW w:w="749" w:type="dxa"/>
            <w:vAlign w:val="center"/>
          </w:tcPr>
          <w:p>
            <w:pPr>
              <w:pStyle w:val="14"/>
              <w:topLinePunct/>
              <w:autoSpaceDE/>
              <w:autoSpaceDN/>
              <w:spacing w:line="360" w:lineRule="auto"/>
              <w:jc w:val="center"/>
              <w:rPr>
                <w:rFonts w:ascii="Times New Roman" w:hAnsi="Times New Roman" w:cs="Times New Roman"/>
                <w:kern w:val="21"/>
                <w:sz w:val="21"/>
                <w:szCs w:val="21"/>
              </w:rPr>
            </w:pPr>
          </w:p>
        </w:tc>
        <w:tc>
          <w:tcPr>
            <w:tcW w:w="759" w:type="dxa"/>
            <w:vAlign w:val="center"/>
          </w:tcPr>
          <w:p>
            <w:pPr>
              <w:pStyle w:val="14"/>
              <w:topLinePunct/>
              <w:autoSpaceDE/>
              <w:autoSpaceDN/>
              <w:spacing w:line="360" w:lineRule="auto"/>
              <w:jc w:val="center"/>
              <w:rPr>
                <w:rFonts w:ascii="Times New Roman" w:hAnsi="Times New Roman" w:cs="Times New Roman"/>
                <w:kern w:val="21"/>
                <w:sz w:val="21"/>
                <w:szCs w:val="21"/>
              </w:rPr>
            </w:pPr>
          </w:p>
        </w:tc>
        <w:tc>
          <w:tcPr>
            <w:tcW w:w="889" w:type="dxa"/>
            <w:vAlign w:val="center"/>
          </w:tcPr>
          <w:p>
            <w:pPr>
              <w:pStyle w:val="14"/>
              <w:topLinePunct/>
              <w:autoSpaceDE/>
              <w:autoSpaceDN/>
              <w:spacing w:line="360" w:lineRule="auto"/>
              <w:jc w:val="center"/>
              <w:rPr>
                <w:rFonts w:ascii="Times New Roman" w:hAnsi="Times New Roman" w:cs="Times New Roman"/>
                <w:kern w:val="21"/>
                <w:sz w:val="21"/>
                <w:szCs w:val="21"/>
              </w:rPr>
            </w:pPr>
          </w:p>
        </w:tc>
        <w:tc>
          <w:tcPr>
            <w:tcW w:w="884" w:type="dxa"/>
            <w:vAlign w:val="center"/>
          </w:tcPr>
          <w:p>
            <w:pPr>
              <w:pStyle w:val="14"/>
              <w:topLinePunct/>
              <w:autoSpaceDE/>
              <w:autoSpaceDN/>
              <w:spacing w:line="360" w:lineRule="auto"/>
              <w:jc w:val="center"/>
              <w:rPr>
                <w:rFonts w:ascii="Times New Roman" w:hAnsi="Times New Roman" w:cs="Times New Roman"/>
                <w:kern w:val="21"/>
                <w:sz w:val="21"/>
                <w:szCs w:val="21"/>
              </w:rPr>
            </w:pPr>
          </w:p>
        </w:tc>
      </w:tr>
    </w:tbl>
    <w:p>
      <w:pPr>
        <w:topLinePunct/>
        <w:autoSpaceDE/>
        <w:autoSpaceDN/>
        <w:spacing w:line="360" w:lineRule="auto"/>
        <w:rPr>
          <w:rFonts w:ascii="Times New Roman" w:hAnsi="Times New Roman" w:eastAsia="宋体" w:cs="Times New Roman"/>
          <w:b/>
          <w:bCs/>
          <w:kern w:val="21"/>
          <w:sz w:val="24"/>
          <w:szCs w:val="24"/>
          <w:lang w:eastAsia="zh-CN"/>
        </w:rPr>
      </w:pPr>
    </w:p>
    <w:p>
      <w:pPr>
        <w:topLinePunct/>
        <w:autoSpaceDE/>
        <w:autoSpaceDN/>
        <w:spacing w:line="360" w:lineRule="auto"/>
        <w:outlineLvl w:val="6"/>
        <w:rPr>
          <w:rFonts w:ascii="Times New Roman" w:hAnsi="Times New Roman" w:eastAsia="宋体" w:cs="Times New Roman"/>
          <w:kern w:val="21"/>
          <w:lang w:eastAsia="zh-CN"/>
        </w:rPr>
      </w:pPr>
      <w:r>
        <w:rPr>
          <w:rFonts w:hint="eastAsia" w:ascii="Times New Roman" w:hAnsi="Times New Roman" w:eastAsia="宋体" w:cs="Times New Roman"/>
          <w:b/>
          <w:bCs/>
          <w:kern w:val="21"/>
          <w:sz w:val="24"/>
          <w:szCs w:val="24"/>
          <w:lang w:eastAsia="zh-CN"/>
        </w:rPr>
        <w:t>7.2</w:t>
      </w:r>
      <w:r>
        <w:rPr>
          <w:rFonts w:ascii="Times New Roman" w:hAnsi="Times New Roman" w:eastAsia="宋体" w:cs="Times New Roman"/>
          <w:kern w:val="21"/>
          <w:sz w:val="24"/>
          <w:szCs w:val="24"/>
          <w:lang w:eastAsia="zh-CN"/>
        </w:rPr>
        <w:t xml:space="preserve"> </w:t>
      </w:r>
      <w:r>
        <w:rPr>
          <w:rFonts w:hint="eastAsia" w:ascii="Times New Roman" w:hAnsi="Times New Roman" w:eastAsia="宋体" w:cs="Times New Roman"/>
          <w:kern w:val="21"/>
          <w:sz w:val="24"/>
          <w:szCs w:val="24"/>
          <w:lang w:eastAsia="zh-CN"/>
        </w:rPr>
        <w:t>专用工具</w:t>
      </w:r>
    </w:p>
    <w:p>
      <w:pPr>
        <w:topLinePunct/>
        <w:autoSpaceDE/>
        <w:autoSpaceDN/>
        <w:spacing w:line="360" w:lineRule="auto"/>
        <w:ind w:firstLine="420" w:firstLineChars="200"/>
        <w:rPr>
          <w:rFonts w:ascii="Times New Roman" w:hAnsi="Times New Roman" w:cs="Times New Roman"/>
          <w:kern w:val="21"/>
          <w:lang w:eastAsia="zh-CN"/>
        </w:rPr>
      </w:pPr>
      <w:r>
        <w:rPr>
          <w:rFonts w:ascii="Times New Roman" w:hAnsi="Times New Roman" w:eastAsia="宋体" w:cs="Times New Roman"/>
          <w:kern w:val="21"/>
          <w:lang w:eastAsia="zh-CN"/>
        </w:rPr>
        <w:t>投标方应提供安装、运行检修所需要的非常规及非标准的专用工具，包括专用测试设备，提供的工具清单见表2。</w:t>
      </w:r>
    </w:p>
    <w:p>
      <w:pPr>
        <w:topLinePunct/>
        <w:autoSpaceDE/>
        <w:autoSpaceDN/>
        <w:spacing w:line="360" w:lineRule="auto"/>
        <w:jc w:val="center"/>
        <w:rPr>
          <w:rFonts w:ascii="Times New Roman" w:hAnsi="Times New Roman" w:eastAsia="黑体" w:cs="Times New Roman"/>
          <w:kern w:val="21"/>
          <w:lang w:eastAsia="zh-CN"/>
        </w:rPr>
      </w:pPr>
      <w:r>
        <w:rPr>
          <w:rFonts w:ascii="Times New Roman" w:hAnsi="Times New Roman" w:eastAsia="黑体" w:cs="Times New Roman"/>
          <w:b/>
          <w:bCs/>
          <w:kern w:val="21"/>
          <w:lang w:eastAsia="zh-CN"/>
        </w:rPr>
        <w:t>表2</w:t>
      </w:r>
      <w:r>
        <w:rPr>
          <w:rFonts w:ascii="Times New Roman" w:hAnsi="Times New Roman" w:eastAsia="黑体" w:cs="Times New Roman"/>
          <w:kern w:val="21"/>
          <w:lang w:eastAsia="zh-CN"/>
        </w:rPr>
        <w:t xml:space="preserve"> </w:t>
      </w:r>
      <w:r>
        <w:rPr>
          <w:rFonts w:ascii="Times New Roman" w:hAnsi="Times New Roman" w:eastAsia="黑体" w:cs="Times New Roman"/>
          <w:b/>
          <w:bCs/>
          <w:kern w:val="21"/>
          <w:lang w:eastAsia="zh-CN"/>
        </w:rPr>
        <w:t>专用工具清单</w:t>
      </w:r>
    </w:p>
    <w:tbl>
      <w:tblPr>
        <w:tblStyle w:val="13"/>
        <w:tblW w:w="84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4"/>
        <w:gridCol w:w="1907"/>
        <w:gridCol w:w="2477"/>
        <w:gridCol w:w="989"/>
        <w:gridCol w:w="869"/>
        <w:gridCol w:w="709"/>
        <w:gridCol w:w="7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0" w:hRule="atLeast"/>
          <w:jc w:val="center"/>
        </w:trPr>
        <w:tc>
          <w:tcPr>
            <w:tcW w:w="744" w:type="dxa"/>
            <w:vAlign w:val="center"/>
          </w:tcPr>
          <w:p>
            <w:pPr>
              <w:pStyle w:val="14"/>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序号</w:t>
            </w:r>
          </w:p>
        </w:tc>
        <w:tc>
          <w:tcPr>
            <w:tcW w:w="1907" w:type="dxa"/>
            <w:vAlign w:val="center"/>
          </w:tcPr>
          <w:p>
            <w:pPr>
              <w:pStyle w:val="14"/>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名称</w:t>
            </w:r>
          </w:p>
        </w:tc>
        <w:tc>
          <w:tcPr>
            <w:tcW w:w="2477" w:type="dxa"/>
            <w:vAlign w:val="center"/>
          </w:tcPr>
          <w:p>
            <w:pPr>
              <w:pStyle w:val="14"/>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型号及规范</w:t>
            </w:r>
          </w:p>
        </w:tc>
        <w:tc>
          <w:tcPr>
            <w:tcW w:w="989" w:type="dxa"/>
            <w:vAlign w:val="center"/>
          </w:tcPr>
          <w:p>
            <w:pPr>
              <w:pStyle w:val="14"/>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单位</w:t>
            </w:r>
          </w:p>
        </w:tc>
        <w:tc>
          <w:tcPr>
            <w:tcW w:w="869" w:type="dxa"/>
            <w:vAlign w:val="center"/>
          </w:tcPr>
          <w:p>
            <w:pPr>
              <w:pStyle w:val="14"/>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数量</w:t>
            </w:r>
          </w:p>
        </w:tc>
        <w:tc>
          <w:tcPr>
            <w:tcW w:w="709" w:type="dxa"/>
            <w:vAlign w:val="center"/>
          </w:tcPr>
          <w:p>
            <w:pPr>
              <w:pStyle w:val="14"/>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用途</w:t>
            </w:r>
          </w:p>
        </w:tc>
        <w:tc>
          <w:tcPr>
            <w:tcW w:w="754" w:type="dxa"/>
            <w:vAlign w:val="center"/>
          </w:tcPr>
          <w:p>
            <w:pPr>
              <w:pStyle w:val="14"/>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7" w:hRule="atLeast"/>
          <w:jc w:val="center"/>
        </w:trPr>
        <w:tc>
          <w:tcPr>
            <w:tcW w:w="744" w:type="dxa"/>
            <w:vAlign w:val="center"/>
          </w:tcPr>
          <w:p>
            <w:pPr>
              <w:topLinePunct/>
              <w:autoSpaceDE/>
              <w:autoSpaceDN/>
              <w:spacing w:line="360" w:lineRule="auto"/>
              <w:jc w:val="center"/>
              <w:rPr>
                <w:rFonts w:ascii="Times New Roman" w:hAnsi="Times New Roman" w:eastAsia="宋体" w:cs="Times New Roman"/>
                <w:kern w:val="21"/>
                <w:lang w:eastAsia="zh-CN"/>
              </w:rPr>
            </w:pPr>
            <w:r>
              <w:rPr>
                <w:rFonts w:hint="eastAsia" w:ascii="Times New Roman" w:hAnsi="Times New Roman" w:eastAsia="宋体" w:cs="Times New Roman"/>
                <w:kern w:val="21"/>
                <w:lang w:eastAsia="zh-CN"/>
              </w:rPr>
              <w:t>1</w:t>
            </w:r>
          </w:p>
        </w:tc>
        <w:tc>
          <w:tcPr>
            <w:tcW w:w="1907" w:type="dxa"/>
            <w:vAlign w:val="center"/>
          </w:tcPr>
          <w:p>
            <w:pPr>
              <w:topLinePunct/>
              <w:autoSpaceDE/>
              <w:autoSpaceDN/>
              <w:spacing w:line="360" w:lineRule="auto"/>
              <w:jc w:val="center"/>
              <w:rPr>
                <w:rFonts w:ascii="Times New Roman" w:hAnsi="Times New Roman" w:cs="Times New Roman"/>
                <w:kern w:val="21"/>
              </w:rPr>
            </w:pPr>
          </w:p>
        </w:tc>
        <w:tc>
          <w:tcPr>
            <w:tcW w:w="2477" w:type="dxa"/>
            <w:vAlign w:val="center"/>
          </w:tcPr>
          <w:p>
            <w:pPr>
              <w:topLinePunct/>
              <w:autoSpaceDE/>
              <w:autoSpaceDN/>
              <w:spacing w:line="360" w:lineRule="auto"/>
              <w:jc w:val="center"/>
              <w:rPr>
                <w:rFonts w:ascii="Times New Roman" w:hAnsi="Times New Roman" w:cs="Times New Roman"/>
                <w:kern w:val="21"/>
              </w:rPr>
            </w:pPr>
          </w:p>
        </w:tc>
        <w:tc>
          <w:tcPr>
            <w:tcW w:w="989" w:type="dxa"/>
            <w:vAlign w:val="center"/>
          </w:tcPr>
          <w:p>
            <w:pPr>
              <w:topLinePunct/>
              <w:autoSpaceDE/>
              <w:autoSpaceDN/>
              <w:spacing w:line="360" w:lineRule="auto"/>
              <w:jc w:val="center"/>
              <w:rPr>
                <w:rFonts w:ascii="Times New Roman" w:hAnsi="Times New Roman" w:cs="Times New Roman"/>
                <w:kern w:val="21"/>
              </w:rPr>
            </w:pPr>
          </w:p>
        </w:tc>
        <w:tc>
          <w:tcPr>
            <w:tcW w:w="869" w:type="dxa"/>
            <w:vAlign w:val="center"/>
          </w:tcPr>
          <w:p>
            <w:pPr>
              <w:topLinePunct/>
              <w:autoSpaceDE/>
              <w:autoSpaceDN/>
              <w:spacing w:line="360" w:lineRule="auto"/>
              <w:jc w:val="center"/>
              <w:rPr>
                <w:rFonts w:ascii="Times New Roman" w:hAnsi="Times New Roman" w:cs="Times New Roman"/>
                <w:kern w:val="21"/>
              </w:rPr>
            </w:pPr>
          </w:p>
        </w:tc>
        <w:tc>
          <w:tcPr>
            <w:tcW w:w="709" w:type="dxa"/>
            <w:vAlign w:val="center"/>
          </w:tcPr>
          <w:p>
            <w:pPr>
              <w:topLinePunct/>
              <w:autoSpaceDE/>
              <w:autoSpaceDN/>
              <w:spacing w:line="360" w:lineRule="auto"/>
              <w:jc w:val="center"/>
              <w:rPr>
                <w:rFonts w:ascii="Times New Roman" w:hAnsi="Times New Roman" w:cs="Times New Roman"/>
                <w:kern w:val="21"/>
              </w:rPr>
            </w:pPr>
          </w:p>
        </w:tc>
        <w:tc>
          <w:tcPr>
            <w:tcW w:w="754" w:type="dxa"/>
            <w:vAlign w:val="center"/>
          </w:tcPr>
          <w:p>
            <w:pPr>
              <w:topLinePunct/>
              <w:autoSpaceDE/>
              <w:autoSpaceDN/>
              <w:spacing w:line="360" w:lineRule="auto"/>
              <w:jc w:val="center"/>
              <w:rPr>
                <w:rFonts w:ascii="Times New Roman" w:hAnsi="Times New Roman" w:cs="Times New Roman"/>
                <w:kern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jc w:val="center"/>
        </w:trPr>
        <w:tc>
          <w:tcPr>
            <w:tcW w:w="744" w:type="dxa"/>
            <w:vAlign w:val="center"/>
          </w:tcPr>
          <w:p>
            <w:pPr>
              <w:topLinePunct/>
              <w:autoSpaceDE/>
              <w:autoSpaceDN/>
              <w:spacing w:line="360" w:lineRule="auto"/>
              <w:jc w:val="center"/>
              <w:rPr>
                <w:rFonts w:ascii="Times New Roman" w:hAnsi="Times New Roman" w:eastAsia="宋体" w:cs="Times New Roman"/>
                <w:kern w:val="21"/>
                <w:lang w:eastAsia="zh-CN"/>
              </w:rPr>
            </w:pPr>
            <w:r>
              <w:rPr>
                <w:rFonts w:hint="eastAsia" w:ascii="Times New Roman" w:hAnsi="Times New Roman" w:eastAsia="宋体" w:cs="Times New Roman"/>
                <w:kern w:val="21"/>
                <w:lang w:eastAsia="zh-CN"/>
              </w:rPr>
              <w:t>2</w:t>
            </w:r>
          </w:p>
        </w:tc>
        <w:tc>
          <w:tcPr>
            <w:tcW w:w="1907" w:type="dxa"/>
            <w:vAlign w:val="center"/>
          </w:tcPr>
          <w:p>
            <w:pPr>
              <w:topLinePunct/>
              <w:autoSpaceDE/>
              <w:autoSpaceDN/>
              <w:spacing w:line="360" w:lineRule="auto"/>
              <w:jc w:val="center"/>
              <w:rPr>
                <w:rFonts w:ascii="Times New Roman" w:hAnsi="Times New Roman" w:cs="Times New Roman"/>
                <w:kern w:val="21"/>
              </w:rPr>
            </w:pPr>
          </w:p>
        </w:tc>
        <w:tc>
          <w:tcPr>
            <w:tcW w:w="2477" w:type="dxa"/>
            <w:vAlign w:val="center"/>
          </w:tcPr>
          <w:p>
            <w:pPr>
              <w:topLinePunct/>
              <w:autoSpaceDE/>
              <w:autoSpaceDN/>
              <w:spacing w:line="360" w:lineRule="auto"/>
              <w:jc w:val="center"/>
              <w:rPr>
                <w:rFonts w:ascii="Times New Roman" w:hAnsi="Times New Roman" w:cs="Times New Roman"/>
                <w:kern w:val="21"/>
              </w:rPr>
            </w:pPr>
          </w:p>
        </w:tc>
        <w:tc>
          <w:tcPr>
            <w:tcW w:w="989" w:type="dxa"/>
            <w:vAlign w:val="center"/>
          </w:tcPr>
          <w:p>
            <w:pPr>
              <w:topLinePunct/>
              <w:autoSpaceDE/>
              <w:autoSpaceDN/>
              <w:spacing w:line="360" w:lineRule="auto"/>
              <w:jc w:val="center"/>
              <w:rPr>
                <w:rFonts w:ascii="Times New Roman" w:hAnsi="Times New Roman" w:cs="Times New Roman"/>
                <w:kern w:val="21"/>
              </w:rPr>
            </w:pPr>
          </w:p>
        </w:tc>
        <w:tc>
          <w:tcPr>
            <w:tcW w:w="869" w:type="dxa"/>
            <w:vAlign w:val="center"/>
          </w:tcPr>
          <w:p>
            <w:pPr>
              <w:topLinePunct/>
              <w:autoSpaceDE/>
              <w:autoSpaceDN/>
              <w:spacing w:line="360" w:lineRule="auto"/>
              <w:jc w:val="center"/>
              <w:rPr>
                <w:rFonts w:ascii="Times New Roman" w:hAnsi="Times New Roman" w:cs="Times New Roman"/>
                <w:kern w:val="21"/>
              </w:rPr>
            </w:pPr>
          </w:p>
        </w:tc>
        <w:tc>
          <w:tcPr>
            <w:tcW w:w="709" w:type="dxa"/>
            <w:vAlign w:val="center"/>
          </w:tcPr>
          <w:p>
            <w:pPr>
              <w:topLinePunct/>
              <w:autoSpaceDE/>
              <w:autoSpaceDN/>
              <w:spacing w:line="360" w:lineRule="auto"/>
              <w:jc w:val="center"/>
              <w:rPr>
                <w:rFonts w:ascii="Times New Roman" w:hAnsi="Times New Roman" w:cs="Times New Roman"/>
                <w:kern w:val="21"/>
              </w:rPr>
            </w:pPr>
          </w:p>
        </w:tc>
        <w:tc>
          <w:tcPr>
            <w:tcW w:w="754" w:type="dxa"/>
            <w:vAlign w:val="center"/>
          </w:tcPr>
          <w:p>
            <w:pPr>
              <w:topLinePunct/>
              <w:autoSpaceDE/>
              <w:autoSpaceDN/>
              <w:spacing w:line="360" w:lineRule="auto"/>
              <w:jc w:val="center"/>
              <w:rPr>
                <w:rFonts w:ascii="Times New Roman" w:hAnsi="Times New Roman" w:cs="Times New Roman"/>
                <w:kern w:val="21"/>
              </w:rPr>
            </w:pPr>
          </w:p>
        </w:tc>
      </w:tr>
    </w:tbl>
    <w:p>
      <w:pPr>
        <w:pStyle w:val="2"/>
        <w:topLinePunct/>
        <w:autoSpaceDE/>
        <w:autoSpaceDN/>
        <w:spacing w:line="360" w:lineRule="auto"/>
        <w:rPr>
          <w:rFonts w:ascii="Times New Roman" w:hAnsi="Times New Roman" w:cs="Times New Roman"/>
          <w:kern w:val="21"/>
        </w:rPr>
      </w:pPr>
    </w:p>
    <w:p>
      <w:pPr>
        <w:pStyle w:val="4"/>
        <w:rPr>
          <w:lang w:eastAsia="zh-CN"/>
        </w:rPr>
      </w:pPr>
      <w:bookmarkStart w:id="16" w:name="_Toc9278"/>
      <w:r>
        <mc:AlternateContent>
          <mc:Choice Requires="wps">
            <w:drawing>
              <wp:anchor distT="0" distB="0" distL="114300" distR="114300" simplePos="0" relativeHeight="251660288" behindDoc="0" locked="0" layoutInCell="1" allowOverlap="1">
                <wp:simplePos x="0" y="0"/>
                <wp:positionH relativeFrom="column">
                  <wp:posOffset>6136640</wp:posOffset>
                </wp:positionH>
                <wp:positionV relativeFrom="paragraph">
                  <wp:posOffset>98425</wp:posOffset>
                </wp:positionV>
                <wp:extent cx="60960" cy="113665"/>
                <wp:effectExtent l="0" t="0" r="0" b="0"/>
                <wp:wrapNone/>
                <wp:docPr id="1" name="文本框 1"/>
                <wp:cNvGraphicFramePr/>
                <a:graphic xmlns:a="http://schemas.openxmlformats.org/drawingml/2006/main">
                  <a:graphicData uri="http://schemas.microsoft.com/office/word/2010/wordprocessingShape">
                    <wps:wsp>
                      <wps:cNvSpPr txBox="1"/>
                      <wps:spPr>
                        <a:xfrm>
                          <a:off x="0" y="0"/>
                          <a:ext cx="60960" cy="113665"/>
                        </a:xfrm>
                        <a:prstGeom prst="rect">
                          <a:avLst/>
                        </a:prstGeom>
                        <a:noFill/>
                        <a:ln>
                          <a:noFill/>
                        </a:ln>
                      </wps:spPr>
                      <wps:txbx>
                        <w:txbxContent>
                          <w:p>
                            <w:pPr>
                              <w:spacing w:before="20" w:line="138" w:lineRule="exact"/>
                              <w:jc w:val="right"/>
                              <w:rPr>
                                <w:rFonts w:ascii="宋体" w:hAnsi="宋体" w:eastAsia="宋体" w:cs="宋体"/>
                                <w:sz w:val="9"/>
                                <w:szCs w:val="9"/>
                              </w:rPr>
                            </w:pPr>
                            <w:r>
                              <w:rPr>
                                <w:rFonts w:ascii="宋体" w:hAnsi="宋体" w:eastAsia="宋体" w:cs="宋体"/>
                                <w:spacing w:val="-35"/>
                                <w:position w:val="1"/>
                                <w:sz w:val="9"/>
                                <w:szCs w:val="9"/>
                              </w:rPr>
                              <w:t>·</w:t>
                            </w:r>
                          </w:p>
                        </w:txbxContent>
                      </wps:txbx>
                      <wps:bodyPr lIns="0" tIns="0" rIns="0" bIns="0" upright="1"/>
                    </wps:wsp>
                  </a:graphicData>
                </a:graphic>
              </wp:anchor>
            </w:drawing>
          </mc:Choice>
          <mc:Fallback>
            <w:pict>
              <v:shape id="_x0000_s1026" o:spid="_x0000_s1026" o:spt="202" type="#_x0000_t202" style="position:absolute;left:0pt;margin-left:483.2pt;margin-top:7.75pt;height:8.95pt;width:4.8pt;z-index:251660288;mso-width-relative:page;mso-height-relative:page;" filled="f" stroked="f" coordsize="21600,21600" o:gfxdata="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Coc7I2AAAAAkBAAAPAAAAAAAAAAEAIAAAACIAAABkcnMvZG93bnJldi54bWxQSwECFAAU&#10;AAAACACHTuJANonf5rgBAABwAwAADgAAAAAAAAABACAAAAAnAQAAZHJzL2Uyb0RvYy54bWxQSwUG&#10;AAAAAAYABgBZAQAAUQUAAAAA&#10;">
                <v:fill on="f" focussize="0,0"/>
                <v:stroke on="f"/>
                <v:imagedata o:title=""/>
                <o:lock v:ext="edit" aspectratio="f"/>
                <v:textbox inset="0mm,0mm,0mm,0mm">
                  <w:txbxContent>
                    <w:p>
                      <w:pPr>
                        <w:spacing w:before="20" w:line="138" w:lineRule="exact"/>
                        <w:jc w:val="right"/>
                        <w:rPr>
                          <w:rFonts w:ascii="宋体" w:hAnsi="宋体" w:eastAsia="宋体" w:cs="宋体"/>
                          <w:sz w:val="9"/>
                          <w:szCs w:val="9"/>
                        </w:rPr>
                      </w:pPr>
                      <w:r>
                        <w:rPr>
                          <w:rFonts w:ascii="宋体" w:hAnsi="宋体" w:eastAsia="宋体" w:cs="宋体"/>
                          <w:spacing w:val="-35"/>
                          <w:position w:val="1"/>
                          <w:sz w:val="9"/>
                          <w:szCs w:val="9"/>
                        </w:rPr>
                        <w:t>·</w:t>
                      </w:r>
                    </w:p>
                  </w:txbxContent>
                </v:textbox>
              </v:shape>
            </w:pict>
          </mc:Fallback>
        </mc:AlternateContent>
      </w:r>
      <w:r>
        <w:rPr>
          <w:lang w:eastAsia="zh-CN"/>
        </w:rPr>
        <w:t>8  投标方应填写主要部件来源、规范一览表</w:t>
      </w:r>
      <w:bookmarkEnd w:id="16"/>
    </w:p>
    <w:p>
      <w:pPr>
        <w:topLinePunct/>
        <w:autoSpaceDE/>
        <w:autoSpaceDN/>
        <w:spacing w:line="360" w:lineRule="auto"/>
        <w:ind w:firstLine="420" w:firstLineChars="200"/>
        <w:rPr>
          <w:rFonts w:ascii="Times New Roman" w:hAnsi="Times New Roman" w:eastAsia="宋体" w:cs="Times New Roman"/>
          <w:kern w:val="21"/>
          <w:lang w:eastAsia="zh-CN"/>
        </w:rPr>
      </w:pPr>
      <w:r>
        <w:rPr>
          <w:rFonts w:ascii="Times New Roman" w:hAnsi="Times New Roman" w:eastAsia="宋体" w:cs="Times New Roman"/>
          <w:kern w:val="21"/>
          <w:lang w:eastAsia="zh-CN"/>
        </w:rPr>
        <w:t>投标方应填写主要部件来源、规范一览表，其格式如表3。</w:t>
      </w:r>
    </w:p>
    <w:p>
      <w:pPr>
        <w:topLinePunct/>
        <w:autoSpaceDE/>
        <w:autoSpaceDN/>
        <w:spacing w:line="360" w:lineRule="auto"/>
        <w:ind w:firstLine="422" w:firstLineChars="200"/>
        <w:rPr>
          <w:rFonts w:hint="eastAsia" w:ascii="Times New Roman" w:hAnsi="Times New Roman" w:eastAsia="黑体" w:cs="Times New Roman"/>
          <w:b/>
          <w:bCs/>
          <w:kern w:val="21"/>
          <w:lang w:eastAsia="zh-CN"/>
        </w:rPr>
      </w:pPr>
    </w:p>
    <w:p>
      <w:pPr>
        <w:topLinePunct/>
        <w:autoSpaceDE/>
        <w:autoSpaceDN/>
        <w:spacing w:line="360" w:lineRule="auto"/>
        <w:jc w:val="center"/>
        <w:rPr>
          <w:rFonts w:ascii="Times New Roman" w:hAnsi="Times New Roman" w:eastAsia="黑体" w:cs="Times New Roman"/>
          <w:b/>
          <w:bCs/>
          <w:kern w:val="21"/>
          <w:lang w:eastAsia="zh-CN"/>
        </w:rPr>
      </w:pPr>
      <w:r>
        <w:rPr>
          <w:rFonts w:ascii="Times New Roman" w:hAnsi="Times New Roman" w:eastAsia="黑体" w:cs="Times New Roman"/>
          <w:b/>
          <w:bCs/>
          <w:kern w:val="21"/>
          <w:lang w:eastAsia="zh-CN"/>
        </w:rPr>
        <w:t>表3  主要部件来源、规范一览</w:t>
      </w:r>
      <w:r>
        <w:rPr>
          <w:rFonts w:hint="eastAsia" w:ascii="Times New Roman" w:hAnsi="Times New Roman" w:eastAsia="黑体" w:cs="Times New Roman"/>
          <w:b/>
          <w:bCs/>
          <w:kern w:val="21"/>
          <w:lang w:eastAsia="zh-CN"/>
        </w:rPr>
        <w:t>表</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5"/>
        <w:gridCol w:w="1705"/>
        <w:gridCol w:w="1705"/>
        <w:gridCol w:w="1705"/>
        <w:gridCol w:w="1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5" w:type="dxa"/>
            <w:vAlign w:val="center"/>
          </w:tcPr>
          <w:p>
            <w:pPr>
              <w:pStyle w:val="14"/>
              <w:topLinePunct/>
              <w:autoSpaceDE/>
              <w:autoSpaceDN/>
              <w:spacing w:line="360" w:lineRule="auto"/>
              <w:jc w:val="center"/>
              <w:rPr>
                <w:rFonts w:ascii="Times New Roman" w:hAnsi="Times New Roman" w:eastAsia="宋体" w:cs="Times New Roman"/>
                <w:kern w:val="21"/>
                <w:sz w:val="21"/>
                <w:szCs w:val="21"/>
                <w:lang w:eastAsia="zh-CN"/>
              </w:rPr>
            </w:pPr>
            <w:r>
              <w:rPr>
                <w:rFonts w:hint="eastAsia" w:ascii="Times New Roman" w:hAnsi="Times New Roman" w:eastAsia="宋体" w:cs="Times New Roman"/>
                <w:kern w:val="21"/>
                <w:sz w:val="21"/>
                <w:szCs w:val="21"/>
              </w:rPr>
              <w:t>序</w:t>
            </w:r>
            <w:r>
              <w:rPr>
                <w:rFonts w:ascii="Times New Roman" w:hAnsi="Times New Roman" w:eastAsia="宋体" w:cs="Times New Roman"/>
                <w:kern w:val="21"/>
                <w:sz w:val="21"/>
                <w:szCs w:val="21"/>
              </w:rPr>
              <w:t>号</w:t>
            </w:r>
          </w:p>
        </w:tc>
        <w:tc>
          <w:tcPr>
            <w:tcW w:w="1705" w:type="dxa"/>
            <w:vAlign w:val="center"/>
          </w:tcPr>
          <w:p>
            <w:pPr>
              <w:pStyle w:val="14"/>
              <w:topLinePunct/>
              <w:autoSpaceDE/>
              <w:autoSpaceDN/>
              <w:spacing w:line="360" w:lineRule="auto"/>
              <w:jc w:val="center"/>
              <w:rPr>
                <w:rFonts w:ascii="Times New Roman" w:hAnsi="Times New Roman" w:eastAsia="宋体" w:cs="Times New Roman"/>
                <w:kern w:val="21"/>
                <w:sz w:val="21"/>
                <w:szCs w:val="21"/>
                <w:lang w:eastAsia="zh-CN"/>
              </w:rPr>
            </w:pPr>
            <w:r>
              <w:rPr>
                <w:rFonts w:hint="eastAsia" w:ascii="Times New Roman" w:hAnsi="Times New Roman" w:eastAsia="宋体" w:cs="Times New Roman"/>
                <w:kern w:val="21"/>
                <w:sz w:val="21"/>
                <w:szCs w:val="21"/>
              </w:rPr>
              <w:t>部</w:t>
            </w:r>
            <w:r>
              <w:rPr>
                <w:rFonts w:ascii="Times New Roman" w:hAnsi="Times New Roman" w:eastAsia="宋体" w:cs="Times New Roman"/>
                <w:kern w:val="21"/>
                <w:sz w:val="21"/>
                <w:szCs w:val="21"/>
              </w:rPr>
              <w:t>件名称</w:t>
            </w:r>
          </w:p>
        </w:tc>
        <w:tc>
          <w:tcPr>
            <w:tcW w:w="1705" w:type="dxa"/>
            <w:vAlign w:val="center"/>
          </w:tcPr>
          <w:p>
            <w:pPr>
              <w:pStyle w:val="14"/>
              <w:topLinePunct/>
              <w:autoSpaceDE/>
              <w:autoSpaceDN/>
              <w:spacing w:line="360" w:lineRule="auto"/>
              <w:jc w:val="center"/>
              <w:rPr>
                <w:rFonts w:ascii="Times New Roman" w:hAnsi="Times New Roman" w:eastAsia="宋体" w:cs="Times New Roman"/>
                <w:kern w:val="21"/>
                <w:sz w:val="21"/>
                <w:szCs w:val="21"/>
                <w:lang w:eastAsia="zh-CN"/>
              </w:rPr>
            </w:pPr>
            <w:r>
              <w:rPr>
                <w:rFonts w:hint="eastAsia" w:ascii="Times New Roman" w:hAnsi="Times New Roman" w:eastAsia="宋体" w:cs="Times New Roman"/>
                <w:kern w:val="21"/>
                <w:sz w:val="21"/>
                <w:szCs w:val="21"/>
              </w:rPr>
              <w:t>产</w:t>
            </w:r>
            <w:r>
              <w:rPr>
                <w:rFonts w:ascii="Times New Roman" w:hAnsi="Times New Roman" w:eastAsia="宋体" w:cs="Times New Roman"/>
                <w:kern w:val="21"/>
                <w:sz w:val="21"/>
                <w:szCs w:val="21"/>
              </w:rPr>
              <w:t>地、厂家</w:t>
            </w:r>
          </w:p>
        </w:tc>
        <w:tc>
          <w:tcPr>
            <w:tcW w:w="1705" w:type="dxa"/>
            <w:vAlign w:val="center"/>
          </w:tcPr>
          <w:p>
            <w:pPr>
              <w:pStyle w:val="14"/>
              <w:topLinePunct/>
              <w:autoSpaceDE/>
              <w:autoSpaceDN/>
              <w:spacing w:line="360" w:lineRule="auto"/>
              <w:jc w:val="center"/>
              <w:rPr>
                <w:rFonts w:ascii="Times New Roman" w:hAnsi="Times New Roman" w:eastAsia="宋体" w:cs="Times New Roman"/>
                <w:kern w:val="21"/>
                <w:sz w:val="21"/>
                <w:szCs w:val="21"/>
                <w:lang w:eastAsia="zh-CN"/>
              </w:rPr>
            </w:pPr>
            <w:r>
              <w:rPr>
                <w:rFonts w:hint="eastAsia" w:ascii="Times New Roman" w:hAnsi="Times New Roman" w:eastAsia="宋体" w:cs="Times New Roman"/>
                <w:kern w:val="21"/>
                <w:sz w:val="21"/>
                <w:szCs w:val="21"/>
              </w:rPr>
              <w:t>型</w:t>
            </w:r>
            <w:r>
              <w:rPr>
                <w:rFonts w:ascii="Times New Roman" w:hAnsi="Times New Roman" w:eastAsia="宋体" w:cs="Times New Roman"/>
                <w:kern w:val="21"/>
                <w:sz w:val="21"/>
                <w:szCs w:val="21"/>
              </w:rPr>
              <w:t>号及规范</w:t>
            </w:r>
          </w:p>
        </w:tc>
        <w:tc>
          <w:tcPr>
            <w:tcW w:w="1706" w:type="dxa"/>
            <w:vAlign w:val="center"/>
          </w:tcPr>
          <w:p>
            <w:pPr>
              <w:pStyle w:val="14"/>
              <w:topLinePunct/>
              <w:autoSpaceDE/>
              <w:autoSpaceDN/>
              <w:spacing w:line="360" w:lineRule="auto"/>
              <w:jc w:val="center"/>
              <w:rPr>
                <w:rFonts w:ascii="Times New Roman" w:hAnsi="Times New Roman" w:eastAsia="宋体" w:cs="Times New Roman"/>
                <w:kern w:val="21"/>
                <w:sz w:val="21"/>
                <w:szCs w:val="21"/>
                <w:lang w:eastAsia="zh-CN"/>
              </w:rPr>
            </w:pPr>
            <w:r>
              <w:rPr>
                <w:rFonts w:hint="eastAsia" w:ascii="Times New Roman" w:hAnsi="Times New Roman" w:eastAsia="宋体" w:cs="Times New Roman"/>
                <w:kern w:val="21"/>
                <w:sz w:val="21"/>
                <w:szCs w:val="21"/>
              </w:rPr>
              <w:t>备</w:t>
            </w:r>
            <w:r>
              <w:rPr>
                <w:rFonts w:ascii="Times New Roman" w:hAnsi="Times New Roman" w:eastAsia="宋体" w:cs="Times New Roman"/>
                <w:kern w:val="21"/>
                <w:sz w:val="21"/>
                <w:szCs w:val="21"/>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705" w:type="dxa"/>
            <w:vAlign w:val="center"/>
          </w:tcPr>
          <w:p>
            <w:pPr>
              <w:pStyle w:val="2"/>
              <w:widowControl/>
              <w:topLinePunct/>
              <w:autoSpaceDE/>
              <w:autoSpaceDN/>
              <w:jc w:val="center"/>
              <w:rPr>
                <w:rFonts w:ascii="Times New Roman" w:hAnsi="Times New Roman" w:eastAsia="黑体" w:cs="Times New Roman"/>
                <w:b/>
                <w:bCs/>
                <w:kern w:val="21"/>
                <w:lang w:eastAsia="zh-CN"/>
              </w:rPr>
            </w:pPr>
          </w:p>
        </w:tc>
        <w:tc>
          <w:tcPr>
            <w:tcW w:w="1705" w:type="dxa"/>
            <w:vAlign w:val="center"/>
          </w:tcPr>
          <w:p>
            <w:pPr>
              <w:pStyle w:val="2"/>
              <w:widowControl/>
              <w:topLinePunct/>
              <w:autoSpaceDE/>
              <w:autoSpaceDN/>
              <w:jc w:val="center"/>
              <w:rPr>
                <w:rFonts w:ascii="Times New Roman" w:hAnsi="Times New Roman" w:eastAsia="黑体" w:cs="Times New Roman"/>
                <w:b/>
                <w:bCs/>
                <w:kern w:val="21"/>
                <w:lang w:eastAsia="zh-CN"/>
              </w:rPr>
            </w:pPr>
          </w:p>
        </w:tc>
        <w:tc>
          <w:tcPr>
            <w:tcW w:w="1705" w:type="dxa"/>
            <w:vAlign w:val="center"/>
          </w:tcPr>
          <w:p>
            <w:pPr>
              <w:pStyle w:val="2"/>
              <w:widowControl/>
              <w:topLinePunct/>
              <w:autoSpaceDE/>
              <w:autoSpaceDN/>
              <w:jc w:val="center"/>
              <w:rPr>
                <w:rFonts w:ascii="Times New Roman" w:hAnsi="Times New Roman" w:eastAsia="黑体" w:cs="Times New Roman"/>
                <w:b/>
                <w:bCs/>
                <w:kern w:val="21"/>
                <w:lang w:eastAsia="zh-CN"/>
              </w:rPr>
            </w:pPr>
          </w:p>
        </w:tc>
        <w:tc>
          <w:tcPr>
            <w:tcW w:w="1705" w:type="dxa"/>
            <w:vAlign w:val="center"/>
          </w:tcPr>
          <w:p>
            <w:pPr>
              <w:pStyle w:val="2"/>
              <w:widowControl/>
              <w:topLinePunct/>
              <w:autoSpaceDE/>
              <w:autoSpaceDN/>
              <w:jc w:val="center"/>
              <w:rPr>
                <w:rFonts w:ascii="Times New Roman" w:hAnsi="Times New Roman" w:eastAsia="黑体" w:cs="Times New Roman"/>
                <w:b/>
                <w:bCs/>
                <w:kern w:val="21"/>
                <w:lang w:eastAsia="zh-CN"/>
              </w:rPr>
            </w:pPr>
          </w:p>
        </w:tc>
        <w:tc>
          <w:tcPr>
            <w:tcW w:w="1706" w:type="dxa"/>
            <w:vAlign w:val="center"/>
          </w:tcPr>
          <w:p>
            <w:pPr>
              <w:pStyle w:val="2"/>
              <w:widowControl/>
              <w:topLinePunct/>
              <w:autoSpaceDE/>
              <w:autoSpaceDN/>
              <w:jc w:val="center"/>
              <w:rPr>
                <w:rFonts w:ascii="Times New Roman" w:hAnsi="Times New Roman" w:eastAsia="黑体" w:cs="Times New Roman"/>
                <w:b/>
                <w:bCs/>
                <w:kern w:val="21"/>
                <w:lang w:eastAsia="zh-CN"/>
              </w:rPr>
            </w:pPr>
          </w:p>
        </w:tc>
      </w:tr>
    </w:tbl>
    <w:p>
      <w:pPr>
        <w:pStyle w:val="4"/>
        <w:rPr>
          <w:lang w:eastAsia="zh-CN"/>
        </w:rPr>
      </w:pPr>
    </w:p>
    <w:p>
      <w:pPr>
        <w:rPr>
          <w:lang w:eastAsia="zh-CN"/>
        </w:rPr>
      </w:pPr>
    </w:p>
    <w:p>
      <w:pPr>
        <w:pStyle w:val="4"/>
        <w:rPr>
          <w:lang w:eastAsia="zh-CN"/>
        </w:rPr>
      </w:pPr>
      <w:bookmarkStart w:id="17" w:name="_Toc1704"/>
      <w:r>
        <w:rPr>
          <w:rFonts w:hint="eastAsia"/>
          <w:lang w:eastAsia="zh-CN"/>
        </w:rPr>
        <w:t>9、技术标书评价依据</w:t>
      </w:r>
      <w:bookmarkEnd w:id="17"/>
    </w:p>
    <w:p>
      <w:pPr>
        <w:topLinePunct/>
        <w:autoSpaceDE/>
        <w:autoSpaceDN/>
        <w:spacing w:line="360" w:lineRule="auto"/>
        <w:ind w:firstLine="420" w:firstLineChars="200"/>
        <w:rPr>
          <w:rFonts w:ascii="Times New Roman" w:hAnsi="Times New Roman" w:eastAsia="宋体" w:cs="Times New Roman"/>
          <w:kern w:val="21"/>
          <w:lang w:eastAsia="zh-CN"/>
        </w:rPr>
      </w:pPr>
      <w:r>
        <w:rPr>
          <w:rFonts w:hint="eastAsia" w:ascii="Times New Roman" w:hAnsi="Times New Roman" w:eastAsia="宋体" w:cs="Times New Roman"/>
          <w:kern w:val="21"/>
          <w:lang w:eastAsia="zh-CN"/>
        </w:rPr>
        <w:t>1、投标方所提供的技术服务与本项目技术要求的对比差异。</w:t>
      </w:r>
    </w:p>
    <w:p>
      <w:pPr>
        <w:topLinePunct/>
        <w:autoSpaceDE/>
        <w:autoSpaceDN/>
        <w:spacing w:line="360" w:lineRule="auto"/>
        <w:ind w:firstLine="420" w:firstLineChars="200"/>
        <w:rPr>
          <w:rFonts w:ascii="Times New Roman" w:hAnsi="Times New Roman" w:eastAsia="宋体" w:cs="Times New Roman"/>
          <w:kern w:val="21"/>
          <w:lang w:eastAsia="zh-CN"/>
        </w:rPr>
      </w:pPr>
      <w:r>
        <w:rPr>
          <w:rFonts w:hint="eastAsia" w:ascii="Times New Roman" w:hAnsi="Times New Roman" w:eastAsia="宋体" w:cs="Times New Roman"/>
          <w:kern w:val="21"/>
          <w:lang w:eastAsia="zh-CN"/>
        </w:rPr>
        <w:t>2、投标方安排参与项目的专业人员的数量、素质、技术能力、工作经验。</w:t>
      </w:r>
    </w:p>
    <w:p>
      <w:pPr>
        <w:topLinePunct/>
        <w:autoSpaceDE/>
        <w:autoSpaceDN/>
        <w:spacing w:line="360" w:lineRule="auto"/>
        <w:ind w:firstLine="420" w:firstLineChars="200"/>
        <w:rPr>
          <w:rFonts w:ascii="Times New Roman" w:hAnsi="Times New Roman" w:eastAsia="宋体" w:cs="Times New Roman"/>
          <w:kern w:val="21"/>
          <w:lang w:eastAsia="zh-CN"/>
        </w:rPr>
      </w:pPr>
      <w:r>
        <w:rPr>
          <w:rFonts w:hint="eastAsia" w:ascii="Times New Roman" w:hAnsi="Times New Roman" w:eastAsia="宋体" w:cs="Times New Roman"/>
          <w:kern w:val="21"/>
          <w:lang w:eastAsia="zh-CN"/>
        </w:rPr>
        <w:t>3、投标方关于本项目的时间进度安排。</w:t>
      </w:r>
    </w:p>
    <w:p>
      <w:pPr>
        <w:rPr>
          <w:lang w:eastAsia="zh-CN"/>
        </w:rPr>
      </w:pPr>
    </w:p>
    <w:p>
      <w:pPr>
        <w:rPr>
          <w:lang w:eastAsia="zh-CN"/>
        </w:rPr>
      </w:pPr>
    </w:p>
    <w:p>
      <w:pPr>
        <w:pStyle w:val="4"/>
        <w:rPr>
          <w:lang w:eastAsia="zh-CN"/>
        </w:rPr>
      </w:pPr>
      <w:bookmarkStart w:id="18" w:name="_Toc13789"/>
      <w:r>
        <w:rPr>
          <w:rFonts w:hint="eastAsia"/>
          <w:lang w:eastAsia="zh-CN"/>
        </w:rPr>
        <w:t>10、技术应答及技术差异表</w:t>
      </w:r>
      <w:bookmarkEnd w:id="18"/>
    </w:p>
    <w:p>
      <w:pPr>
        <w:topLinePunct/>
        <w:autoSpaceDE/>
        <w:autoSpaceDN/>
        <w:spacing w:line="360" w:lineRule="auto"/>
        <w:ind w:firstLine="420" w:firstLineChars="200"/>
        <w:rPr>
          <w:rFonts w:ascii="Times New Roman" w:hAnsi="Times New Roman" w:eastAsia="宋体" w:cs="Times New Roman"/>
          <w:kern w:val="21"/>
          <w:lang w:eastAsia="zh-CN"/>
        </w:rPr>
      </w:pPr>
      <w:r>
        <w:rPr>
          <w:rFonts w:hint="eastAsia" w:ascii="Times New Roman" w:hAnsi="Times New Roman" w:eastAsia="宋体" w:cs="Times New Roman"/>
          <w:kern w:val="21"/>
          <w:lang w:eastAsia="zh-CN"/>
        </w:rPr>
        <w:t>投标方应针对本招标文件的“3.工作范围”、“4.使用条件”、“5.技术要求”内容进行详细的技术应答并编制技术差异表(见附表1)。</w:t>
      </w:r>
    </w:p>
    <w:p>
      <w:pPr>
        <w:rPr>
          <w:lang w:eastAsia="zh-CN"/>
        </w:rPr>
      </w:pPr>
    </w:p>
    <w:p>
      <w:pPr>
        <w:rPr>
          <w:lang w:eastAsia="zh-CN"/>
        </w:rPr>
      </w:pPr>
    </w:p>
    <w:p>
      <w:pPr>
        <w:pStyle w:val="4"/>
        <w:rPr>
          <w:lang w:eastAsia="zh-CN"/>
        </w:rPr>
      </w:pPr>
      <w:bookmarkStart w:id="19" w:name="_Toc15189"/>
      <w:r>
        <w:rPr>
          <w:rFonts w:hint="eastAsia"/>
          <w:lang w:eastAsia="zh-CN"/>
        </w:rPr>
        <w:t>11、其它</w:t>
      </w:r>
      <w:bookmarkEnd w:id="19"/>
    </w:p>
    <w:p>
      <w:pPr>
        <w:topLinePunct/>
        <w:autoSpaceDE/>
        <w:autoSpaceDN/>
        <w:spacing w:line="360" w:lineRule="auto"/>
        <w:ind w:firstLine="420" w:firstLineChars="200"/>
        <w:rPr>
          <w:rFonts w:ascii="Times New Roman" w:hAnsi="Times New Roman" w:eastAsia="宋体" w:cs="Times New Roman"/>
          <w:kern w:val="21"/>
          <w:lang w:eastAsia="zh-CN"/>
        </w:rPr>
      </w:pPr>
      <w:r>
        <w:rPr>
          <w:rFonts w:hint="eastAsia" w:ascii="Times New Roman" w:hAnsi="Times New Roman" w:eastAsia="宋体" w:cs="Times New Roman"/>
          <w:kern w:val="21"/>
          <w:lang w:eastAsia="zh-CN"/>
        </w:rPr>
        <w:t>本标书的最终解释权归招标方。</w:t>
      </w:r>
    </w:p>
    <w:p>
      <w:pPr>
        <w:topLinePunct/>
        <w:autoSpaceDE/>
        <w:autoSpaceDN/>
        <w:spacing w:line="360" w:lineRule="auto"/>
        <w:ind w:firstLine="420" w:firstLineChars="200"/>
        <w:rPr>
          <w:rFonts w:ascii="Times New Roman" w:hAnsi="Times New Roman" w:eastAsia="宋体" w:cs="Times New Roman"/>
          <w:kern w:val="21"/>
          <w:lang w:eastAsia="zh-CN"/>
        </w:rPr>
      </w:pPr>
    </w:p>
    <w:p>
      <w:pPr>
        <w:spacing w:line="360" w:lineRule="auto"/>
        <w:outlineLvl w:val="0"/>
        <w:rPr>
          <w:rFonts w:ascii="黑体" w:hAnsi="黑体" w:eastAsia="黑体" w:cs="黑体"/>
          <w:bCs/>
          <w:sz w:val="24"/>
          <w:lang w:eastAsia="zh-CN"/>
        </w:rPr>
      </w:pPr>
      <w:bookmarkStart w:id="20" w:name="_Toc28247"/>
      <w:r>
        <w:rPr>
          <w:rFonts w:hint="eastAsia" w:ascii="黑体" w:hAnsi="黑体" w:eastAsia="黑体" w:cs="黑体"/>
          <w:bCs/>
          <w:sz w:val="24"/>
          <w:lang w:eastAsia="zh-CN"/>
        </w:rPr>
        <w:t>附表1 技术差异表</w:t>
      </w:r>
      <w:bookmarkEnd w:id="20"/>
    </w:p>
    <w:p>
      <w:pPr>
        <w:topLinePunct/>
        <w:autoSpaceDE/>
        <w:autoSpaceDN/>
        <w:spacing w:line="360" w:lineRule="auto"/>
        <w:ind w:firstLine="420" w:firstLineChars="200"/>
        <w:rPr>
          <w:rFonts w:ascii="Times New Roman" w:hAnsi="Times New Roman" w:eastAsia="宋体" w:cs="Times New Roman"/>
          <w:kern w:val="21"/>
          <w:lang w:eastAsia="zh-CN"/>
        </w:rPr>
      </w:pPr>
      <w:r>
        <w:rPr>
          <w:rFonts w:hint="eastAsia" w:ascii="Times New Roman" w:hAnsi="Times New Roman" w:eastAsia="宋体" w:cs="Times New Roman"/>
          <w:kern w:val="21"/>
          <w:lang w:eastAsia="zh-CN"/>
        </w:rPr>
        <w:t>投标方应将所提供服务差异如实填写在下面空栏里，包括所有试验项目的试验能力差异。</w:t>
      </w:r>
    </w:p>
    <w:p>
      <w:pPr>
        <w:topLinePunct/>
        <w:autoSpaceDE/>
        <w:autoSpaceDN/>
        <w:spacing w:line="360" w:lineRule="auto"/>
        <w:ind w:firstLine="420" w:firstLineChars="200"/>
        <w:rPr>
          <w:rFonts w:ascii="Times New Roman" w:hAnsi="Times New Roman" w:eastAsia="宋体" w:cs="Times New Roman"/>
          <w:kern w:val="21"/>
          <w:lang w:eastAsia="zh-CN"/>
        </w:rPr>
      </w:pPr>
    </w:p>
    <w:tbl>
      <w:tblPr>
        <w:tblStyle w:val="9"/>
        <w:tblW w:w="83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52"/>
        <w:gridCol w:w="1783"/>
        <w:gridCol w:w="2639"/>
        <w:gridCol w:w="2819"/>
        <w:gridCol w:w="5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552" w:type="dxa"/>
            <w:tcBorders>
              <w:tl2br w:val="nil"/>
              <w:tr2bl w:val="nil"/>
            </w:tcBorders>
            <w:vAlign w:val="center"/>
          </w:tcPr>
          <w:p>
            <w:pPr>
              <w:jc w:val="center"/>
            </w:pPr>
            <w:r>
              <w:rPr>
                <w:rFonts w:hint="eastAsia"/>
              </w:rPr>
              <w:t>序号</w:t>
            </w:r>
          </w:p>
        </w:tc>
        <w:tc>
          <w:tcPr>
            <w:tcW w:w="1783" w:type="dxa"/>
            <w:tcBorders>
              <w:tl2br w:val="nil"/>
              <w:tr2bl w:val="nil"/>
            </w:tcBorders>
            <w:vAlign w:val="center"/>
          </w:tcPr>
          <w:p>
            <w:pPr>
              <w:jc w:val="center"/>
            </w:pPr>
            <w:r>
              <w:rPr>
                <w:rFonts w:hint="eastAsia"/>
              </w:rPr>
              <w:t>条目</w:t>
            </w:r>
          </w:p>
        </w:tc>
        <w:tc>
          <w:tcPr>
            <w:tcW w:w="2639" w:type="dxa"/>
            <w:tcBorders>
              <w:tl2br w:val="nil"/>
              <w:tr2bl w:val="nil"/>
            </w:tcBorders>
            <w:vAlign w:val="center"/>
          </w:tcPr>
          <w:p>
            <w:pPr>
              <w:jc w:val="center"/>
              <w:rPr>
                <w:lang w:eastAsia="zh-CN"/>
              </w:rPr>
            </w:pPr>
            <w:r>
              <w:rPr>
                <w:rFonts w:hint="eastAsia"/>
                <w:lang w:eastAsia="zh-CN"/>
              </w:rPr>
              <w:t>标书所要求的技术服务能力</w:t>
            </w:r>
          </w:p>
        </w:tc>
        <w:tc>
          <w:tcPr>
            <w:tcW w:w="2819" w:type="dxa"/>
            <w:tcBorders>
              <w:tl2br w:val="nil"/>
              <w:tr2bl w:val="nil"/>
            </w:tcBorders>
            <w:vAlign w:val="center"/>
          </w:tcPr>
          <w:p>
            <w:pPr>
              <w:jc w:val="center"/>
              <w:rPr>
                <w:lang w:eastAsia="zh-CN"/>
              </w:rPr>
            </w:pPr>
            <w:r>
              <w:rPr>
                <w:rFonts w:hint="eastAsia"/>
                <w:lang w:eastAsia="zh-CN"/>
              </w:rPr>
              <w:t>投标者所提供的技术服务能力</w:t>
            </w:r>
          </w:p>
        </w:tc>
        <w:tc>
          <w:tcPr>
            <w:tcW w:w="598" w:type="dxa"/>
            <w:tcBorders>
              <w:tl2br w:val="nil"/>
              <w:tr2bl w:val="nil"/>
            </w:tcBorders>
            <w:vAlign w:val="center"/>
          </w:tcPr>
          <w:p>
            <w:pPr>
              <w:jc w:val="center"/>
            </w:pPr>
            <w:r>
              <w:rPr>
                <w:rFonts w:hint="eastAsi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trPr>
        <w:tc>
          <w:tcPr>
            <w:tcW w:w="552" w:type="dxa"/>
            <w:tcBorders>
              <w:tl2br w:val="nil"/>
              <w:tr2bl w:val="nil"/>
            </w:tcBorders>
          </w:tcPr>
          <w:p/>
        </w:tc>
        <w:tc>
          <w:tcPr>
            <w:tcW w:w="1783" w:type="dxa"/>
            <w:tcBorders>
              <w:tl2br w:val="nil"/>
              <w:tr2bl w:val="nil"/>
            </w:tcBorders>
          </w:tcPr>
          <w:p/>
        </w:tc>
        <w:tc>
          <w:tcPr>
            <w:tcW w:w="2639" w:type="dxa"/>
            <w:tcBorders>
              <w:tl2br w:val="nil"/>
              <w:tr2bl w:val="nil"/>
            </w:tcBorders>
          </w:tcPr>
          <w:p/>
        </w:tc>
        <w:tc>
          <w:tcPr>
            <w:tcW w:w="2819" w:type="dxa"/>
            <w:tcBorders>
              <w:tl2br w:val="nil"/>
              <w:tr2bl w:val="nil"/>
            </w:tcBorders>
          </w:tcPr>
          <w:p/>
        </w:tc>
        <w:tc>
          <w:tcPr>
            <w:tcW w:w="598" w:type="dxa"/>
            <w:tcBorders>
              <w:tl2br w:val="nil"/>
              <w:tr2bl w:val="nil"/>
            </w:tcBorders>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0" w:hRule="atLeast"/>
        </w:trPr>
        <w:tc>
          <w:tcPr>
            <w:tcW w:w="552" w:type="dxa"/>
            <w:tcBorders>
              <w:tl2br w:val="nil"/>
              <w:tr2bl w:val="nil"/>
            </w:tcBorders>
          </w:tcPr>
          <w:p/>
        </w:tc>
        <w:tc>
          <w:tcPr>
            <w:tcW w:w="1783" w:type="dxa"/>
            <w:tcBorders>
              <w:tl2br w:val="nil"/>
              <w:tr2bl w:val="nil"/>
            </w:tcBorders>
          </w:tcPr>
          <w:p/>
        </w:tc>
        <w:tc>
          <w:tcPr>
            <w:tcW w:w="2639" w:type="dxa"/>
            <w:tcBorders>
              <w:tl2br w:val="nil"/>
              <w:tr2bl w:val="nil"/>
            </w:tcBorders>
          </w:tcPr>
          <w:p/>
        </w:tc>
        <w:tc>
          <w:tcPr>
            <w:tcW w:w="2819" w:type="dxa"/>
            <w:tcBorders>
              <w:tl2br w:val="nil"/>
              <w:tr2bl w:val="nil"/>
            </w:tcBorders>
          </w:tcPr>
          <w:p/>
        </w:tc>
        <w:tc>
          <w:tcPr>
            <w:tcW w:w="598" w:type="dxa"/>
            <w:tcBorders>
              <w:tl2br w:val="nil"/>
              <w:tr2bl w:val="nil"/>
            </w:tcBorders>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0" w:hRule="atLeast"/>
        </w:trPr>
        <w:tc>
          <w:tcPr>
            <w:tcW w:w="552" w:type="dxa"/>
            <w:tcBorders>
              <w:tl2br w:val="nil"/>
              <w:tr2bl w:val="nil"/>
            </w:tcBorders>
          </w:tcPr>
          <w:p/>
        </w:tc>
        <w:tc>
          <w:tcPr>
            <w:tcW w:w="1783" w:type="dxa"/>
            <w:tcBorders>
              <w:tl2br w:val="nil"/>
              <w:tr2bl w:val="nil"/>
            </w:tcBorders>
          </w:tcPr>
          <w:p/>
        </w:tc>
        <w:tc>
          <w:tcPr>
            <w:tcW w:w="2639" w:type="dxa"/>
            <w:tcBorders>
              <w:tl2br w:val="nil"/>
              <w:tr2bl w:val="nil"/>
            </w:tcBorders>
          </w:tcPr>
          <w:p/>
        </w:tc>
        <w:tc>
          <w:tcPr>
            <w:tcW w:w="2819" w:type="dxa"/>
            <w:tcBorders>
              <w:tl2br w:val="nil"/>
              <w:tr2bl w:val="nil"/>
            </w:tcBorders>
          </w:tcPr>
          <w:p/>
        </w:tc>
        <w:tc>
          <w:tcPr>
            <w:tcW w:w="598" w:type="dxa"/>
            <w:tcBorders>
              <w:tl2br w:val="nil"/>
              <w:tr2bl w:val="nil"/>
            </w:tcBorders>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5" w:hRule="atLeast"/>
        </w:trPr>
        <w:tc>
          <w:tcPr>
            <w:tcW w:w="552" w:type="dxa"/>
            <w:tcBorders>
              <w:tl2br w:val="nil"/>
              <w:tr2bl w:val="nil"/>
            </w:tcBorders>
          </w:tcPr>
          <w:p/>
        </w:tc>
        <w:tc>
          <w:tcPr>
            <w:tcW w:w="1783" w:type="dxa"/>
            <w:tcBorders>
              <w:tl2br w:val="nil"/>
              <w:tr2bl w:val="nil"/>
            </w:tcBorders>
          </w:tcPr>
          <w:p/>
        </w:tc>
        <w:tc>
          <w:tcPr>
            <w:tcW w:w="2639" w:type="dxa"/>
            <w:tcBorders>
              <w:tl2br w:val="nil"/>
              <w:tr2bl w:val="nil"/>
            </w:tcBorders>
          </w:tcPr>
          <w:p/>
        </w:tc>
        <w:tc>
          <w:tcPr>
            <w:tcW w:w="2819" w:type="dxa"/>
            <w:tcBorders>
              <w:tl2br w:val="nil"/>
              <w:tr2bl w:val="nil"/>
            </w:tcBorders>
          </w:tcPr>
          <w:p/>
        </w:tc>
        <w:tc>
          <w:tcPr>
            <w:tcW w:w="598" w:type="dxa"/>
            <w:tcBorders>
              <w:tl2br w:val="nil"/>
              <w:tr2bl w:val="nil"/>
            </w:tcBorders>
          </w:tcPr>
          <w:p/>
        </w:tc>
      </w:tr>
    </w:tbl>
    <w:p>
      <w:pPr>
        <w:topLinePunct/>
        <w:autoSpaceDE/>
        <w:autoSpaceDN/>
        <w:spacing w:line="360" w:lineRule="auto"/>
        <w:ind w:firstLine="420" w:firstLineChars="200"/>
        <w:rPr>
          <w:rFonts w:ascii="Times New Roman" w:hAnsi="Times New Roman" w:eastAsia="宋体" w:cs="Times New Roman"/>
          <w:kern w:val="21"/>
          <w:lang w:eastAsia="zh-CN"/>
        </w:rPr>
      </w:pPr>
    </w:p>
    <w:sectPr>
      <w:footerReference r:id="rId6" w:type="default"/>
      <w:pgSz w:w="11910" w:h="16850"/>
      <w:pgMar w:top="1440" w:right="1800" w:bottom="1440" w:left="1800" w:header="0" w:footer="1304"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Yu Gothic UI Light">
    <w:panose1 w:val="020B0300000000000000"/>
    <w:charset w:val="80"/>
    <w:family w:val="auto"/>
    <w:pitch w:val="default"/>
    <w:sig w:usb0="E00002FF" w:usb1="2AC7FDFF" w:usb2="00000016" w:usb3="00000000" w:csb0="2002009F" w:csb1="00000000"/>
  </w:font>
  <w:font w:name="MS Gothic">
    <w:panose1 w:val="020B0609070205080204"/>
    <w:charset w:val="80"/>
    <w:family w:val="auto"/>
    <w:pitch w:val="default"/>
    <w:sig w:usb0="E00002FF" w:usb1="6AC7FDFB" w:usb2="08000012" w:usb3="00000000" w:csb0="4002009F" w:csb1="DFD7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0" w:lineRule="auto"/>
      <w:ind w:left="3453"/>
      <w:rPr>
        <w:rFonts w:ascii="宋体" w:hAnsi="宋体" w:eastAsia="宋体" w:cs="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0" w:lineRule="auto"/>
      <w:ind w:left="3453"/>
      <w:rPr>
        <w:rFonts w:ascii="宋体" w:hAnsi="宋体" w:eastAsia="宋体" w:cs="宋体"/>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pPr>
                      <w:pStyle w:val="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CE4355"/>
    <w:multiLevelType w:val="singleLevel"/>
    <w:tmpl w:val="21CE4355"/>
    <w:lvl w:ilvl="0" w:tentative="0">
      <w:start w:val="2"/>
      <w:numFmt w:val="decimal"/>
      <w:lvlText w:val="%1."/>
      <w:lvlJc w:val="left"/>
      <w:pPr>
        <w:tabs>
          <w:tab w:val="left" w:pos="312"/>
        </w:tabs>
      </w:pPr>
    </w:lvl>
  </w:abstractNum>
  <w:abstractNum w:abstractNumId="1">
    <w:nsid w:val="48A6CB85"/>
    <w:multiLevelType w:val="multilevel"/>
    <w:tmpl w:val="48A6CB85"/>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1"/>
  <w:bordersDoNotSurroundFooter w:val="1"/>
  <w:documentProtection w:enforcement="0"/>
  <w:defaultTabStop w:val="420"/>
  <w:noPunctuationKerning w:val="1"/>
  <w:characterSpacingControl w:val="doNotCompress"/>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UxNWRjZmFiYWVmZTM2ODI0NjUyZjQ5NTllNWUyNmUifQ=="/>
  </w:docVars>
  <w:rsids>
    <w:rsidRoot w:val="0057600A"/>
    <w:rsid w:val="00001E16"/>
    <w:rsid w:val="00090F24"/>
    <w:rsid w:val="001B31BB"/>
    <w:rsid w:val="001E511E"/>
    <w:rsid w:val="0022726F"/>
    <w:rsid w:val="002612DE"/>
    <w:rsid w:val="00282180"/>
    <w:rsid w:val="00285A30"/>
    <w:rsid w:val="002B711B"/>
    <w:rsid w:val="002F3AAF"/>
    <w:rsid w:val="0031006E"/>
    <w:rsid w:val="00433278"/>
    <w:rsid w:val="00443002"/>
    <w:rsid w:val="004C1141"/>
    <w:rsid w:val="005522AF"/>
    <w:rsid w:val="0057600A"/>
    <w:rsid w:val="00606262"/>
    <w:rsid w:val="006C7BB9"/>
    <w:rsid w:val="0071164B"/>
    <w:rsid w:val="007C10E0"/>
    <w:rsid w:val="007E2EBF"/>
    <w:rsid w:val="007E6585"/>
    <w:rsid w:val="00827078"/>
    <w:rsid w:val="00921A2F"/>
    <w:rsid w:val="00946A3A"/>
    <w:rsid w:val="00962637"/>
    <w:rsid w:val="00963B65"/>
    <w:rsid w:val="009954DD"/>
    <w:rsid w:val="009F14B5"/>
    <w:rsid w:val="00A21025"/>
    <w:rsid w:val="00A43F7A"/>
    <w:rsid w:val="00A91A71"/>
    <w:rsid w:val="00B61BA8"/>
    <w:rsid w:val="00BA05D6"/>
    <w:rsid w:val="00BE2004"/>
    <w:rsid w:val="00BE6CB7"/>
    <w:rsid w:val="00BF483D"/>
    <w:rsid w:val="00C5457F"/>
    <w:rsid w:val="00C65E33"/>
    <w:rsid w:val="00C95DFE"/>
    <w:rsid w:val="00CE3098"/>
    <w:rsid w:val="00D4001F"/>
    <w:rsid w:val="00E6198C"/>
    <w:rsid w:val="00E6653E"/>
    <w:rsid w:val="00EE45A3"/>
    <w:rsid w:val="00EF1D24"/>
    <w:rsid w:val="00FE09FA"/>
    <w:rsid w:val="03334053"/>
    <w:rsid w:val="03541703"/>
    <w:rsid w:val="042B5EE3"/>
    <w:rsid w:val="062C0CFF"/>
    <w:rsid w:val="066D5311"/>
    <w:rsid w:val="06C578AE"/>
    <w:rsid w:val="07AD44D0"/>
    <w:rsid w:val="0ACC6AD4"/>
    <w:rsid w:val="0E0F17E1"/>
    <w:rsid w:val="0E6F10BC"/>
    <w:rsid w:val="0ECC4CAD"/>
    <w:rsid w:val="128C448C"/>
    <w:rsid w:val="13A51648"/>
    <w:rsid w:val="13E141D1"/>
    <w:rsid w:val="152710A8"/>
    <w:rsid w:val="18BD6DAF"/>
    <w:rsid w:val="1AA44A44"/>
    <w:rsid w:val="1F0E047B"/>
    <w:rsid w:val="1F1B03F8"/>
    <w:rsid w:val="22793BC7"/>
    <w:rsid w:val="25C85593"/>
    <w:rsid w:val="265B24AB"/>
    <w:rsid w:val="26FB161E"/>
    <w:rsid w:val="294011EC"/>
    <w:rsid w:val="2D6F4244"/>
    <w:rsid w:val="31211F60"/>
    <w:rsid w:val="31226AD3"/>
    <w:rsid w:val="319A2B6E"/>
    <w:rsid w:val="36CF5679"/>
    <w:rsid w:val="370205F8"/>
    <w:rsid w:val="370300D4"/>
    <w:rsid w:val="3806447F"/>
    <w:rsid w:val="3A1853F9"/>
    <w:rsid w:val="3A4C3185"/>
    <w:rsid w:val="3BB33BFE"/>
    <w:rsid w:val="3F572ACB"/>
    <w:rsid w:val="3FD4579C"/>
    <w:rsid w:val="40891E40"/>
    <w:rsid w:val="432B5BA6"/>
    <w:rsid w:val="48B843DB"/>
    <w:rsid w:val="48ED35B0"/>
    <w:rsid w:val="49E83928"/>
    <w:rsid w:val="4A041AF8"/>
    <w:rsid w:val="4A3B6098"/>
    <w:rsid w:val="4D900E39"/>
    <w:rsid w:val="557D4997"/>
    <w:rsid w:val="5615762C"/>
    <w:rsid w:val="568E65D6"/>
    <w:rsid w:val="58803386"/>
    <w:rsid w:val="59D3726C"/>
    <w:rsid w:val="59E0323A"/>
    <w:rsid w:val="5B791ADF"/>
    <w:rsid w:val="5B8D108C"/>
    <w:rsid w:val="5BA710D6"/>
    <w:rsid w:val="61366906"/>
    <w:rsid w:val="622F3650"/>
    <w:rsid w:val="62310410"/>
    <w:rsid w:val="63ED08F6"/>
    <w:rsid w:val="66154489"/>
    <w:rsid w:val="6D265DE3"/>
    <w:rsid w:val="6E3D27EA"/>
    <w:rsid w:val="70593DDE"/>
    <w:rsid w:val="70FB534E"/>
    <w:rsid w:val="72F31E63"/>
    <w:rsid w:val="73291D2D"/>
    <w:rsid w:val="73AA47CC"/>
    <w:rsid w:val="73CB6AAE"/>
    <w:rsid w:val="747E452E"/>
    <w:rsid w:val="74CF77B0"/>
    <w:rsid w:val="752062B5"/>
    <w:rsid w:val="76B11F15"/>
    <w:rsid w:val="77792F92"/>
    <w:rsid w:val="79AC10E3"/>
    <w:rsid w:val="79E94AA6"/>
    <w:rsid w:val="7C475ADD"/>
    <w:rsid w:val="7CC678C0"/>
    <w:rsid w:val="7E8166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4">
    <w:name w:val="heading 1"/>
    <w:basedOn w:val="1"/>
    <w:next w:val="1"/>
    <w:qFormat/>
    <w:uiPriority w:val="0"/>
    <w:pPr>
      <w:keepNext/>
      <w:keepLines/>
      <w:spacing w:line="360" w:lineRule="auto"/>
      <w:outlineLvl w:val="0"/>
    </w:pPr>
    <w:rPr>
      <w:rFonts w:ascii="Times New Roman" w:hAnsi="Times New Roman" w:eastAsia="宋体" w:cs="Times New Roman"/>
      <w:b/>
      <w:kern w:val="44"/>
      <w:sz w:val="24"/>
    </w:rPr>
  </w:style>
  <w:style w:type="character" w:default="1" w:styleId="11">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Body Text"/>
    <w:basedOn w:val="3"/>
    <w:next w:val="3"/>
    <w:qFormat/>
    <w:uiPriority w:val="0"/>
  </w:style>
  <w:style w:type="paragraph" w:styleId="3">
    <w:name w:val="Title"/>
    <w:basedOn w:val="1"/>
    <w:next w:val="1"/>
    <w:qFormat/>
    <w:uiPriority w:val="0"/>
    <w:pPr>
      <w:spacing w:before="240" w:after="60"/>
      <w:jc w:val="center"/>
      <w:outlineLvl w:val="0"/>
    </w:pPr>
    <w:rPr>
      <w:rFonts w:ascii="Cambria" w:hAnsi="Cambria"/>
      <w:b/>
      <w:bCs/>
      <w:kern w:val="0"/>
      <w:sz w:val="32"/>
      <w:szCs w:val="32"/>
    </w:rPr>
  </w:style>
  <w:style w:type="paragraph" w:styleId="5">
    <w:name w:val="annotation text"/>
    <w:basedOn w:val="1"/>
    <w:qFormat/>
    <w:uiPriority w:val="0"/>
  </w:style>
  <w:style w:type="paragraph" w:styleId="6">
    <w:name w:val="footer"/>
    <w:basedOn w:val="1"/>
    <w:qFormat/>
    <w:uiPriority w:val="0"/>
    <w:pPr>
      <w:tabs>
        <w:tab w:val="center" w:pos="4153"/>
        <w:tab w:val="right" w:pos="8306"/>
      </w:tabs>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8">
    <w:name w:val="toc 1"/>
    <w:basedOn w:val="1"/>
    <w:next w:val="1"/>
    <w:qFormat/>
    <w:uiPriority w:val="39"/>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Hyperlink"/>
    <w:basedOn w:val="11"/>
    <w:unhideWhenUsed/>
    <w:qFormat/>
    <w:uiPriority w:val="99"/>
    <w:rPr>
      <w:color w:val="0000FF" w:themeColor="hyperlink"/>
      <w:u w:val="single"/>
      <w14:textFill>
        <w14:solidFill>
          <w14:schemeClr w14:val="hlink"/>
        </w14:solidFill>
      </w14:textFill>
    </w:rPr>
  </w:style>
  <w:style w:type="table" w:customStyle="1" w:styleId="13">
    <w:name w:val="Table Normal"/>
    <w:semiHidden/>
    <w:unhideWhenUsed/>
    <w:qFormat/>
    <w:uiPriority w:val="0"/>
    <w:tblPr>
      <w:tblCellMar>
        <w:top w:w="0" w:type="dxa"/>
        <w:left w:w="0" w:type="dxa"/>
        <w:bottom w:w="0" w:type="dxa"/>
        <w:right w:w="0" w:type="dxa"/>
      </w:tblCellMar>
    </w:tblPr>
  </w:style>
  <w:style w:type="paragraph" w:customStyle="1" w:styleId="14">
    <w:name w:val="Table Text"/>
    <w:basedOn w:val="1"/>
    <w:semiHidden/>
    <w:qFormat/>
    <w:uiPriority w:val="0"/>
    <w:rPr>
      <w:rFonts w:ascii="宋体" w:hAnsi="宋体" w:eastAsia="宋体" w:cs="宋体"/>
      <w:sz w:val="20"/>
      <w:szCs w:val="20"/>
    </w:rPr>
  </w:style>
  <w:style w:type="paragraph" w:customStyle="1" w:styleId="15">
    <w:name w:val="WPSOffice手动目录 1"/>
    <w:qFormat/>
    <w:uiPriority w:val="0"/>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741</Words>
  <Characters>4225</Characters>
  <Lines>35</Lines>
  <Paragraphs>9</Paragraphs>
  <TotalTime>0</TotalTime>
  <ScaleCrop>false</ScaleCrop>
  <LinksUpToDate>false</LinksUpToDate>
  <CharactersWithSpaces>4957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2024-02-21T02:20:00Z</dcterms:created>
  <dc:creator>Kingsoft-PDF</dc:creator>
  <cp:lastModifiedBy>张兆阳</cp:lastModifiedBy>
  <cp:lastPrinted>2024-04-02T12:13:00Z</cp:lastPrinted>
  <dcterms:modified xsi:type="dcterms:W3CDTF">2024-04-03T02:10:14Z</dcterms:modified>
  <dc:subject>pdfbuilder</dc:subject>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2023-12-20T22:04:03Z</vt:filetime>
  </property>
  <property fmtid="{D5CDD505-2E9C-101B-9397-08002B2CF9AE}" pid="4" name="UsrData">
    <vt:lpwstr>6582f44d72a3fa001fda23b7wl</vt:lpwstr>
  </property>
  <property fmtid="{D5CDD505-2E9C-101B-9397-08002B2CF9AE}" pid="5" name="KSOProductBuildVer">
    <vt:lpwstr>2052-11.8.2.12085</vt:lpwstr>
  </property>
  <property fmtid="{D5CDD505-2E9C-101B-9397-08002B2CF9AE}" pid="6" name="ICV">
    <vt:lpwstr>739A5EB5DA5C46168087DD0501C5BC90_13</vt:lpwstr>
  </property>
</Properties>
</file>