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5"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>
      <w:pPr>
        <w:pStyle w:val="15"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cs="Times New Roman"/>
          <w:sz w:val="24"/>
          <w:szCs w:val="24"/>
        </w:rPr>
      </w:pPr>
    </w:p>
    <w:p>
      <w:pPr>
        <w:pStyle w:val="15"/>
        <w:numPr>
          <w:ilvl w:val="0"/>
          <w:numId w:val="0"/>
        </w:numPr>
        <w:spacing w:line="360" w:lineRule="auto"/>
        <w:ind w:leftChars="0"/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500kV西山（麒麟）输变电工程干式电抗器匝间耐压试验设备租赁</w:t>
      </w:r>
    </w:p>
    <w:p>
      <w:pPr>
        <w:pStyle w:val="15"/>
        <w:numPr>
          <w:ilvl w:val="0"/>
          <w:numId w:val="0"/>
        </w:numPr>
        <w:spacing w:line="360" w:lineRule="auto"/>
        <w:ind w:leftChars="0"/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</w:p>
    <w:p>
      <w:pPr>
        <w:pStyle w:val="15"/>
        <w:numPr>
          <w:ilvl w:val="0"/>
          <w:numId w:val="0"/>
        </w:numPr>
        <w:spacing w:line="360" w:lineRule="auto"/>
        <w:ind w:leftChars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技术规范书</w:t>
      </w:r>
    </w:p>
    <w:p>
      <w:pPr>
        <w:pStyle w:val="15"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cs="Times New Roman"/>
          <w:sz w:val="24"/>
          <w:szCs w:val="24"/>
        </w:rPr>
      </w:pPr>
    </w:p>
    <w:p>
      <w:pPr>
        <w:pStyle w:val="15"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cs="Times New Roman"/>
          <w:sz w:val="24"/>
          <w:szCs w:val="24"/>
        </w:rPr>
      </w:pPr>
    </w:p>
    <w:p>
      <w:pPr>
        <w:pStyle w:val="15"/>
        <w:numPr>
          <w:ilvl w:val="0"/>
          <w:numId w:val="0"/>
        </w:numPr>
        <w:spacing w:line="360" w:lineRule="auto"/>
        <w:ind w:firstLine="281" w:firstLineChars="10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需求租赁的设备概况</w:t>
      </w:r>
    </w:p>
    <w:p>
      <w:pPr>
        <w:pStyle w:val="15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1、设备名称：</w:t>
      </w:r>
      <w:r>
        <w:rPr>
          <w:rFonts w:hint="eastAsia" w:ascii="宋体" w:hAnsi="宋体" w:eastAsia="宋体" w:cs="宋体"/>
          <w:sz w:val="28"/>
          <w:szCs w:val="28"/>
        </w:rPr>
        <w:t>干式电抗器匝间绝缘振荡波试验装置（平台式）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</w:rPr>
        <w:t>HDTDR-III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型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</w:p>
    <w:p>
      <w:pPr>
        <w:pStyle w:val="15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2、租赁数量：1套（需包含全套附件，详见配置清单）</w:t>
      </w:r>
    </w:p>
    <w:p>
      <w:pPr>
        <w:pStyle w:val="15"/>
        <w:numPr>
          <w:ilvl w:val="0"/>
          <w:numId w:val="0"/>
        </w:numPr>
        <w:spacing w:line="360" w:lineRule="auto"/>
        <w:ind w:leftChars="0"/>
        <w:jc w:val="left"/>
        <w:rPr>
          <w:rFonts w:hint="default" w:ascii="宋体" w:hAnsi="宋体" w:eastAsia="宋体" w:cs="宋体"/>
          <w:sz w:val="28"/>
          <w:szCs w:val="28"/>
          <w:lang w:val="en-US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3、设备要求：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具有</w:t>
      </w:r>
      <w:r>
        <w:rPr>
          <w:rFonts w:hint="eastAsia" w:ascii="宋体" w:hAnsi="宋体" w:eastAsia="宋体" w:cs="宋体"/>
          <w:sz w:val="28"/>
          <w:szCs w:val="28"/>
        </w:rPr>
        <w:t>全控型的电子开关设计，电压上升率可达32kV/us，采用串级单电源控制方式，开关失效率可达到0.0001%；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具有</w:t>
      </w:r>
      <w:r>
        <w:rPr>
          <w:rFonts w:hint="eastAsia" w:ascii="宋体" w:hAnsi="宋体" w:eastAsia="宋体" w:cs="宋体"/>
          <w:sz w:val="28"/>
          <w:szCs w:val="28"/>
        </w:rPr>
        <w:t>特殊结构的直流高压发生器，通过定制设计的稳压及保护电路，满足该套装置短时大电流周期性充电，长时周期性无载输出的特性；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可</w:t>
      </w:r>
      <w:r>
        <w:rPr>
          <w:rFonts w:hint="eastAsia" w:ascii="宋体" w:hAnsi="宋体" w:eastAsia="宋体" w:cs="宋体"/>
          <w:sz w:val="28"/>
          <w:szCs w:val="28"/>
        </w:rPr>
        <w:t>一键完成全过程试验，并生成相应格式的试验报告，操作简单智能高效。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4、设备交付时成交供应商需提供设备租赁期内，具有国家级检测资质的第三方检测机构出具的检测合格报告；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5、报价要求：供应商</w:t>
      </w:r>
      <w:r>
        <w:rPr>
          <w:rFonts w:hint="eastAsia" w:ascii="宋体" w:hAnsi="宋体" w:eastAsia="宋体" w:cs="宋体"/>
          <w:sz w:val="28"/>
          <w:szCs w:val="28"/>
        </w:rPr>
        <w:t>报价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应包</w:t>
      </w:r>
      <w:r>
        <w:rPr>
          <w:rFonts w:hint="eastAsia" w:ascii="宋体" w:hAnsi="宋体" w:eastAsia="宋体" w:cs="宋体"/>
          <w:sz w:val="28"/>
          <w:szCs w:val="28"/>
        </w:rPr>
        <w:t>含13%开票税、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运输</w:t>
      </w:r>
      <w:r>
        <w:rPr>
          <w:rFonts w:hint="eastAsia" w:ascii="宋体" w:hAnsi="宋体" w:eastAsia="宋体" w:cs="宋体"/>
          <w:sz w:val="28"/>
          <w:szCs w:val="28"/>
        </w:rPr>
        <w:t>费、校验费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pStyle w:val="15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6、发票要求：供应商应能开具专用增值税发票。</w:t>
      </w:r>
    </w:p>
    <w:p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>
      <w:pPr>
        <w:spacing w:line="360" w:lineRule="auto"/>
        <w:ind w:firstLine="42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pStyle w:val="2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hint="eastAsia"/>
          <w:sz w:val="24"/>
          <w:szCs w:val="24"/>
        </w:rPr>
        <w:t>一</w:t>
      </w:r>
      <w:r>
        <w:rPr>
          <w:sz w:val="24"/>
          <w:szCs w:val="24"/>
        </w:rPr>
        <w:t>、适用范围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满足10kV及35kV干式空心电抗器的匝间绝缘检测试验。</w:t>
      </w:r>
    </w:p>
    <w:p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pStyle w:val="2"/>
        <w:rPr>
          <w:sz w:val="24"/>
          <w:szCs w:val="24"/>
        </w:rPr>
      </w:pPr>
      <w:r>
        <w:rPr>
          <w:rFonts w:hint="eastAsia"/>
          <w:sz w:val="24"/>
          <w:szCs w:val="24"/>
        </w:rPr>
        <w:t>二</w:t>
      </w:r>
      <w:r>
        <w:rPr>
          <w:sz w:val="24"/>
          <w:szCs w:val="24"/>
        </w:rPr>
        <w:t>、配置清单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3036"/>
        <w:gridCol w:w="708"/>
        <w:gridCol w:w="709"/>
        <w:gridCol w:w="31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" w:hRule="atLeast"/>
          <w:jc w:val="center"/>
        </w:trPr>
        <w:tc>
          <w:tcPr>
            <w:tcW w:w="70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3036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708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单位</w:t>
            </w:r>
          </w:p>
        </w:tc>
        <w:tc>
          <w:tcPr>
            <w:tcW w:w="70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311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vAlign w:val="center"/>
          </w:tcPr>
          <w:p>
            <w:pPr>
              <w:pStyle w:val="15"/>
              <w:numPr>
                <w:ilvl w:val="0"/>
                <w:numId w:val="2"/>
              </w:numPr>
              <w:ind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36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电源柜（耐压主机）</w:t>
            </w:r>
          </w:p>
        </w:tc>
        <w:tc>
          <w:tcPr>
            <w:tcW w:w="708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kW，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~180kV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  <w:jc w:val="center"/>
        </w:trPr>
        <w:tc>
          <w:tcPr>
            <w:tcW w:w="709" w:type="dxa"/>
            <w:vAlign w:val="center"/>
          </w:tcPr>
          <w:p>
            <w:pPr>
              <w:pStyle w:val="15"/>
              <w:numPr>
                <w:ilvl w:val="0"/>
                <w:numId w:val="2"/>
              </w:numPr>
              <w:ind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36" w:type="dxa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高压倍压筒</w:t>
            </w:r>
          </w:p>
        </w:tc>
        <w:tc>
          <w:tcPr>
            <w:tcW w:w="708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180kV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709" w:type="dxa"/>
            <w:vAlign w:val="center"/>
          </w:tcPr>
          <w:p>
            <w:pPr>
              <w:pStyle w:val="15"/>
              <w:numPr>
                <w:ilvl w:val="0"/>
                <w:numId w:val="2"/>
              </w:numPr>
              <w:ind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36" w:type="dxa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200kV充电电阻</w:t>
            </w:r>
          </w:p>
        </w:tc>
        <w:tc>
          <w:tcPr>
            <w:tcW w:w="708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200kV，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kW，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MΩ，</w:t>
            </w:r>
          </w:p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35kV电抗器试验用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vAlign w:val="center"/>
          </w:tcPr>
          <w:p>
            <w:pPr>
              <w:pStyle w:val="15"/>
              <w:numPr>
                <w:ilvl w:val="0"/>
                <w:numId w:val="2"/>
              </w:numPr>
              <w:ind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36" w:type="dxa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100kV充电电阻</w:t>
            </w:r>
          </w:p>
        </w:tc>
        <w:tc>
          <w:tcPr>
            <w:tcW w:w="708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kV，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kW，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750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kΩ，</w:t>
            </w:r>
          </w:p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10kV电抗器试验用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709" w:type="dxa"/>
            <w:vAlign w:val="center"/>
          </w:tcPr>
          <w:p>
            <w:pPr>
              <w:pStyle w:val="15"/>
              <w:numPr>
                <w:ilvl w:val="0"/>
                <w:numId w:val="2"/>
              </w:numPr>
              <w:ind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36" w:type="dxa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高压电子开关</w:t>
            </w:r>
          </w:p>
        </w:tc>
        <w:tc>
          <w:tcPr>
            <w:tcW w:w="708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180kV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vAlign w:val="center"/>
          </w:tcPr>
          <w:p>
            <w:pPr>
              <w:pStyle w:val="15"/>
              <w:numPr>
                <w:ilvl w:val="0"/>
                <w:numId w:val="2"/>
              </w:numPr>
              <w:ind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36" w:type="dxa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电容分压器</w:t>
            </w:r>
          </w:p>
        </w:tc>
        <w:tc>
          <w:tcPr>
            <w:tcW w:w="708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200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kV，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1.0级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vAlign w:val="center"/>
          </w:tcPr>
          <w:p>
            <w:pPr>
              <w:pStyle w:val="15"/>
              <w:numPr>
                <w:ilvl w:val="0"/>
                <w:numId w:val="2"/>
              </w:numPr>
              <w:ind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36" w:type="dxa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充电电容器</w:t>
            </w:r>
          </w:p>
        </w:tc>
        <w:tc>
          <w:tcPr>
            <w:tcW w:w="708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180kV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vAlign w:val="center"/>
          </w:tcPr>
          <w:p>
            <w:pPr>
              <w:pStyle w:val="15"/>
              <w:numPr>
                <w:ilvl w:val="0"/>
                <w:numId w:val="2"/>
              </w:numPr>
              <w:ind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36" w:type="dxa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远程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控制箱</w:t>
            </w:r>
          </w:p>
        </w:tc>
        <w:tc>
          <w:tcPr>
            <w:tcW w:w="708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波形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显示等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vAlign w:val="center"/>
          </w:tcPr>
          <w:p>
            <w:pPr>
              <w:pStyle w:val="15"/>
              <w:numPr>
                <w:ilvl w:val="0"/>
                <w:numId w:val="2"/>
              </w:numPr>
              <w:ind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36" w:type="dxa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模拟负载</w:t>
            </w:r>
          </w:p>
        </w:tc>
        <w:tc>
          <w:tcPr>
            <w:tcW w:w="708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干式空心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vAlign w:val="center"/>
          </w:tcPr>
          <w:p>
            <w:pPr>
              <w:pStyle w:val="15"/>
              <w:numPr>
                <w:ilvl w:val="0"/>
                <w:numId w:val="2"/>
              </w:numPr>
              <w:ind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36" w:type="dxa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放电棒</w:t>
            </w:r>
          </w:p>
        </w:tc>
        <w:tc>
          <w:tcPr>
            <w:tcW w:w="708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09" w:type="dxa"/>
            <w:vAlign w:val="center"/>
          </w:tcPr>
          <w:p>
            <w:pPr>
              <w:pStyle w:val="15"/>
              <w:numPr>
                <w:ilvl w:val="0"/>
                <w:numId w:val="2"/>
              </w:numPr>
              <w:ind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36" w:type="dxa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光钎通讯线</w:t>
            </w:r>
          </w:p>
        </w:tc>
        <w:tc>
          <w:tcPr>
            <w:tcW w:w="708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09" w:type="dxa"/>
            <w:vAlign w:val="center"/>
          </w:tcPr>
          <w:p>
            <w:pPr>
              <w:pStyle w:val="15"/>
              <w:numPr>
                <w:ilvl w:val="0"/>
                <w:numId w:val="2"/>
              </w:numPr>
              <w:ind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36" w:type="dxa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测试控制线</w:t>
            </w:r>
          </w:p>
        </w:tc>
        <w:tc>
          <w:tcPr>
            <w:tcW w:w="708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vAlign w:val="center"/>
          </w:tcPr>
          <w:p>
            <w:pPr>
              <w:pStyle w:val="15"/>
              <w:numPr>
                <w:ilvl w:val="0"/>
                <w:numId w:val="2"/>
              </w:numPr>
              <w:ind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36" w:type="dxa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接地和连接导线</w:t>
            </w:r>
          </w:p>
        </w:tc>
        <w:tc>
          <w:tcPr>
            <w:tcW w:w="708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vAlign w:val="center"/>
          </w:tcPr>
          <w:p>
            <w:pPr>
              <w:pStyle w:val="15"/>
              <w:numPr>
                <w:ilvl w:val="0"/>
                <w:numId w:val="2"/>
              </w:numPr>
              <w:ind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36" w:type="dxa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测试软件</w:t>
            </w:r>
          </w:p>
        </w:tc>
        <w:tc>
          <w:tcPr>
            <w:tcW w:w="708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vAlign w:val="center"/>
          </w:tcPr>
          <w:p>
            <w:pPr>
              <w:pStyle w:val="15"/>
              <w:numPr>
                <w:ilvl w:val="0"/>
                <w:numId w:val="2"/>
              </w:numPr>
              <w:ind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36" w:type="dxa"/>
            <w:vAlign w:val="center"/>
          </w:tcPr>
          <w:p>
            <w:pPr>
              <w:spacing w:before="62" w:beforeLines="20" w:after="62" w:afterLines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一体化试验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平台</w:t>
            </w:r>
          </w:p>
        </w:tc>
        <w:tc>
          <w:tcPr>
            <w:tcW w:w="708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70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整体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吊装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运输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，不下车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试验</w:t>
            </w:r>
          </w:p>
        </w:tc>
      </w:tr>
    </w:tbl>
    <w:p>
      <w:pPr>
        <w:pStyle w:val="15"/>
        <w:spacing w:line="360" w:lineRule="auto"/>
        <w:ind w:left="420" w:firstLine="0" w:firstLineChars="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pStyle w:val="2"/>
        <w:rPr>
          <w:sz w:val="24"/>
          <w:szCs w:val="24"/>
        </w:rPr>
      </w:pPr>
      <w:r>
        <w:rPr>
          <w:rFonts w:hint="eastAsia"/>
          <w:sz w:val="24"/>
          <w:szCs w:val="24"/>
        </w:rPr>
        <w:t>三</w:t>
      </w:r>
      <w:r>
        <w:rPr>
          <w:sz w:val="24"/>
          <w:szCs w:val="24"/>
        </w:rPr>
        <w:t>、系统技术参数</w:t>
      </w:r>
    </w:p>
    <w:p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衰减振荡波起始电压(Vpeak)：10～180kV（可调）</w:t>
      </w:r>
    </w:p>
    <w:p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每次放电峰值误差：</w:t>
      </w:r>
      <w:r>
        <w:rPr>
          <w:rFonts w:hint="eastAsia" w:ascii="Times New Roman" w:hAnsi="Times New Roman" w:cs="Times New Roman"/>
          <w:sz w:val="24"/>
          <w:szCs w:val="24"/>
        </w:rPr>
        <w:t>＜</w:t>
      </w:r>
      <w:r>
        <w:rPr>
          <w:rFonts w:ascii="Times New Roman" w:hAnsi="Times New Roman" w:cs="Times New Roman"/>
          <w:sz w:val="24"/>
          <w:szCs w:val="24"/>
        </w:rPr>
        <w:t>1%</w:t>
      </w:r>
    </w:p>
    <w:p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峰值电压测试误差：</w:t>
      </w:r>
      <w:r>
        <w:rPr>
          <w:rFonts w:hint="eastAsia" w:ascii="Times New Roman" w:hAnsi="Times New Roman" w:cs="Times New Roman"/>
          <w:sz w:val="24"/>
          <w:szCs w:val="24"/>
        </w:rPr>
        <w:t>＜</w:t>
      </w:r>
      <w:r>
        <w:rPr>
          <w:rFonts w:ascii="Times New Roman" w:hAnsi="Times New Roman" w:cs="Times New Roman"/>
          <w:sz w:val="24"/>
          <w:szCs w:val="24"/>
        </w:rPr>
        <w:t>1%</w:t>
      </w:r>
    </w:p>
    <w:p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1分钟连续放电次数：3000次</w:t>
      </w:r>
    </w:p>
    <w:p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充电电压DC显示误差：1%</w:t>
      </w:r>
    </w:p>
    <w:p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放电过程中放电电压可任意调节：可以</w:t>
      </w:r>
    </w:p>
    <w:p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衰减振荡波频率：10kHz~100kHz</w:t>
      </w:r>
    </w:p>
    <w:p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频率测试误差：</w:t>
      </w:r>
      <w:r>
        <w:rPr>
          <w:rFonts w:hint="eastAsia" w:ascii="Times New Roman" w:hAnsi="Times New Roman" w:cs="Times New Roman"/>
          <w:sz w:val="24"/>
          <w:szCs w:val="24"/>
        </w:rPr>
        <w:t>＜</w:t>
      </w:r>
      <w:r>
        <w:rPr>
          <w:rFonts w:ascii="Times New Roman" w:hAnsi="Times New Roman" w:cs="Times New Roman"/>
          <w:sz w:val="24"/>
          <w:szCs w:val="24"/>
        </w:rPr>
        <w:t>1%</w:t>
      </w:r>
    </w:p>
    <w:p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控制方式（隔离）：光纤</w:t>
      </w:r>
    </w:p>
    <w:p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波形图像分辨率：能任意点放大查看</w:t>
      </w:r>
    </w:p>
    <w:p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检测方式：离线测量</w:t>
      </w:r>
    </w:p>
    <w:p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计算机显示分辨率：</w:t>
      </w:r>
      <w:r>
        <w:rPr>
          <w:rFonts w:cs="Times New Roman" w:asciiTheme="minorEastAsia" w:hAnsiTheme="minorEastAsia"/>
          <w:sz w:val="24"/>
          <w:szCs w:val="24"/>
        </w:rPr>
        <w:t>≥</w:t>
      </w:r>
      <w:r>
        <w:rPr>
          <w:rFonts w:ascii="Times New Roman" w:hAnsi="Times New Roman" w:cs="Times New Roman"/>
          <w:sz w:val="24"/>
          <w:szCs w:val="24"/>
        </w:rPr>
        <w:t>800*600</w:t>
      </w:r>
    </w:p>
    <w:p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采集卡带宽：200MHz</w:t>
      </w:r>
    </w:p>
    <w:p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采集卡采样率：1GS/s</w:t>
      </w:r>
    </w:p>
    <w:p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放电方式：高压电子开关方式</w:t>
      </w:r>
    </w:p>
    <w:p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判断匝间故障方式：自动完成</w:t>
      </w:r>
    </w:p>
    <w:p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波形显示：工业平板电脑显示</w:t>
      </w:r>
      <w:r>
        <w:rPr>
          <w:rFonts w:hint="eastAsia" w:ascii="Times New Roman" w:hAnsi="Times New Roman" w:cs="Times New Roman"/>
          <w:sz w:val="24"/>
          <w:szCs w:val="24"/>
        </w:rPr>
        <w:t>，</w:t>
      </w:r>
      <w:r>
        <w:rPr>
          <w:rFonts w:ascii="Times New Roman" w:hAnsi="Times New Roman" w:cs="Times New Roman"/>
          <w:sz w:val="24"/>
          <w:szCs w:val="24"/>
        </w:rPr>
        <w:t>可以波形任意查看，放大缩小便于分析</w:t>
      </w:r>
    </w:p>
    <w:p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>
      <w:pPr>
        <w:pStyle w:val="2"/>
        <w:rPr>
          <w:sz w:val="24"/>
          <w:szCs w:val="24"/>
        </w:rPr>
      </w:pPr>
      <w:r>
        <w:rPr>
          <w:rFonts w:hint="eastAsia"/>
          <w:sz w:val="24"/>
          <w:szCs w:val="24"/>
        </w:rPr>
        <w:t>四</w:t>
      </w:r>
      <w:r>
        <w:rPr>
          <w:sz w:val="24"/>
          <w:szCs w:val="24"/>
        </w:rPr>
        <w:t>、</w:t>
      </w:r>
      <w:r>
        <w:rPr>
          <w:rFonts w:hint="eastAsia"/>
          <w:sz w:val="24"/>
          <w:szCs w:val="24"/>
        </w:rPr>
        <w:t>工作</w:t>
      </w:r>
      <w:r>
        <w:rPr>
          <w:sz w:val="24"/>
          <w:szCs w:val="24"/>
        </w:rPr>
        <w:t>原理</w:t>
      </w:r>
    </w:p>
    <w:p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系统由直流电源、限流电阻、充电电容、放电开关、电阻分压器、电容分压器、测量系统和被试电抗器组成，试验原理如图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hint="eastAsia" w:ascii="Times New Roman" w:hAnsi="Times New Roman" w:cs="Times New Roman"/>
          <w:sz w:val="24"/>
          <w:szCs w:val="24"/>
        </w:rPr>
        <w:t>所示。直流电源对充电电容充电，电压升至球隙放电电压时，球隙开关击穿闭合，电容和被试电抗器形成回路，短时间内电能在电容和电感之间转换直至消耗完毕，并通过示波器记录电抗器电压振荡波形。</w:t>
      </w:r>
    </w:p>
    <w:p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根据系统振荡频率为</w:t>
      </w:r>
      <w:r>
        <w:rPr>
          <w:rFonts w:ascii="Times New Roman" w:hAnsi="Times New Roman" w:cs="Times New Roman"/>
          <w:sz w:val="24"/>
          <w:szCs w:val="24"/>
        </w:rPr>
        <w:t>f = (4</w:t>
      </w:r>
      <w:r>
        <w:rPr>
          <w:rFonts w:hint="eastAsia" w:ascii="Times New Roman" w:hAnsi="Times New Roman" w:cs="Times New Roman"/>
          <w:sz w:val="24"/>
          <w:szCs w:val="24"/>
        </w:rPr>
        <w:t>π</w:t>
      </w:r>
      <w:r>
        <w:rPr>
          <w:rFonts w:hint="eastAsia"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LC)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>
        <w:rPr>
          <w:rFonts w:hint="eastAsia" w:ascii="Times New Roman" w:hAnsi="Times New Roman" w:cs="Times New Roman"/>
          <w:sz w:val="24"/>
          <w:szCs w:val="24"/>
        </w:rPr>
        <w:t>可知，在充电电容参数不变情况下，电抗器电压振荡波形频率变化仅与电抗器电感量有关，因此可通过比对不同电压峰值下电抗器电压振荡波形频率变化情况，来判断试品匝间绝缘是否良好。</w:t>
      </w:r>
    </w:p>
    <w:p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drawing>
          <wp:inline distT="0" distB="0" distL="0" distR="0">
            <wp:extent cx="5868035" cy="1637665"/>
            <wp:effectExtent l="0" t="0" r="0" b="635"/>
            <wp:docPr id="11" name="图片 11" descr="C:\Users\SC6\Desktop\捕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C:\Users\SC6\Desktop\捕获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1637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1308100</wp:posOffset>
                </wp:positionH>
                <wp:positionV relativeFrom="paragraph">
                  <wp:posOffset>153035</wp:posOffset>
                </wp:positionV>
                <wp:extent cx="3514725" cy="1404620"/>
                <wp:effectExtent l="0" t="0" r="0" b="2540"/>
                <wp:wrapSquare wrapText="bothSides"/>
                <wp:docPr id="21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spacing w:line="36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图1  干式电抗器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匝间绝缘震荡波试验装置原理图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103pt;margin-top:12.05pt;height:110.6pt;width:276.75pt;mso-wrap-distance-bottom:3.6pt;mso-wrap-distance-left:9pt;mso-wrap-distance-right:9pt;mso-wrap-distance-top:3.6pt;z-index:251665408;mso-width-relative:page;mso-height-relative:margin;mso-height-percent:200;" filled="f" stroked="f" coordsize="21600,21600" o:gfxdata="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PPm70PYAAAACgEAAA8AAAAAAAAAAQAgAAAAIgAAAGRycy9kb3ducmV2LnhtbFBLAQIUABQAAAAI&#10;AIdO4kCIRFzHJgIAACwEAAAOAAAAAAAAAAEAIAAAACcBAABkcnMvZTJvRG9jLnhtbFBLBQYAAAAA&#10;BgAGAFkBAAC/BQAAAAA=&#10;">
                <v:fill on="f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36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图1  干式电抗器</w:t>
                      </w:r>
                      <w:r>
                        <w:rPr>
                          <w:sz w:val="24"/>
                          <w:szCs w:val="24"/>
                        </w:rPr>
                        <w:t>匝间绝缘震荡波试验装置原理图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>
      <w:pPr>
        <w:pStyle w:val="2"/>
        <w:rPr>
          <w:sz w:val="24"/>
          <w:szCs w:val="24"/>
        </w:rPr>
      </w:pPr>
      <w:r>
        <w:rPr>
          <w:rFonts w:hint="eastAsia"/>
          <w:sz w:val="24"/>
          <w:szCs w:val="24"/>
        </w:rPr>
        <w:t>五</w:t>
      </w:r>
      <w:r>
        <w:rPr>
          <w:sz w:val="24"/>
          <w:szCs w:val="24"/>
        </w:rPr>
        <w:t>、单部件技术参数</w:t>
      </w:r>
    </w:p>
    <w:p>
      <w:pPr>
        <w:pStyle w:val="2"/>
        <w:rPr>
          <w:sz w:val="24"/>
          <w:szCs w:val="24"/>
        </w:rPr>
      </w:pPr>
      <w:r>
        <w:rPr>
          <w:rFonts w:hint="eastAsia"/>
          <w:sz w:val="24"/>
          <w:szCs w:val="24"/>
        </w:rPr>
        <w:t>1、</w:t>
      </w:r>
      <w:r>
        <w:rPr>
          <w:sz w:val="24"/>
          <w:szCs w:val="24"/>
        </w:rPr>
        <w:t>电源柜（耐压主机）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高压显示范围：10～180kV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测量精度：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>.0%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系统功率：10kW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操作模式：可单独升压和放电；可配合专用控制机箱远程操作；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hint="eastAsia" w:ascii="Times New Roman" w:hAnsi="Times New Roman" w:cs="Times New Roman"/>
          <w:color w:val="000000"/>
          <w:sz w:val="24"/>
          <w:szCs w:val="24"/>
        </w:rPr>
        <w:t>远程</w:t>
      </w:r>
      <w:r>
        <w:rPr>
          <w:rFonts w:ascii="Times New Roman" w:hAnsi="Times New Roman" w:cs="Times New Roman"/>
          <w:color w:val="000000"/>
          <w:sz w:val="24"/>
          <w:szCs w:val="24"/>
        </w:rPr>
        <w:t>控制箱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：</w:t>
      </w:r>
    </w:p>
    <w:p>
      <w:pPr>
        <w:spacing w:line="360" w:lineRule="auto"/>
        <w:ind w:firstLine="420"/>
        <w:rPr>
          <w:rFonts w:ascii="宋体" w:eastAsia="宋体" w:cs="宋体"/>
          <w:kern w:val="0"/>
          <w:sz w:val="24"/>
          <w:szCs w:val="24"/>
        </w:rPr>
      </w:pPr>
      <w:r>
        <w:rPr>
          <w:rFonts w:hint="eastAsia" w:ascii="Times New Roman" w:hAnsi="Times New Roman" w:cs="Times New Roman"/>
          <w:color w:val="000000"/>
          <w:sz w:val="24"/>
          <w:szCs w:val="24"/>
        </w:rPr>
        <w:t>能</w:t>
      </w:r>
      <w:r>
        <w:rPr>
          <w:rFonts w:ascii="Times New Roman" w:hAnsi="Times New Roman" w:cs="Times New Roman"/>
          <w:color w:val="000000"/>
          <w:sz w:val="24"/>
          <w:szCs w:val="24"/>
        </w:rPr>
        <w:t>清晰记录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振荡</w:t>
      </w:r>
      <w:r>
        <w:rPr>
          <w:rFonts w:ascii="Times New Roman" w:hAnsi="Times New Roman" w:cs="Times New Roman"/>
          <w:color w:val="000000"/>
          <w:sz w:val="24"/>
          <w:szCs w:val="24"/>
        </w:rPr>
        <w:t>电压波形；</w:t>
      </w:r>
      <w:r>
        <w:rPr>
          <w:rFonts w:hint="eastAsia" w:ascii="宋体" w:eastAsia="宋体" w:cs="宋体"/>
          <w:kern w:val="0"/>
          <w:sz w:val="24"/>
          <w:szCs w:val="24"/>
        </w:rPr>
        <w:t>能测量波形振荡频率、试品电感量和包络线衰减速度等。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pStyle w:val="2"/>
        <w:rPr>
          <w:sz w:val="24"/>
          <w:szCs w:val="24"/>
        </w:rPr>
      </w:pPr>
      <w:r>
        <w:rPr>
          <w:rFonts w:hint="eastAsia"/>
          <w:sz w:val="24"/>
          <w:szCs w:val="24"/>
        </w:rPr>
        <w:t>2、</w:t>
      </w:r>
      <w:r>
        <w:rPr>
          <w:sz w:val="24"/>
          <w:szCs w:val="24"/>
        </w:rPr>
        <w:t>高压倍压筒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电压等级：下节：100kV；双节：180kV；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输出电流：30mA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2257425</wp:posOffset>
            </wp:positionH>
            <wp:positionV relativeFrom="margin">
              <wp:posOffset>4530725</wp:posOffset>
            </wp:positionV>
            <wp:extent cx="1899920" cy="3538855"/>
            <wp:effectExtent l="0" t="0" r="5080" b="5080"/>
            <wp:wrapSquare wrapText="bothSides"/>
            <wp:docPr id="9" name="图片 9" descr="C:\Users\SC6\Desktop\捕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C:\Users\SC6\Desktop\捕获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35" r="16597"/>
                    <a:stretch>
                      <a:fillRect/>
                    </a:stretch>
                  </pic:blipFill>
                  <pic:spPr>
                    <a:xfrm>
                      <a:off x="0" y="0"/>
                      <a:ext cx="1900052" cy="3538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参考</w:t>
      </w:r>
      <w:r>
        <w:rPr>
          <w:rFonts w:ascii="Times New Roman" w:hAnsi="Times New Roman" w:cs="Times New Roman"/>
          <w:color w:val="000000"/>
          <w:sz w:val="24"/>
          <w:szCs w:val="24"/>
        </w:rPr>
        <w:t>图片：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widowControl/>
        <w:jc w:val="left"/>
        <w:rPr>
          <w:rFonts w:asciiTheme="majorHAnsi" w:hAnsiTheme="majorHAnsi" w:eastAsiaTheme="majorEastAsia" w:cstheme="majorBidi"/>
          <w:b/>
          <w:bCs/>
          <w:sz w:val="24"/>
          <w:szCs w:val="24"/>
        </w:rPr>
      </w:pPr>
      <w:r>
        <w:rPr>
          <w:sz w:val="24"/>
          <w:szCs w:val="24"/>
        </w:rPr>
        <w:br w:type="page"/>
      </w:r>
    </w:p>
    <w:p>
      <w:pPr>
        <w:pStyle w:val="2"/>
        <w:rPr>
          <w:sz w:val="24"/>
          <w:szCs w:val="24"/>
        </w:rPr>
      </w:pPr>
      <w:r>
        <w:rPr>
          <w:rFonts w:hint="eastAsia"/>
          <w:sz w:val="24"/>
          <w:szCs w:val="24"/>
        </w:rPr>
        <w:t>3、</w:t>
      </w:r>
      <w:r>
        <w:rPr>
          <w:sz w:val="24"/>
          <w:szCs w:val="24"/>
        </w:rPr>
        <w:t>高压电子开关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电压等级：180kV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放电电流：300A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放电模式：连续放电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2325370</wp:posOffset>
            </wp:positionH>
            <wp:positionV relativeFrom="margin">
              <wp:posOffset>1677035</wp:posOffset>
            </wp:positionV>
            <wp:extent cx="1547495" cy="2978785"/>
            <wp:effectExtent l="0" t="0" r="0" b="0"/>
            <wp:wrapSquare wrapText="bothSides"/>
            <wp:docPr id="8" name="图片 8" descr="C:\Users\SC6\Desktop\捕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:\Users\SC6\Desktop\捕获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56" r="9213"/>
                    <a:stretch>
                      <a:fillRect/>
                    </a:stretch>
                  </pic:blipFill>
                  <pic:spPr>
                    <a:xfrm>
                      <a:off x="0" y="0"/>
                      <a:ext cx="1547495" cy="297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参考</w:t>
      </w:r>
      <w:r>
        <w:rPr>
          <w:rFonts w:ascii="Times New Roman" w:hAnsi="Times New Roman" w:cs="Times New Roman"/>
          <w:color w:val="000000"/>
          <w:sz w:val="24"/>
          <w:szCs w:val="24"/>
        </w:rPr>
        <w:t>图片：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pStyle w:val="2"/>
        <w:rPr>
          <w:sz w:val="24"/>
          <w:szCs w:val="24"/>
        </w:rPr>
      </w:pPr>
      <w:r>
        <w:rPr>
          <w:sz w:val="24"/>
          <w:szCs w:val="24"/>
        </w:rPr>
        <w:t>4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200kV充电电阻（35kV电抗器试验用）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电压等级：180kV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最高耐压：300kV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功率：5kW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充电电阻：2MΩ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2324735</wp:posOffset>
            </wp:positionH>
            <wp:positionV relativeFrom="margin">
              <wp:posOffset>6530975</wp:posOffset>
            </wp:positionV>
            <wp:extent cx="1986915" cy="2263140"/>
            <wp:effectExtent l="0" t="0" r="0" b="3810"/>
            <wp:wrapSquare wrapText="bothSides"/>
            <wp:docPr id="5" name="图片 5" descr="C:\Users\SC6\Desktop\捕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SC6\Desktop\捕获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6915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参考图片：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pStyle w:val="2"/>
        <w:rPr>
          <w:sz w:val="24"/>
          <w:szCs w:val="24"/>
        </w:rPr>
      </w:pPr>
      <w:r>
        <w:rPr>
          <w:sz w:val="24"/>
          <w:szCs w:val="24"/>
        </w:rPr>
        <w:t>5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100kV充电电阻（10kV电抗器试验用）</w:t>
      </w:r>
      <w:r>
        <w:rPr>
          <w:sz w:val="24"/>
          <w:szCs w:val="24"/>
        </w:rPr>
        <w:tab/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电压等级：100kV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最高耐压：150kV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功率：2kW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充电电阻：750kΩ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hint="eastAsia" w:ascii="Times New Roman" w:hAnsi="Times New Roman" w:cs="Times New Roman"/>
          <w:color w:val="000000"/>
          <w:sz w:val="24"/>
          <w:szCs w:val="24"/>
        </w:rPr>
        <w:t>参考图片</w:t>
      </w:r>
      <w:r>
        <w:rPr>
          <w:rFonts w:ascii="Times New Roman" w:hAnsi="Times New Roman" w:cs="Times New Roman"/>
          <w:color w:val="000000"/>
          <w:sz w:val="24"/>
          <w:szCs w:val="24"/>
        </w:rPr>
        <w:t>：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2291715</wp:posOffset>
            </wp:positionH>
            <wp:positionV relativeFrom="margin">
              <wp:posOffset>2014855</wp:posOffset>
            </wp:positionV>
            <wp:extent cx="1986915" cy="2263140"/>
            <wp:effectExtent l="0" t="0" r="0" b="3810"/>
            <wp:wrapSquare wrapText="bothSides"/>
            <wp:docPr id="4" name="图片 4" descr="C:\Users\SC6\Desktop\捕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SC6\Desktop\捕获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6915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pStyle w:val="2"/>
        <w:rPr>
          <w:sz w:val="24"/>
          <w:szCs w:val="24"/>
        </w:rPr>
      </w:pPr>
      <w:r>
        <w:rPr>
          <w:rFonts w:hint="eastAsia"/>
          <w:sz w:val="24"/>
          <w:szCs w:val="24"/>
        </w:rPr>
        <w:t>6、</w:t>
      </w:r>
      <w:r>
        <w:rPr>
          <w:sz w:val="24"/>
          <w:szCs w:val="24"/>
        </w:rPr>
        <w:t>电容分压器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3295015</wp:posOffset>
            </wp:positionH>
            <wp:positionV relativeFrom="margin">
              <wp:posOffset>5637530</wp:posOffset>
            </wp:positionV>
            <wp:extent cx="1294130" cy="3479165"/>
            <wp:effectExtent l="0" t="0" r="1270" b="7620"/>
            <wp:wrapSquare wrapText="bothSides"/>
            <wp:docPr id="7" name="图片 7" descr="C:\Users\SC6\Desktop\捕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:\Users\SC6\Desktop\捕获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65" r="35816"/>
                    <a:stretch>
                      <a:fillRect/>
                    </a:stretch>
                  </pic:blipFill>
                  <pic:spPr>
                    <a:xfrm>
                      <a:off x="0" y="0"/>
                      <a:ext cx="1294254" cy="3478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/>
          <w:sz w:val="24"/>
          <w:szCs w:val="24"/>
        </w:rPr>
        <w:t>电压等级：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20</w:t>
      </w:r>
      <w:r>
        <w:rPr>
          <w:rFonts w:ascii="Times New Roman" w:hAnsi="Times New Roman" w:cs="Times New Roman"/>
          <w:color w:val="000000"/>
          <w:sz w:val="24"/>
          <w:szCs w:val="24"/>
        </w:rPr>
        <w:t>0kV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变比：10000:1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hint="eastAsia" w:ascii="Times New Roman" w:hAnsi="Times New Roman" w:cs="Times New Roman"/>
          <w:color w:val="000000"/>
          <w:sz w:val="24"/>
          <w:szCs w:val="24"/>
        </w:rPr>
        <w:t>参考</w:t>
      </w:r>
      <w:r>
        <w:rPr>
          <w:rFonts w:ascii="Times New Roman" w:hAnsi="Times New Roman" w:cs="Times New Roman"/>
          <w:color w:val="000000"/>
          <w:sz w:val="24"/>
          <w:szCs w:val="24"/>
        </w:rPr>
        <w:t>图片：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pStyle w:val="2"/>
        <w:rPr>
          <w:sz w:val="24"/>
          <w:szCs w:val="24"/>
        </w:rPr>
      </w:pPr>
      <w:r>
        <w:rPr>
          <w:rFonts w:hint="eastAsia"/>
          <w:sz w:val="24"/>
          <w:szCs w:val="24"/>
        </w:rPr>
        <w:t>7、</w:t>
      </w:r>
      <w:r>
        <w:rPr>
          <w:sz w:val="24"/>
          <w:szCs w:val="24"/>
        </w:rPr>
        <w:t>充电电容器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耐压等级：180kV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冷却方式：油冷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其他：抗冲击电容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1567815</wp:posOffset>
            </wp:positionH>
            <wp:positionV relativeFrom="margin">
              <wp:posOffset>1683385</wp:posOffset>
            </wp:positionV>
            <wp:extent cx="2575560" cy="2297430"/>
            <wp:effectExtent l="0" t="0" r="0" b="7620"/>
            <wp:wrapSquare wrapText="bothSides"/>
            <wp:docPr id="6" name="图片 6" descr="C:\Users\SC6\Desktop\捕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:\Users\SC6\Desktop\捕获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5560" cy="229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参考</w:t>
      </w:r>
      <w:r>
        <w:rPr>
          <w:rFonts w:ascii="Times New Roman" w:hAnsi="Times New Roman" w:cs="Times New Roman"/>
          <w:color w:val="000000"/>
          <w:sz w:val="24"/>
          <w:szCs w:val="24"/>
        </w:rPr>
        <w:t>图片：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pStyle w:val="2"/>
        <w:rPr>
          <w:sz w:val="24"/>
          <w:szCs w:val="24"/>
        </w:rPr>
      </w:pPr>
      <w:r>
        <w:rPr>
          <w:rFonts w:hint="eastAsia"/>
          <w:sz w:val="24"/>
          <w:szCs w:val="24"/>
        </w:rPr>
        <w:t>8、</w:t>
      </w:r>
      <w:r>
        <w:rPr>
          <w:sz w:val="24"/>
          <w:szCs w:val="24"/>
        </w:rPr>
        <w:t>一体化</w:t>
      </w:r>
      <w:r>
        <w:rPr>
          <w:rFonts w:hint="eastAsia"/>
          <w:sz w:val="24"/>
          <w:szCs w:val="24"/>
        </w:rPr>
        <w:t>试验</w:t>
      </w:r>
      <w:r>
        <w:rPr>
          <w:sz w:val="24"/>
          <w:szCs w:val="24"/>
        </w:rPr>
        <w:t>平台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175895</wp:posOffset>
            </wp:positionH>
            <wp:positionV relativeFrom="paragraph">
              <wp:posOffset>1008380</wp:posOffset>
            </wp:positionV>
            <wp:extent cx="2828925" cy="2153920"/>
            <wp:effectExtent l="0" t="0" r="9525" b="0"/>
            <wp:wrapTight wrapText="bothSides">
              <wp:wrapPolygon>
                <wp:start x="0" y="0"/>
                <wp:lineTo x="0" y="21396"/>
                <wp:lineTo x="21527" y="21396"/>
                <wp:lineTo x="21527" y="0"/>
                <wp:lineTo x="0" y="0"/>
              </wp:wrapPolygon>
            </wp:wrapTight>
            <wp:docPr id="1" name="图片 1" descr="C:\Users\SC6\Desktop\捕获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SC6\Desktop\捕获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15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/>
          <w:sz w:val="24"/>
          <w:szCs w:val="24"/>
        </w:rPr>
        <w:t>一体化结构设计，可整体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吊装</w:t>
      </w:r>
      <w:r>
        <w:rPr>
          <w:rFonts w:ascii="Times New Roman" w:hAnsi="Times New Roman" w:cs="Times New Roman"/>
          <w:color w:val="000000"/>
          <w:sz w:val="24"/>
          <w:szCs w:val="24"/>
        </w:rPr>
        <w:t>运输，现场搭建工作量非常小，接线方便，并且可满足不下车进行试验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。平台</w:t>
      </w:r>
      <w:r>
        <w:rPr>
          <w:rFonts w:ascii="Times New Roman" w:hAnsi="Times New Roman" w:cs="Times New Roman"/>
          <w:color w:val="000000"/>
          <w:sz w:val="24"/>
          <w:szCs w:val="24"/>
        </w:rPr>
        <w:t>的整装适应性，电气绝缘布局和配重等进行了研究，并在实际运行中获得验证。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外形</w:t>
      </w:r>
      <w:r>
        <w:rPr>
          <w:rFonts w:ascii="Times New Roman" w:hAnsi="Times New Roman" w:cs="Times New Roman"/>
          <w:color w:val="000000"/>
          <w:sz w:val="24"/>
          <w:szCs w:val="24"/>
        </w:rPr>
        <w:t>尺寸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如</w:t>
      </w:r>
      <w:r>
        <w:rPr>
          <w:rFonts w:ascii="Times New Roman" w:hAnsi="Times New Roman" w:cs="Times New Roman"/>
          <w:color w:val="000000"/>
          <w:sz w:val="24"/>
          <w:szCs w:val="24"/>
        </w:rPr>
        <w:t>下图所示。</w:t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3223895</wp:posOffset>
            </wp:positionH>
            <wp:positionV relativeFrom="paragraph">
              <wp:posOffset>117475</wp:posOffset>
            </wp:positionV>
            <wp:extent cx="2657475" cy="2181860"/>
            <wp:effectExtent l="0" t="0" r="0" b="9525"/>
            <wp:wrapTight wrapText="bothSides">
              <wp:wrapPolygon>
                <wp:start x="0" y="0"/>
                <wp:lineTo x="0" y="21506"/>
                <wp:lineTo x="21368" y="21506"/>
                <wp:lineTo x="21368" y="0"/>
                <wp:lineTo x="0" y="0"/>
              </wp:wrapPolygon>
            </wp:wrapTight>
            <wp:docPr id="3" name="图片 3" descr="C:\Users\SC6\Desktop\捕获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SC6\Desktop\捕获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181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line="360" w:lineRule="auto"/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pStyle w:val="2"/>
        <w:rPr>
          <w:sz w:val="24"/>
          <w:szCs w:val="24"/>
        </w:rPr>
      </w:pPr>
      <w:r>
        <w:rPr>
          <w:rFonts w:hint="eastAsia"/>
          <w:sz w:val="24"/>
          <w:szCs w:val="24"/>
        </w:rPr>
        <w:t>六</w:t>
      </w:r>
      <w:r>
        <w:rPr>
          <w:sz w:val="24"/>
          <w:szCs w:val="24"/>
        </w:rPr>
        <w:t>、</w:t>
      </w:r>
      <w:r>
        <w:rPr>
          <w:rFonts w:hint="eastAsia"/>
          <w:sz w:val="24"/>
          <w:szCs w:val="24"/>
        </w:rPr>
        <w:t>使用</w:t>
      </w:r>
      <w:r>
        <w:rPr>
          <w:sz w:val="24"/>
          <w:szCs w:val="24"/>
        </w:rPr>
        <w:t>环境条件表</w:t>
      </w:r>
    </w:p>
    <w:p>
      <w:pPr>
        <w:pStyle w:val="15"/>
        <w:numPr>
          <w:ilvl w:val="0"/>
          <w:numId w:val="3"/>
        </w:numPr>
        <w:spacing w:line="360" w:lineRule="auto"/>
        <w:ind w:firstLineChars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hint="eastAsia" w:ascii="Times New Roman" w:hAnsi="Times New Roman" w:cs="Times New Roman"/>
          <w:color w:val="000000"/>
          <w:sz w:val="24"/>
          <w:szCs w:val="24"/>
        </w:rPr>
        <w:t>日</w:t>
      </w:r>
      <w:r>
        <w:rPr>
          <w:rFonts w:ascii="Times New Roman" w:hAnsi="Times New Roman" w:cs="Times New Roman"/>
          <w:color w:val="000000"/>
          <w:sz w:val="24"/>
          <w:szCs w:val="24"/>
        </w:rPr>
        <w:t>最高温度：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+45℃</w:t>
      </w:r>
    </w:p>
    <w:p>
      <w:pPr>
        <w:pStyle w:val="15"/>
        <w:numPr>
          <w:ilvl w:val="0"/>
          <w:numId w:val="3"/>
        </w:numPr>
        <w:spacing w:line="360" w:lineRule="auto"/>
        <w:ind w:firstLineChars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hint="eastAsia" w:ascii="Times New Roman" w:hAnsi="Times New Roman" w:cs="Times New Roman"/>
          <w:color w:val="000000"/>
          <w:sz w:val="24"/>
          <w:szCs w:val="24"/>
        </w:rPr>
        <w:t>日</w:t>
      </w:r>
      <w:r>
        <w:rPr>
          <w:rFonts w:ascii="Times New Roman" w:hAnsi="Times New Roman" w:cs="Times New Roman"/>
          <w:color w:val="000000"/>
          <w:sz w:val="24"/>
          <w:szCs w:val="24"/>
        </w:rPr>
        <w:t>最低温度：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-10℃</w:t>
      </w:r>
    </w:p>
    <w:p>
      <w:pPr>
        <w:pStyle w:val="15"/>
        <w:numPr>
          <w:ilvl w:val="0"/>
          <w:numId w:val="3"/>
        </w:numPr>
        <w:spacing w:line="360" w:lineRule="auto"/>
        <w:ind w:firstLineChars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hint="eastAsia" w:ascii="Times New Roman" w:hAnsi="Times New Roman" w:cs="Times New Roman"/>
          <w:color w:val="000000"/>
          <w:sz w:val="24"/>
          <w:szCs w:val="24"/>
        </w:rPr>
        <w:t>日</w:t>
      </w:r>
      <w:r>
        <w:rPr>
          <w:rFonts w:ascii="Times New Roman" w:hAnsi="Times New Roman" w:cs="Times New Roman"/>
          <w:color w:val="000000"/>
          <w:sz w:val="24"/>
          <w:szCs w:val="24"/>
        </w:rPr>
        <w:t>最大温差：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35℃</w:t>
      </w:r>
    </w:p>
    <w:p>
      <w:pPr>
        <w:pStyle w:val="15"/>
        <w:numPr>
          <w:ilvl w:val="0"/>
          <w:numId w:val="3"/>
        </w:numPr>
        <w:spacing w:line="360" w:lineRule="auto"/>
        <w:ind w:firstLineChars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hint="eastAsia" w:ascii="Times New Roman" w:hAnsi="Times New Roman" w:cs="Times New Roman"/>
          <w:color w:val="000000"/>
          <w:sz w:val="24"/>
          <w:szCs w:val="24"/>
        </w:rPr>
        <w:t>日</w:t>
      </w:r>
      <w:r>
        <w:rPr>
          <w:rFonts w:ascii="Times New Roman" w:hAnsi="Times New Roman" w:cs="Times New Roman"/>
          <w:color w:val="000000"/>
          <w:sz w:val="24"/>
          <w:szCs w:val="24"/>
        </w:rPr>
        <w:t>相对湿度平均值：</w:t>
      </w:r>
      <w:r>
        <w:rPr>
          <w:rFonts w:cs="Times New Roman" w:asciiTheme="minorEastAsia" w:hAnsiTheme="minorEastAsia"/>
          <w:color w:val="000000"/>
          <w:sz w:val="24"/>
          <w:szCs w:val="24"/>
        </w:rPr>
        <w:t>≤</w:t>
      </w:r>
      <w:r>
        <w:rPr>
          <w:rFonts w:ascii="Times New Roman" w:hAnsi="Times New Roman" w:cs="Times New Roman"/>
          <w:color w:val="000000"/>
          <w:sz w:val="24"/>
          <w:szCs w:val="24"/>
        </w:rPr>
        <w:t>90%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，无凝露</w:t>
      </w:r>
    </w:p>
    <w:p>
      <w:pPr>
        <w:pStyle w:val="15"/>
        <w:numPr>
          <w:ilvl w:val="0"/>
          <w:numId w:val="3"/>
        </w:numPr>
        <w:spacing w:line="360" w:lineRule="auto"/>
        <w:ind w:firstLineChars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hint="eastAsia" w:ascii="Times New Roman" w:hAnsi="Times New Roman" w:cs="Times New Roman"/>
          <w:color w:val="000000"/>
          <w:sz w:val="24"/>
          <w:szCs w:val="24"/>
        </w:rPr>
        <w:t>月</w:t>
      </w:r>
      <w:r>
        <w:rPr>
          <w:rFonts w:ascii="Times New Roman" w:hAnsi="Times New Roman" w:cs="Times New Roman"/>
          <w:color w:val="000000"/>
          <w:sz w:val="24"/>
          <w:szCs w:val="24"/>
        </w:rPr>
        <w:t>相对湿度平均值：</w:t>
      </w:r>
      <w:r>
        <w:rPr>
          <w:rFonts w:cs="Times New Roman" w:asciiTheme="minorEastAsia" w:hAnsiTheme="minorEastAsia"/>
          <w:color w:val="000000"/>
          <w:sz w:val="24"/>
          <w:szCs w:val="24"/>
        </w:rPr>
        <w:t>≤</w:t>
      </w:r>
      <w:r>
        <w:rPr>
          <w:rFonts w:ascii="Times New Roman" w:hAnsi="Times New Roman" w:cs="Times New Roman"/>
          <w:color w:val="000000"/>
          <w:sz w:val="24"/>
          <w:szCs w:val="24"/>
        </w:rPr>
        <w:t>90%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，</w:t>
      </w:r>
      <w:r>
        <w:rPr>
          <w:rFonts w:ascii="Times New Roman" w:hAnsi="Times New Roman" w:cs="Times New Roman"/>
          <w:color w:val="000000"/>
          <w:sz w:val="24"/>
          <w:szCs w:val="24"/>
        </w:rPr>
        <w:t>无凝露</w:t>
      </w:r>
    </w:p>
    <w:p>
      <w:pPr>
        <w:pStyle w:val="15"/>
        <w:numPr>
          <w:ilvl w:val="0"/>
          <w:numId w:val="3"/>
        </w:numPr>
        <w:spacing w:line="360" w:lineRule="auto"/>
        <w:ind w:firstLineChars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hint="eastAsia" w:ascii="Times New Roman" w:hAnsi="Times New Roman" w:cs="Times New Roman"/>
          <w:color w:val="000000"/>
          <w:sz w:val="24"/>
          <w:szCs w:val="24"/>
        </w:rPr>
        <w:t>海拔</w:t>
      </w:r>
      <w:r>
        <w:rPr>
          <w:rFonts w:ascii="Times New Roman" w:hAnsi="Times New Roman" w:cs="Times New Roman"/>
          <w:color w:val="000000"/>
          <w:sz w:val="24"/>
          <w:szCs w:val="24"/>
        </w:rPr>
        <w:t>高度：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≤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3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000</w:t>
      </w:r>
      <w:r>
        <w:rPr>
          <w:rFonts w:ascii="Times New Roman" w:hAnsi="Times New Roman" w:cs="Times New Roman"/>
          <w:color w:val="000000"/>
          <w:sz w:val="24"/>
          <w:szCs w:val="24"/>
        </w:rPr>
        <w:t>m</w:t>
      </w:r>
    </w:p>
    <w:p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sectPr>
      <w:pgSz w:w="11906" w:h="16838"/>
      <w:pgMar w:top="1134" w:right="1247" w:bottom="113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B6F3A41"/>
    <w:multiLevelType w:val="multilevel"/>
    <w:tmpl w:val="1B6F3A41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">
    <w:nsid w:val="23EA01ED"/>
    <w:multiLevelType w:val="multilevel"/>
    <w:tmpl w:val="23EA01ED"/>
    <w:lvl w:ilvl="0" w:tentative="0">
      <w:start w:val="1"/>
      <w:numFmt w:val="decimal"/>
      <w:lvlText w:val="%1"/>
      <w:lvlJc w:val="left"/>
      <w:pPr>
        <w:ind w:left="562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982" w:hanging="420"/>
      </w:pPr>
    </w:lvl>
    <w:lvl w:ilvl="2" w:tentative="0">
      <w:start w:val="1"/>
      <w:numFmt w:val="lowerRoman"/>
      <w:lvlText w:val="%3."/>
      <w:lvlJc w:val="right"/>
      <w:pPr>
        <w:ind w:left="1402" w:hanging="420"/>
      </w:pPr>
    </w:lvl>
    <w:lvl w:ilvl="3" w:tentative="0">
      <w:start w:val="1"/>
      <w:numFmt w:val="decimal"/>
      <w:lvlText w:val="%4."/>
      <w:lvlJc w:val="left"/>
      <w:pPr>
        <w:ind w:left="1822" w:hanging="420"/>
      </w:pPr>
    </w:lvl>
    <w:lvl w:ilvl="4" w:tentative="0">
      <w:start w:val="1"/>
      <w:numFmt w:val="lowerLetter"/>
      <w:lvlText w:val="%5)"/>
      <w:lvlJc w:val="left"/>
      <w:pPr>
        <w:ind w:left="2242" w:hanging="420"/>
      </w:pPr>
    </w:lvl>
    <w:lvl w:ilvl="5" w:tentative="0">
      <w:start w:val="1"/>
      <w:numFmt w:val="lowerRoman"/>
      <w:lvlText w:val="%6."/>
      <w:lvlJc w:val="right"/>
      <w:pPr>
        <w:ind w:left="2662" w:hanging="420"/>
      </w:pPr>
    </w:lvl>
    <w:lvl w:ilvl="6" w:tentative="0">
      <w:start w:val="1"/>
      <w:numFmt w:val="decimal"/>
      <w:lvlText w:val="%7."/>
      <w:lvlJc w:val="left"/>
      <w:pPr>
        <w:ind w:left="3082" w:hanging="420"/>
      </w:pPr>
    </w:lvl>
    <w:lvl w:ilvl="7" w:tentative="0">
      <w:start w:val="1"/>
      <w:numFmt w:val="lowerLetter"/>
      <w:lvlText w:val="%8)"/>
      <w:lvlJc w:val="left"/>
      <w:pPr>
        <w:ind w:left="3502" w:hanging="420"/>
      </w:pPr>
    </w:lvl>
    <w:lvl w:ilvl="8" w:tentative="0">
      <w:start w:val="1"/>
      <w:numFmt w:val="lowerRoman"/>
      <w:lvlText w:val="%9."/>
      <w:lvlJc w:val="right"/>
      <w:pPr>
        <w:ind w:left="3922" w:hanging="420"/>
      </w:pPr>
    </w:lvl>
  </w:abstractNum>
  <w:abstractNum w:abstractNumId="2">
    <w:nsid w:val="660525DA"/>
    <w:multiLevelType w:val="multilevel"/>
    <w:tmpl w:val="660525DA"/>
    <w:lvl w:ilvl="0" w:tentative="0">
      <w:start w:val="1"/>
      <w:numFmt w:val="decimal"/>
      <w:lvlText w:val="%1、"/>
      <w:lvlJc w:val="left"/>
      <w:pPr>
        <w:ind w:left="84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UyMGY1ZDk1MzYyN2ZiMWZmNzhkNTk4ZTgyYmZlMzMifQ=="/>
  </w:docVars>
  <w:rsids>
    <w:rsidRoot w:val="00595E0E"/>
    <w:rsid w:val="00060393"/>
    <w:rsid w:val="00076339"/>
    <w:rsid w:val="0008705B"/>
    <w:rsid w:val="00090DB4"/>
    <w:rsid w:val="000A7CE7"/>
    <w:rsid w:val="000B5253"/>
    <w:rsid w:val="000D4B3F"/>
    <w:rsid w:val="001152F4"/>
    <w:rsid w:val="001560A8"/>
    <w:rsid w:val="00161194"/>
    <w:rsid w:val="001743F9"/>
    <w:rsid w:val="001876BC"/>
    <w:rsid w:val="001A310F"/>
    <w:rsid w:val="001B39AB"/>
    <w:rsid w:val="001B48CA"/>
    <w:rsid w:val="001C687C"/>
    <w:rsid w:val="001E7CFF"/>
    <w:rsid w:val="002256DA"/>
    <w:rsid w:val="00246AA6"/>
    <w:rsid w:val="00256F4E"/>
    <w:rsid w:val="002F3415"/>
    <w:rsid w:val="00325C96"/>
    <w:rsid w:val="003559CE"/>
    <w:rsid w:val="0038025D"/>
    <w:rsid w:val="00387711"/>
    <w:rsid w:val="003A21BA"/>
    <w:rsid w:val="003D54AE"/>
    <w:rsid w:val="003E0085"/>
    <w:rsid w:val="00405D99"/>
    <w:rsid w:val="004333D1"/>
    <w:rsid w:val="004C0ECC"/>
    <w:rsid w:val="004E7CF8"/>
    <w:rsid w:val="005075CE"/>
    <w:rsid w:val="005159BE"/>
    <w:rsid w:val="00550666"/>
    <w:rsid w:val="00551DFF"/>
    <w:rsid w:val="005540A6"/>
    <w:rsid w:val="00557D21"/>
    <w:rsid w:val="00575E01"/>
    <w:rsid w:val="00580D03"/>
    <w:rsid w:val="00595E0E"/>
    <w:rsid w:val="005A0CA6"/>
    <w:rsid w:val="005C2B8D"/>
    <w:rsid w:val="005E0CE8"/>
    <w:rsid w:val="00610A6D"/>
    <w:rsid w:val="00623A0F"/>
    <w:rsid w:val="006245ED"/>
    <w:rsid w:val="00652E43"/>
    <w:rsid w:val="0065758B"/>
    <w:rsid w:val="0068321C"/>
    <w:rsid w:val="00683A51"/>
    <w:rsid w:val="00685FF9"/>
    <w:rsid w:val="006960CE"/>
    <w:rsid w:val="006E271F"/>
    <w:rsid w:val="006F2925"/>
    <w:rsid w:val="00701F81"/>
    <w:rsid w:val="0073337E"/>
    <w:rsid w:val="00734B66"/>
    <w:rsid w:val="00735250"/>
    <w:rsid w:val="00753C03"/>
    <w:rsid w:val="007A07B8"/>
    <w:rsid w:val="007A3D49"/>
    <w:rsid w:val="007A5EF7"/>
    <w:rsid w:val="007C1644"/>
    <w:rsid w:val="007E0F6C"/>
    <w:rsid w:val="00803442"/>
    <w:rsid w:val="008306D3"/>
    <w:rsid w:val="00841118"/>
    <w:rsid w:val="008426D9"/>
    <w:rsid w:val="0085206C"/>
    <w:rsid w:val="0085628B"/>
    <w:rsid w:val="008942F0"/>
    <w:rsid w:val="00897AD4"/>
    <w:rsid w:val="008B1500"/>
    <w:rsid w:val="008F0CEE"/>
    <w:rsid w:val="00934DE3"/>
    <w:rsid w:val="009416F4"/>
    <w:rsid w:val="009445B7"/>
    <w:rsid w:val="009536DA"/>
    <w:rsid w:val="00956459"/>
    <w:rsid w:val="00956593"/>
    <w:rsid w:val="00970C09"/>
    <w:rsid w:val="009B0558"/>
    <w:rsid w:val="009E4E6E"/>
    <w:rsid w:val="00A46896"/>
    <w:rsid w:val="00A66E85"/>
    <w:rsid w:val="00AA7AFD"/>
    <w:rsid w:val="00AE26D4"/>
    <w:rsid w:val="00B33A62"/>
    <w:rsid w:val="00B34337"/>
    <w:rsid w:val="00B648C9"/>
    <w:rsid w:val="00B8017C"/>
    <w:rsid w:val="00B86801"/>
    <w:rsid w:val="00BD58FC"/>
    <w:rsid w:val="00BF26C7"/>
    <w:rsid w:val="00BF75BE"/>
    <w:rsid w:val="00C131A4"/>
    <w:rsid w:val="00C272A4"/>
    <w:rsid w:val="00C3297A"/>
    <w:rsid w:val="00C5789B"/>
    <w:rsid w:val="00C757DA"/>
    <w:rsid w:val="00C852A1"/>
    <w:rsid w:val="00CB52F6"/>
    <w:rsid w:val="00CD6FC8"/>
    <w:rsid w:val="00CF6C1F"/>
    <w:rsid w:val="00D229A2"/>
    <w:rsid w:val="00D37D53"/>
    <w:rsid w:val="00D8220E"/>
    <w:rsid w:val="00D853EF"/>
    <w:rsid w:val="00DC6DAD"/>
    <w:rsid w:val="00DD4A6C"/>
    <w:rsid w:val="00DE361B"/>
    <w:rsid w:val="00E05629"/>
    <w:rsid w:val="00E2064D"/>
    <w:rsid w:val="00E20E8B"/>
    <w:rsid w:val="00E414C0"/>
    <w:rsid w:val="00E543C2"/>
    <w:rsid w:val="00E77577"/>
    <w:rsid w:val="00EB15F3"/>
    <w:rsid w:val="00EB6E8D"/>
    <w:rsid w:val="00EC476C"/>
    <w:rsid w:val="00ED2D5D"/>
    <w:rsid w:val="00EE6D03"/>
    <w:rsid w:val="00F60ECA"/>
    <w:rsid w:val="00F83C19"/>
    <w:rsid w:val="00FA63A4"/>
    <w:rsid w:val="00FC2D62"/>
    <w:rsid w:val="00FC61DE"/>
    <w:rsid w:val="0114239A"/>
    <w:rsid w:val="4C1B7B78"/>
    <w:rsid w:val="71E74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7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autoRedefine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8"/>
    <w:autoRedefine/>
    <w:semiHidden/>
    <w:unhideWhenUsed/>
    <w:qFormat/>
    <w:uiPriority w:val="99"/>
    <w:pPr>
      <w:jc w:val="left"/>
    </w:pPr>
  </w:style>
  <w:style w:type="paragraph" w:styleId="4">
    <w:name w:val="Balloon Text"/>
    <w:basedOn w:val="1"/>
    <w:link w:val="20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itle"/>
    <w:basedOn w:val="1"/>
    <w:next w:val="1"/>
    <w:link w:val="16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paragraph" w:styleId="8">
    <w:name w:val="annotation subject"/>
    <w:basedOn w:val="3"/>
    <w:next w:val="3"/>
    <w:link w:val="19"/>
    <w:semiHidden/>
    <w:unhideWhenUsed/>
    <w:qFormat/>
    <w:uiPriority w:val="99"/>
    <w:rPr>
      <w:b/>
      <w:bCs/>
    </w:rPr>
  </w:style>
  <w:style w:type="table" w:styleId="10">
    <w:name w:val="Table Grid"/>
    <w:basedOn w:val="9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annotation reference"/>
    <w:basedOn w:val="11"/>
    <w:autoRedefine/>
    <w:semiHidden/>
    <w:unhideWhenUsed/>
    <w:qFormat/>
    <w:uiPriority w:val="99"/>
    <w:rPr>
      <w:sz w:val="21"/>
      <w:szCs w:val="21"/>
    </w:rPr>
  </w:style>
  <w:style w:type="character" w:customStyle="1" w:styleId="13">
    <w:name w:val="页眉 Char"/>
    <w:basedOn w:val="11"/>
    <w:link w:val="6"/>
    <w:autoRedefine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5"/>
    <w:autoRedefine/>
    <w:qFormat/>
    <w:uiPriority w:val="99"/>
    <w:rPr>
      <w:sz w:val="18"/>
      <w:szCs w:val="18"/>
    </w:rPr>
  </w:style>
  <w:style w:type="paragraph" w:styleId="15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6">
    <w:name w:val="标题 Char"/>
    <w:basedOn w:val="11"/>
    <w:link w:val="7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7">
    <w:name w:val="标题 2 Char"/>
    <w:basedOn w:val="11"/>
    <w:link w:val="2"/>
    <w:autoRedefine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8">
    <w:name w:val="批注文字 Char"/>
    <w:basedOn w:val="11"/>
    <w:link w:val="3"/>
    <w:autoRedefine/>
    <w:semiHidden/>
    <w:qFormat/>
    <w:uiPriority w:val="99"/>
  </w:style>
  <w:style w:type="character" w:customStyle="1" w:styleId="19">
    <w:name w:val="批注主题 Char"/>
    <w:basedOn w:val="18"/>
    <w:link w:val="8"/>
    <w:autoRedefine/>
    <w:semiHidden/>
    <w:qFormat/>
    <w:uiPriority w:val="99"/>
    <w:rPr>
      <w:b/>
      <w:bCs/>
    </w:rPr>
  </w:style>
  <w:style w:type="character" w:customStyle="1" w:styleId="20">
    <w:name w:val="批注框文本 Char"/>
    <w:basedOn w:val="11"/>
    <w:link w:val="4"/>
    <w:autoRedefine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317</Words>
  <Characters>1810</Characters>
  <Lines>15</Lines>
  <Paragraphs>4</Paragraphs>
  <TotalTime>40</TotalTime>
  <ScaleCrop>false</ScaleCrop>
  <LinksUpToDate>false</LinksUpToDate>
  <CharactersWithSpaces>2123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2019-03-28T01:28:00Z</dcterms:created>
  <dc:creator>苏州华电盛霞</dc:creator>
  <cp:lastModifiedBy>宋菡杨</cp:lastModifiedBy>
  <dcterms:modified xsi:type="dcterms:W3CDTF">2024-04-10T02:01:22Z</dcterms:modified>
  <cp:revision>129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1DA068A200FC41D0A1E932599F77FE86_13</vt:lpwstr>
  </property>
</Properties>
</file>