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32"/>
          <w:szCs w:val="32"/>
        </w:rPr>
      </w:pPr>
      <w:r>
        <w:rPr>
          <w:rFonts w:hint="eastAsia"/>
          <w:b/>
          <w:sz w:val="32"/>
          <w:szCs w:val="32"/>
        </w:rPr>
        <w:t>一种深井接地极及深井接地极监控系统专利项目经济效益专项审计服务零星采购技术附件</w:t>
      </w:r>
    </w:p>
    <w:p>
      <w:pPr>
        <w:pStyle w:val="9"/>
        <w:numPr>
          <w:ilvl w:val="0"/>
          <w:numId w:val="1"/>
        </w:numPr>
        <w:ind w:firstLineChars="0"/>
        <w:outlineLvl w:val="0"/>
        <w:rPr>
          <w:rFonts w:hint="eastAsia" w:ascii="仿宋" w:hAnsi="仿宋" w:eastAsia="仿宋"/>
          <w:color w:val="0000FF"/>
          <w:sz w:val="28"/>
          <w:szCs w:val="28"/>
          <w:lang w:val="zh-CN"/>
        </w:rPr>
      </w:pPr>
      <w:r>
        <w:rPr>
          <w:rFonts w:hint="eastAsia" w:ascii="仿宋_GB2312" w:hAnsi="宋体" w:eastAsia="仿宋_GB2312"/>
          <w:b/>
          <w:sz w:val="28"/>
          <w:szCs w:val="28"/>
        </w:rPr>
        <w:t>采购范围及要求</w:t>
      </w:r>
    </w:p>
    <w:p>
      <w:pPr>
        <w:ind w:firstLine="560" w:firstLineChars="200"/>
        <w:rPr>
          <w:rFonts w:hint="eastAsia" w:ascii="仿宋" w:hAnsi="仿宋" w:eastAsia="仿宋"/>
          <w:color w:val="auto"/>
          <w:sz w:val="28"/>
          <w:szCs w:val="28"/>
          <w:lang w:val="zh-CN"/>
        </w:rPr>
      </w:pPr>
      <w:r>
        <w:rPr>
          <w:rFonts w:hint="eastAsia" w:ascii="仿宋" w:hAnsi="仿宋" w:eastAsia="仿宋"/>
          <w:color w:val="auto"/>
          <w:sz w:val="28"/>
          <w:szCs w:val="28"/>
          <w:lang w:val="en-US" w:eastAsia="zh-CN"/>
        </w:rPr>
        <w:t>1.</w:t>
      </w:r>
      <w:r>
        <w:rPr>
          <w:rFonts w:hint="eastAsia" w:ascii="仿宋" w:hAnsi="仿宋" w:eastAsia="仿宋"/>
          <w:color w:val="auto"/>
          <w:sz w:val="28"/>
          <w:szCs w:val="28"/>
          <w:lang w:val="zh-CN"/>
        </w:rPr>
        <w:t xml:space="preserve">审计项目名称： “一种深井接地极及深井接地极监控系统”专利项目经济效益专项审计 </w:t>
      </w:r>
    </w:p>
    <w:p>
      <w:pPr>
        <w:ind w:firstLine="560" w:firstLineChars="200"/>
        <w:rPr>
          <w:rFonts w:hint="eastAsia" w:ascii="仿宋" w:hAnsi="仿宋" w:eastAsia="宋体"/>
          <w:color w:val="auto"/>
          <w:sz w:val="28"/>
          <w:szCs w:val="28"/>
          <w:lang w:val="en-US"/>
        </w:rPr>
      </w:pPr>
      <w:r>
        <w:rPr>
          <w:rFonts w:hint="eastAsia" w:ascii="仿宋" w:hAnsi="仿宋" w:eastAsia="仿宋"/>
          <w:color w:val="auto"/>
          <w:sz w:val="28"/>
          <w:szCs w:val="28"/>
          <w:lang w:val="en-US" w:eastAsia="zh-CN"/>
        </w:rPr>
        <w:t>2.</w:t>
      </w:r>
      <w:r>
        <w:rPr>
          <w:rFonts w:hint="eastAsia" w:ascii="仿宋" w:hAnsi="仿宋" w:eastAsia="仿宋"/>
          <w:color w:val="000000" w:themeColor="text1"/>
          <w:sz w:val="28"/>
          <w:szCs w:val="28"/>
          <w:lang w:val="zh-CN"/>
          <w14:textFill>
            <w14:solidFill>
              <w14:schemeClr w14:val="tx1"/>
            </w14:solidFill>
          </w14:textFill>
        </w:rPr>
        <w:t>审计项目内容及交付成果：</w:t>
      </w:r>
      <w:r>
        <w:rPr>
          <w:rFonts w:hint="eastAsia" w:ascii="仿宋" w:hAnsi="仿宋" w:eastAsia="仿宋"/>
          <w:color w:val="000000" w:themeColor="text1"/>
          <w:sz w:val="28"/>
          <w:szCs w:val="28"/>
          <w:lang w:val="zh-CN"/>
          <w14:textFill>
            <w14:solidFill>
              <w14:schemeClr w14:val="tx1"/>
            </w14:solidFill>
          </w14:textFill>
        </w:rPr>
        <w:t>依据《中国注册会计师审计准则》和《第十一届广东专利奖申报指南》对“一种深井接地极及深井接地极监控系统”专利实现的经济效益进行审计，包括专利相关的合同真实性、准确性、相关性进行审核，同时对专利取得销售收入、实现的利税准确性进行审核</w:t>
      </w:r>
      <w:r>
        <w:rPr>
          <w:rFonts w:hint="eastAsia" w:ascii="仿宋" w:hAnsi="仿宋" w:eastAsia="仿宋"/>
          <w:color w:val="000000" w:themeColor="text1"/>
          <w:sz w:val="28"/>
          <w:szCs w:val="28"/>
          <w:lang w:val="zh-CN"/>
          <w14:textFill>
            <w14:solidFill>
              <w14:schemeClr w14:val="tx1"/>
            </w14:solidFill>
          </w14:textFill>
        </w:rPr>
        <w:t>，提交《“</w:t>
      </w:r>
      <w:r>
        <w:rPr>
          <w:rFonts w:hint="eastAsia" w:ascii="仿宋" w:hAnsi="仿宋" w:eastAsia="仿宋"/>
          <w:color w:val="000000" w:themeColor="text1"/>
          <w:sz w:val="28"/>
          <w:szCs w:val="28"/>
          <w:lang w:val="zh-CN"/>
          <w14:textFill>
            <w14:solidFill>
              <w14:schemeClr w14:val="tx1"/>
            </w14:solidFill>
          </w14:textFill>
        </w:rPr>
        <w:t>一种深井接地极及深井接地极监控系统</w:t>
      </w:r>
      <w:r>
        <w:rPr>
          <w:rFonts w:hint="eastAsia" w:ascii="仿宋" w:hAnsi="仿宋" w:eastAsia="仿宋"/>
          <w:color w:val="000000" w:themeColor="text1"/>
          <w:sz w:val="28"/>
          <w:szCs w:val="28"/>
          <w:lang w:val="zh-CN"/>
          <w14:textFill>
            <w14:solidFill>
              <w14:schemeClr w14:val="tx1"/>
            </w14:solidFill>
          </w14:textFill>
        </w:rPr>
        <w:t>”专利项目经济效益专项审计报告》。</w:t>
      </w:r>
      <w:bookmarkStart w:id="0" w:name="_GoBack"/>
      <w:bookmarkEnd w:id="0"/>
    </w:p>
    <w:p>
      <w:pPr>
        <w:ind w:firstLine="560" w:firstLineChars="200"/>
        <w:rPr>
          <w:rFonts w:hint="eastAsia" w:ascii="仿宋" w:hAnsi="仿宋" w:eastAsia="仿宋"/>
          <w:color w:val="auto"/>
          <w:sz w:val="28"/>
          <w:szCs w:val="28"/>
          <w:lang w:val="zh-CN"/>
        </w:rPr>
      </w:pPr>
      <w:r>
        <w:rPr>
          <w:rFonts w:hint="eastAsia" w:ascii="仿宋" w:hAnsi="仿宋" w:eastAsia="仿宋"/>
          <w:color w:val="auto"/>
          <w:sz w:val="28"/>
          <w:szCs w:val="28"/>
          <w:lang w:val="en-US" w:eastAsia="zh-CN"/>
        </w:rPr>
        <w:t>3.</w:t>
      </w:r>
      <w:r>
        <w:rPr>
          <w:rFonts w:hint="eastAsia" w:ascii="仿宋" w:hAnsi="仿宋" w:eastAsia="仿宋"/>
          <w:color w:val="auto"/>
          <w:sz w:val="28"/>
          <w:szCs w:val="28"/>
          <w:lang w:val="zh-CN"/>
        </w:rPr>
        <w:t>审计报告提交时间:  2024年</w:t>
      </w:r>
      <w:r>
        <w:rPr>
          <w:rFonts w:ascii="仿宋" w:hAnsi="仿宋" w:eastAsia="仿宋"/>
          <w:color w:val="auto"/>
          <w:sz w:val="28"/>
          <w:szCs w:val="28"/>
          <w:lang w:val="zh-CN"/>
        </w:rPr>
        <w:t>4</w:t>
      </w:r>
      <w:r>
        <w:rPr>
          <w:rFonts w:hint="eastAsia" w:ascii="仿宋" w:hAnsi="仿宋" w:eastAsia="仿宋"/>
          <w:color w:val="auto"/>
          <w:sz w:val="28"/>
          <w:szCs w:val="28"/>
          <w:lang w:val="zh-CN"/>
        </w:rPr>
        <w:t>月</w:t>
      </w:r>
      <w:r>
        <w:rPr>
          <w:rFonts w:ascii="仿宋" w:hAnsi="仿宋" w:eastAsia="仿宋"/>
          <w:color w:val="auto"/>
          <w:sz w:val="28"/>
          <w:szCs w:val="28"/>
          <w:lang w:val="zh-CN"/>
        </w:rPr>
        <w:t>17</w:t>
      </w:r>
      <w:r>
        <w:rPr>
          <w:rFonts w:hint="eastAsia" w:ascii="仿宋" w:hAnsi="仿宋" w:eastAsia="仿宋"/>
          <w:color w:val="auto"/>
          <w:sz w:val="28"/>
          <w:szCs w:val="28"/>
          <w:lang w:val="zh-CN"/>
        </w:rPr>
        <w:t>日之前。</w:t>
      </w:r>
    </w:p>
    <w:p>
      <w:pPr>
        <w:ind w:firstLine="560" w:firstLineChars="200"/>
        <w:rPr>
          <w:rFonts w:hint="eastAsia" w:ascii="仿宋" w:hAnsi="仿宋" w:eastAsia="仿宋"/>
          <w:color w:val="auto"/>
          <w:sz w:val="28"/>
          <w:szCs w:val="28"/>
          <w:lang w:val="zh-CN"/>
        </w:rPr>
      </w:pPr>
      <w:r>
        <w:rPr>
          <w:rFonts w:hint="eastAsia" w:ascii="仿宋" w:hAnsi="仿宋" w:eastAsia="仿宋"/>
          <w:color w:val="auto"/>
          <w:sz w:val="28"/>
          <w:szCs w:val="28"/>
          <w:lang w:val="en-US" w:eastAsia="zh-CN"/>
        </w:rPr>
        <w:t>4.</w:t>
      </w:r>
      <w:r>
        <w:rPr>
          <w:rFonts w:hint="eastAsia" w:ascii="仿宋" w:hAnsi="仿宋" w:eastAsia="仿宋"/>
          <w:color w:val="auto"/>
          <w:sz w:val="28"/>
          <w:szCs w:val="28"/>
          <w:lang w:val="zh-CN"/>
        </w:rPr>
        <w:t>结算方式及期限:乙方提交《“一种深井接地极及深井接地极监控系统”专利项目经济效益专项审计报告》与等额增值税专用发票，经甲方审核同意后40个工作日内一次性结清。</w:t>
      </w:r>
    </w:p>
    <w:p>
      <w:pPr>
        <w:ind w:firstLine="560" w:firstLineChars="200"/>
        <w:rPr>
          <w:rFonts w:hint="eastAsia" w:ascii="仿宋" w:hAnsi="仿宋" w:eastAsia="仿宋"/>
          <w:color w:val="auto"/>
          <w:sz w:val="28"/>
          <w:szCs w:val="28"/>
          <w:lang w:val="zh-CN"/>
        </w:rPr>
      </w:pPr>
      <w:r>
        <w:rPr>
          <w:rFonts w:hint="eastAsia" w:ascii="仿宋" w:hAnsi="仿宋" w:eastAsia="仿宋"/>
          <w:color w:val="auto"/>
          <w:sz w:val="28"/>
          <w:szCs w:val="28"/>
          <w:lang w:val="en-US" w:eastAsia="zh-CN"/>
        </w:rPr>
        <w:t>5.其他</w:t>
      </w:r>
      <w:r>
        <w:rPr>
          <w:rFonts w:hint="eastAsia" w:ascii="仿宋" w:hAnsi="仿宋" w:eastAsia="仿宋"/>
          <w:color w:val="auto"/>
          <w:sz w:val="28"/>
          <w:szCs w:val="28"/>
          <w:lang w:val="zh-CN"/>
        </w:rPr>
        <w:t>要求</w:t>
      </w:r>
    </w:p>
    <w:p>
      <w:pPr>
        <w:ind w:firstLine="560" w:firstLineChars="200"/>
        <w:rPr>
          <w:rFonts w:ascii="仿宋" w:hAnsi="仿宋" w:eastAsia="仿宋"/>
          <w:color w:val="auto"/>
          <w:sz w:val="28"/>
          <w:szCs w:val="28"/>
          <w:lang w:val="zh-CN"/>
        </w:rPr>
      </w:pPr>
      <w:r>
        <w:rPr>
          <w:rFonts w:hint="eastAsia" w:ascii="仿宋" w:hAnsi="仿宋" w:eastAsia="仿宋"/>
          <w:color w:val="auto"/>
          <w:sz w:val="28"/>
          <w:szCs w:val="28"/>
          <w:lang w:val="en-US" w:eastAsia="zh-CN"/>
        </w:rPr>
        <w:t>审计单位需</w:t>
      </w:r>
      <w:r>
        <w:rPr>
          <w:rFonts w:hint="eastAsia" w:ascii="仿宋" w:hAnsi="仿宋" w:eastAsia="仿宋"/>
          <w:color w:val="auto"/>
          <w:sz w:val="28"/>
          <w:szCs w:val="28"/>
          <w:lang w:val="zh-CN"/>
        </w:rPr>
        <w:t>签署保密协议。</w:t>
      </w:r>
    </w:p>
    <w:p>
      <w:pPr>
        <w:pStyle w:val="9"/>
        <w:ind w:left="0" w:firstLine="562" w:firstLineChars="200"/>
        <w:outlineLvl w:val="0"/>
        <w:rPr>
          <w:rFonts w:hint="eastAsia" w:ascii="仿宋_GB2312" w:hAnsi="宋体" w:eastAsia="仿宋_GB2312"/>
          <w:b/>
          <w:sz w:val="28"/>
          <w:szCs w:val="28"/>
        </w:rPr>
      </w:pPr>
      <w:r>
        <w:rPr>
          <w:rFonts w:hint="eastAsia" w:ascii="仿宋_GB2312" w:hAnsi="宋体" w:eastAsia="仿宋_GB2312"/>
          <w:b/>
          <w:sz w:val="28"/>
          <w:szCs w:val="28"/>
          <w:lang w:val="en-US" w:eastAsia="zh-CN"/>
        </w:rPr>
        <w:t>二、</w:t>
      </w:r>
      <w:r>
        <w:rPr>
          <w:rFonts w:hint="eastAsia" w:ascii="仿宋_GB2312" w:hAnsi="宋体" w:eastAsia="仿宋_GB2312"/>
          <w:b/>
          <w:sz w:val="28"/>
          <w:szCs w:val="28"/>
        </w:rPr>
        <w:t>资格条件</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3"/>
        <w:gridCol w:w="76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23" w:type="dxa"/>
            <w:shd w:val="clear" w:color="auto" w:fill="FFFFFF"/>
            <w:noWrap w:val="0"/>
            <w:vAlign w:val="center"/>
          </w:tcPr>
          <w:p>
            <w:pPr>
              <w:jc w:val="center"/>
              <w:rPr>
                <w:rFonts w:hint="eastAsia" w:ascii="仿宋" w:hAnsi="仿宋" w:eastAsia="仿宋" w:cs="仿宋"/>
                <w:sz w:val="24"/>
              </w:rPr>
            </w:pPr>
            <w:r>
              <w:rPr>
                <w:rFonts w:hint="eastAsia" w:ascii="仿宋" w:hAnsi="仿宋" w:eastAsia="仿宋" w:cs="仿宋"/>
                <w:b/>
                <w:sz w:val="24"/>
              </w:rPr>
              <w:t>序号</w:t>
            </w:r>
          </w:p>
        </w:tc>
        <w:tc>
          <w:tcPr>
            <w:tcW w:w="7699" w:type="dxa"/>
            <w:shd w:val="clear" w:color="auto" w:fill="FFFFFF"/>
            <w:noWrap w:val="0"/>
            <w:vAlign w:val="center"/>
          </w:tcPr>
          <w:p>
            <w:pPr>
              <w:jc w:val="center"/>
              <w:rPr>
                <w:rFonts w:hint="eastAsia" w:ascii="仿宋" w:hAnsi="仿宋" w:eastAsia="仿宋" w:cs="仿宋"/>
                <w:sz w:val="24"/>
              </w:rPr>
            </w:pPr>
            <w:r>
              <w:rPr>
                <w:rFonts w:hint="eastAsia" w:ascii="仿宋" w:hAnsi="仿宋" w:eastAsia="仿宋" w:cs="仿宋"/>
                <w:b/>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3" w:type="dxa"/>
            <w:shd w:val="clear" w:color="auto" w:fill="FFFFFF"/>
            <w:noWrap w:val="0"/>
            <w:vAlign w:val="center"/>
          </w:tcPr>
          <w:p>
            <w:pPr>
              <w:jc w:val="center"/>
              <w:rPr>
                <w:rFonts w:hint="eastAsia" w:ascii="仿宋" w:hAnsi="仿宋" w:eastAsia="仿宋" w:cs="仿宋"/>
                <w:sz w:val="24"/>
              </w:rPr>
            </w:pPr>
            <w:r>
              <w:rPr>
                <w:rFonts w:hint="eastAsia" w:ascii="仿宋" w:hAnsi="仿宋" w:eastAsia="仿宋" w:cs="仿宋"/>
                <w:sz w:val="24"/>
              </w:rPr>
              <w:t>1</w:t>
            </w:r>
          </w:p>
        </w:tc>
        <w:tc>
          <w:tcPr>
            <w:tcW w:w="7699" w:type="dxa"/>
            <w:shd w:val="clear" w:color="auto" w:fill="FFFFFF"/>
            <w:noWrap w:val="0"/>
            <w:vAlign w:val="center"/>
          </w:tcPr>
          <w:p>
            <w:pPr>
              <w:jc w:val="left"/>
              <w:rPr>
                <w:rFonts w:hint="eastAsia" w:ascii="仿宋" w:hAnsi="仿宋" w:eastAsia="仿宋" w:cs="仿宋"/>
                <w:sz w:val="24"/>
              </w:rPr>
            </w:pPr>
            <w:r>
              <w:rPr>
                <w:rFonts w:hint="eastAsia" w:ascii="仿宋" w:hAnsi="仿宋" w:eastAsia="仿宋" w:cs="仿宋"/>
                <w:sz w:val="24"/>
              </w:rPr>
              <w:t>报价单位为企业的，应提供有效的营业执照（海外及港澳台企业如无营业执照应提供有效登记注册证明文件；企业分支机构应同时提供总公司出具的项目授权）；报价单位为事业单位或社团的，应提供有效的事业单位法人证书或社团法人证书；报价单位为非法人组织的，应当提供有关监管机构颁发的执业许可证明文件；报价单位为自然人的，应提供有效的身份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3" w:type="dxa"/>
            <w:shd w:val="clear" w:color="auto" w:fill="FFFFFF"/>
            <w:noWrap w:val="0"/>
            <w:vAlign w:val="center"/>
          </w:tcPr>
          <w:p>
            <w:pPr>
              <w:jc w:val="center"/>
              <w:rPr>
                <w:rFonts w:hint="eastAsia" w:ascii="仿宋" w:hAnsi="仿宋" w:eastAsia="仿宋" w:cs="仿宋"/>
                <w:sz w:val="24"/>
              </w:rPr>
            </w:pPr>
            <w:r>
              <w:rPr>
                <w:rFonts w:hint="eastAsia" w:ascii="仿宋" w:hAnsi="仿宋" w:eastAsia="仿宋" w:cs="仿宋"/>
                <w:sz w:val="24"/>
              </w:rPr>
              <w:t>2</w:t>
            </w:r>
          </w:p>
        </w:tc>
        <w:tc>
          <w:tcPr>
            <w:tcW w:w="7699" w:type="dxa"/>
            <w:shd w:val="clear" w:color="auto" w:fill="FFFFFF"/>
            <w:noWrap w:val="0"/>
            <w:vAlign w:val="center"/>
          </w:tcPr>
          <w:p>
            <w:pPr>
              <w:jc w:val="left"/>
              <w:rPr>
                <w:rFonts w:hint="eastAsia" w:ascii="仿宋" w:hAnsi="仿宋" w:eastAsia="仿宋" w:cs="仿宋"/>
                <w:sz w:val="24"/>
              </w:rPr>
            </w:pPr>
            <w:r>
              <w:rPr>
                <w:rFonts w:hint="eastAsia" w:ascii="仿宋" w:hAnsi="仿宋" w:eastAsia="仿宋" w:cs="仿宋"/>
                <w:sz w:val="24"/>
              </w:rPr>
              <w:t>单位负责人为同一人或者存在控股、管理关系的不同单位，不得同时参加报价；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3" w:type="dxa"/>
            <w:shd w:val="clear" w:color="auto" w:fill="FFFFFF"/>
            <w:noWrap w:val="0"/>
            <w:vAlign w:val="center"/>
          </w:tcPr>
          <w:p>
            <w:pPr>
              <w:jc w:val="center"/>
              <w:rPr>
                <w:rFonts w:hint="eastAsia" w:ascii="仿宋" w:hAnsi="仿宋" w:eastAsia="仿宋" w:cs="仿宋"/>
                <w:sz w:val="24"/>
              </w:rPr>
            </w:pPr>
            <w:r>
              <w:rPr>
                <w:rFonts w:hint="eastAsia" w:ascii="仿宋" w:hAnsi="仿宋" w:eastAsia="仿宋" w:cs="仿宋"/>
                <w:sz w:val="24"/>
              </w:rPr>
              <w:t>3</w:t>
            </w:r>
          </w:p>
        </w:tc>
        <w:tc>
          <w:tcPr>
            <w:tcW w:w="7699" w:type="dxa"/>
            <w:shd w:val="clear" w:color="auto" w:fill="FFFFFF"/>
            <w:noWrap w:val="0"/>
            <w:vAlign w:val="center"/>
          </w:tcPr>
          <w:p>
            <w:pPr>
              <w:jc w:val="left"/>
              <w:rPr>
                <w:rFonts w:hint="eastAsia" w:ascii="仿宋" w:hAnsi="仿宋" w:eastAsia="仿宋" w:cs="仿宋"/>
                <w:sz w:val="24"/>
              </w:rPr>
            </w:pPr>
            <w:r>
              <w:rPr>
                <w:rFonts w:hint="eastAsia" w:ascii="仿宋" w:hAnsi="仿宋" w:eastAsia="仿宋" w:cs="仿宋"/>
                <w:sz w:val="24"/>
              </w:rPr>
              <w:t>报价单位没有被中国南方电网有限责任公司暂停或取消其投标资格的。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3" w:type="dxa"/>
            <w:shd w:val="clear" w:color="auto" w:fill="FFFFFF"/>
            <w:noWrap w:val="0"/>
            <w:vAlign w:val="center"/>
          </w:tcPr>
          <w:p>
            <w:pPr>
              <w:jc w:val="center"/>
              <w:rPr>
                <w:rFonts w:hint="eastAsia" w:ascii="仿宋" w:hAnsi="仿宋" w:eastAsia="仿宋" w:cs="仿宋"/>
                <w:sz w:val="24"/>
                <w:lang w:val="en-US" w:eastAsia="zh-CN"/>
              </w:rPr>
            </w:pPr>
            <w:r>
              <w:rPr>
                <w:rFonts w:hint="eastAsia" w:ascii="仿宋" w:hAnsi="仿宋" w:eastAsia="仿宋" w:cs="仿宋"/>
                <w:sz w:val="24"/>
                <w:lang w:val="en-US" w:eastAsia="zh-CN"/>
              </w:rPr>
              <w:t>4</w:t>
            </w:r>
          </w:p>
        </w:tc>
        <w:tc>
          <w:tcPr>
            <w:tcW w:w="7699" w:type="dxa"/>
            <w:shd w:val="clear" w:color="auto" w:fill="FFFFFF"/>
            <w:noWrap w:val="0"/>
            <w:vAlign w:val="center"/>
          </w:tcPr>
          <w:p>
            <w:pPr>
              <w:jc w:val="left"/>
              <w:rPr>
                <w:rFonts w:hint="default" w:ascii="仿宋" w:hAnsi="仿宋" w:eastAsia="仿宋" w:cs="仿宋"/>
                <w:sz w:val="24"/>
                <w:lang w:val="en-US" w:eastAsia="zh-CN"/>
              </w:rPr>
            </w:pPr>
            <w:r>
              <w:rPr>
                <w:rFonts w:hint="eastAsia" w:ascii="仿宋" w:hAnsi="仿宋" w:eastAsia="仿宋" w:cs="仿宋"/>
                <w:sz w:val="24"/>
                <w:lang w:val="en-US" w:eastAsia="zh-CN"/>
              </w:rPr>
              <w:t>报价单位应为依据中国法律注册成立的会计事务所或其他具备审计资格的独立审计机构。（应提供会计师事务所执业证书或其他相关证明材料）</w:t>
            </w:r>
          </w:p>
        </w:tc>
      </w:tr>
    </w:tbl>
    <w:p>
      <w:pPr>
        <w:rPr>
          <w:rFonts w:ascii="仿宋_GB2312" w:hAnsi="宋体" w:eastAsia="仿宋_GB2312"/>
          <w:sz w:val="28"/>
          <w:szCs w:val="28"/>
        </w:rPr>
      </w:pPr>
    </w:p>
    <w:p>
      <w:pPr>
        <w:pStyle w:val="9"/>
        <w:numPr>
          <w:ilvl w:val="-1"/>
          <w:numId w:val="0"/>
        </w:numPr>
        <w:ind w:left="630" w:firstLine="0" w:firstLineChars="0"/>
        <w:outlineLvl w:val="0"/>
        <w:rPr>
          <w:rFonts w:ascii="仿宋_GB2312" w:hAnsi="宋体" w:eastAsia="仿宋_GB2312"/>
          <w:b/>
          <w:sz w:val="28"/>
          <w:szCs w:val="28"/>
        </w:rPr>
      </w:pPr>
      <w:r>
        <w:rPr>
          <w:rFonts w:hint="eastAsia" w:ascii="仿宋_GB2312" w:hAnsi="宋体" w:eastAsia="仿宋_GB2312"/>
          <w:b/>
          <w:sz w:val="28"/>
          <w:szCs w:val="28"/>
          <w:lang w:val="en-US" w:eastAsia="zh-CN"/>
        </w:rPr>
        <w:t>三、</w:t>
      </w:r>
      <w:r>
        <w:rPr>
          <w:rFonts w:hint="eastAsia" w:ascii="仿宋_GB2312" w:hAnsi="宋体" w:eastAsia="仿宋_GB2312"/>
          <w:b/>
          <w:sz w:val="28"/>
          <w:szCs w:val="28"/>
        </w:rPr>
        <w:t>成交办法</w:t>
      </w:r>
    </w:p>
    <w:p>
      <w:pPr>
        <w:ind w:firstLine="560" w:firstLineChars="200"/>
        <w:rPr>
          <w:rFonts w:ascii="仿宋_GB2312" w:hAnsi="宋体" w:eastAsia="仿宋_GB2312"/>
          <w:sz w:val="28"/>
          <w:szCs w:val="28"/>
        </w:rPr>
      </w:pPr>
      <w:r>
        <w:rPr>
          <w:rFonts w:hint="eastAsia" w:ascii="仿宋_GB2312" w:hAnsi="宋体" w:eastAsia="仿宋_GB2312"/>
          <w:sz w:val="28"/>
          <w:szCs w:val="28"/>
        </w:rPr>
        <w:t>根据满足资格条件的各家单位有效报价，选择报价最低者为成交对象。</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0215F3"/>
    <w:multiLevelType w:val="multilevel"/>
    <w:tmpl w:val="200215F3"/>
    <w:lvl w:ilvl="0" w:tentative="0">
      <w:start w:val="1"/>
      <w:numFmt w:val="japaneseCounting"/>
      <w:lvlText w:val="%1、"/>
      <w:lvlJc w:val="left"/>
      <w:pPr>
        <w:ind w:left="1350" w:hanging="720"/>
      </w:pPr>
      <w:rPr>
        <w:rFonts w:hint="default"/>
      </w:rPr>
    </w:lvl>
    <w:lvl w:ilvl="1" w:tentative="0">
      <w:start w:val="1"/>
      <w:numFmt w:val="lowerLetter"/>
      <w:lvlText w:val="%2)"/>
      <w:lvlJc w:val="left"/>
      <w:pPr>
        <w:ind w:left="1470" w:hanging="420"/>
      </w:pPr>
    </w:lvl>
    <w:lvl w:ilvl="2" w:tentative="0">
      <w:start w:val="1"/>
      <w:numFmt w:val="lowerRoman"/>
      <w:lvlText w:val="%3."/>
      <w:lvlJc w:val="right"/>
      <w:pPr>
        <w:ind w:left="1890" w:hanging="420"/>
      </w:pPr>
    </w:lvl>
    <w:lvl w:ilvl="3" w:tentative="0">
      <w:start w:val="1"/>
      <w:numFmt w:val="decimal"/>
      <w:lvlText w:val="%4."/>
      <w:lvlJc w:val="left"/>
      <w:pPr>
        <w:ind w:left="2310" w:hanging="420"/>
      </w:pPr>
    </w:lvl>
    <w:lvl w:ilvl="4" w:tentative="0">
      <w:start w:val="1"/>
      <w:numFmt w:val="lowerLetter"/>
      <w:lvlText w:val="%5)"/>
      <w:lvlJc w:val="left"/>
      <w:pPr>
        <w:ind w:left="2730" w:hanging="420"/>
      </w:pPr>
    </w:lvl>
    <w:lvl w:ilvl="5" w:tentative="0">
      <w:start w:val="1"/>
      <w:numFmt w:val="lowerRoman"/>
      <w:lvlText w:val="%6."/>
      <w:lvlJc w:val="right"/>
      <w:pPr>
        <w:ind w:left="3150" w:hanging="420"/>
      </w:pPr>
    </w:lvl>
    <w:lvl w:ilvl="6" w:tentative="0">
      <w:start w:val="1"/>
      <w:numFmt w:val="decimal"/>
      <w:lvlText w:val="%7."/>
      <w:lvlJc w:val="left"/>
      <w:pPr>
        <w:ind w:left="3570" w:hanging="420"/>
      </w:pPr>
    </w:lvl>
    <w:lvl w:ilvl="7" w:tentative="0">
      <w:start w:val="1"/>
      <w:numFmt w:val="lowerLetter"/>
      <w:lvlText w:val="%8)"/>
      <w:lvlJc w:val="left"/>
      <w:pPr>
        <w:ind w:left="3990" w:hanging="420"/>
      </w:pPr>
    </w:lvl>
    <w:lvl w:ilvl="8" w:tentative="0">
      <w:start w:val="1"/>
      <w:numFmt w:val="lowerRoman"/>
      <w:lvlText w:val="%9."/>
      <w:lvlJc w:val="right"/>
      <w:pPr>
        <w:ind w:left="441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kzYzUzOGZkZDc5YzA1YzAxNzNkNzg3N2NhOTQyMGMifQ=="/>
  </w:docVars>
  <w:rsids>
    <w:rsidRoot w:val="006A2E1A"/>
    <w:rsid w:val="00093FD0"/>
    <w:rsid w:val="003D0476"/>
    <w:rsid w:val="004E00BD"/>
    <w:rsid w:val="006014F4"/>
    <w:rsid w:val="006A2E1A"/>
    <w:rsid w:val="008B7A4C"/>
    <w:rsid w:val="0095136C"/>
    <w:rsid w:val="009C072C"/>
    <w:rsid w:val="00B61CC5"/>
    <w:rsid w:val="00BB21DE"/>
    <w:rsid w:val="00F05DE6"/>
    <w:rsid w:val="0F40711D"/>
    <w:rsid w:val="114C58B0"/>
    <w:rsid w:val="2ADE135B"/>
    <w:rsid w:val="47584BB2"/>
    <w:rsid w:val="5258041F"/>
    <w:rsid w:val="52D73B2D"/>
    <w:rsid w:val="71A62E3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99"/>
    <w:rPr>
      <w:rFonts w:ascii="Calibri" w:hAnsi="Calibri"/>
      <w:kern w:val="1"/>
    </w:rPr>
  </w:style>
  <w:style w:type="paragraph" w:styleId="3">
    <w:name w:val="Title"/>
    <w:basedOn w:val="1"/>
    <w:next w:val="1"/>
    <w:qFormat/>
    <w:uiPriority w:val="10"/>
    <w:pPr>
      <w:spacing w:before="240" w:after="60"/>
      <w:jc w:val="center"/>
      <w:outlineLvl w:val="0"/>
    </w:pPr>
    <w:rPr>
      <w:rFonts w:ascii="Cambria" w:hAnsi="Cambria" w:cs="Times New Roman"/>
      <w:b/>
      <w:bCs/>
      <w:sz w:val="32"/>
      <w:szCs w:val="32"/>
    </w:rPr>
  </w:style>
  <w:style w:type="paragraph" w:styleId="4">
    <w:name w:val="annotation text"/>
    <w:basedOn w:val="1"/>
    <w:uiPriority w:val="0"/>
    <w:pPr>
      <w:jc w:val="left"/>
    </w:pPr>
  </w:style>
  <w:style w:type="paragraph" w:styleId="5">
    <w:name w:val="footer"/>
    <w:basedOn w:val="1"/>
    <w:link w:val="11"/>
    <w:uiPriority w:val="0"/>
    <w:pPr>
      <w:tabs>
        <w:tab w:val="center" w:pos="4153"/>
        <w:tab w:val="right" w:pos="8306"/>
      </w:tabs>
      <w:snapToGrid w:val="0"/>
      <w:jc w:val="left"/>
    </w:pPr>
    <w:rPr>
      <w:sz w:val="18"/>
      <w:szCs w:val="18"/>
    </w:rPr>
  </w:style>
  <w:style w:type="paragraph" w:styleId="6">
    <w:name w:val="header"/>
    <w:basedOn w:val="1"/>
    <w:link w:val="10"/>
    <w:uiPriority w:val="0"/>
    <w:pPr>
      <w:pBdr>
        <w:bottom w:val="single" w:color="auto" w:sz="6" w:space="1"/>
      </w:pBdr>
      <w:tabs>
        <w:tab w:val="center" w:pos="4153"/>
        <w:tab w:val="right" w:pos="8306"/>
      </w:tabs>
      <w:snapToGrid w:val="0"/>
      <w:jc w:val="center"/>
    </w:pPr>
    <w:rPr>
      <w:sz w:val="18"/>
      <w:szCs w:val="18"/>
    </w:rPr>
  </w:style>
  <w:style w:type="paragraph" w:styleId="9">
    <w:name w:val="List Paragraph"/>
    <w:basedOn w:val="1"/>
    <w:qFormat/>
    <w:uiPriority w:val="34"/>
    <w:pPr>
      <w:ind w:firstLine="420" w:firstLineChars="200"/>
    </w:pPr>
    <w:rPr>
      <w:rFonts w:ascii="Calibri" w:hAnsi="Calibri" w:eastAsia="宋体" w:cs="Times New Roman"/>
      <w:szCs w:val="22"/>
    </w:rPr>
  </w:style>
  <w:style w:type="character" w:customStyle="1" w:styleId="10">
    <w:name w:val="页眉 字符"/>
    <w:link w:val="6"/>
    <w:uiPriority w:val="0"/>
    <w:rPr>
      <w:kern w:val="2"/>
      <w:sz w:val="18"/>
      <w:szCs w:val="18"/>
    </w:rPr>
  </w:style>
  <w:style w:type="character" w:customStyle="1" w:styleId="11">
    <w:name w:val="页脚 字符"/>
    <w:link w:val="5"/>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CSG</Company>
  <Pages>2</Pages>
  <Words>101</Words>
  <Characters>577</Characters>
  <Lines>4</Lines>
  <Paragraphs>1</Paragraphs>
  <TotalTime>17</TotalTime>
  <ScaleCrop>false</ScaleCrop>
  <LinksUpToDate>false</LinksUpToDate>
  <CharactersWithSpaces>677</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2024-04-10T08:33:00Z</dcterms:created>
  <dc:creator>caocan</dc:creator>
  <cp:lastModifiedBy>L</cp:lastModifiedBy>
  <dcterms:modified xsi:type="dcterms:W3CDTF">2024-04-11T08:56:44Z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15BA2AD4DE6D48998A6FE6AAACD9F073_13</vt:lpwstr>
  </property>
</Properties>
</file>