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2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  <w:t>南方电网产业投资集团有限责任公司</w:t>
      </w:r>
    </w:p>
    <w:p>
      <w:pPr>
        <w:snapToGrid w:val="0"/>
        <w:spacing w:line="52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  <w:t>2024年视频会议设备配置项目</w:t>
      </w:r>
    </w:p>
    <w:p>
      <w:pPr>
        <w:snapToGrid w:val="0"/>
        <w:spacing w:line="52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  <w:t>设备采购技术规范书</w:t>
      </w:r>
    </w:p>
    <w:p>
      <w:pPr>
        <w:spacing w:line="520" w:lineRule="exact"/>
        <w:ind w:firstLine="560" w:firstLineChars="200"/>
        <w:rPr>
          <w:rFonts w:hint="eastAsia" w:ascii="仿宋" w:hAnsi="仿宋" w:eastAsia="仿宋" w:cs="仿宋"/>
          <w:bCs/>
          <w:sz w:val="28"/>
          <w:szCs w:val="28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一、项目概况</w:t>
      </w:r>
    </w:p>
    <w:p>
      <w:pPr>
        <w:spacing w:line="520" w:lineRule="exact"/>
        <w:ind w:firstLine="640" w:firstLineChars="200"/>
        <w:jc w:val="left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南网产业投资集团508会议室现有2套思科视频会议系统及配套的多媒体设备，现需新增1套高清摄像机和1套电动背景墙幕布，并完成新增设备的布线及安装调试。新增高清摄像机需支持PTZ功能，即镜头的上下左右转动、变焦等操作可通过思科视频会议终端触摸屏实现，并需接入会场现有中控系统进行控制。电动幕布采用卷状电机和优质阻燃全遮光面料（颜色：电网蓝），并加印“南方电网产业投资集团有限责任公司”公司logo，幕布高度为：3.3米，宽度为：7.5米。具体布局图如下：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8595" cy="3426460"/>
            <wp:effectExtent l="0" t="0" r="8255" b="2540"/>
            <wp:docPr id="1" name="图片 1" descr="能源公司会场部署图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能源公司会场部署图纸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rPr>
          <w:rFonts w:hint="eastAsia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-SA"/>
        </w:rPr>
        <w:t>项目费用报价明细</w:t>
      </w:r>
    </w:p>
    <w:tbl>
      <w:tblPr>
        <w:tblStyle w:val="4"/>
        <w:tblpPr w:leftFromText="180" w:rightFromText="180" w:vertAnchor="text" w:horzAnchor="page" w:tblpX="1456" w:tblpY="444"/>
        <w:tblOverlap w:val="never"/>
        <w:tblW w:w="572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735"/>
        <w:gridCol w:w="3750"/>
        <w:gridCol w:w="795"/>
        <w:gridCol w:w="615"/>
        <w:gridCol w:w="720"/>
        <w:gridCol w:w="25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设备类型</w:t>
            </w:r>
          </w:p>
        </w:tc>
        <w:tc>
          <w:tcPr>
            <w:tcW w:w="19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产品规格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1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高清摄像机</w:t>
            </w:r>
          </w:p>
        </w:tc>
        <w:tc>
          <w:tcPr>
            <w:tcW w:w="19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思科 CTS-CAM-P60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1.高清镜头必须同时支持采集、输出1080p60fps高清图像；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2.高清镜头具备4K传感器；可采集4K超高清图像；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3.高清镜头支持不低于10x光学变焦，并同时具备数字变焦能力；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4.在不增加外围设备(例如广角镜)的前提下，高清镜头支持不少于80度的水平广角；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5.高清镜头支持自动白平衡、自动对焦、自动人脸识别；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6.高清镜头要求支持HDMI、3G-SDI等数字高清输出端口，不得采用模拟视频输出接口。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1、包含摄像机线缆布放及设备安装调试；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2、摄像机需与现有思科视频会议系统做对接，且能通过思科视频终端触摸屏进行控制；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3、摄像机需与会议室现有中控系统做对接，并需重新编制中控控制屏软件控制界面。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                                               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电动背景墙幕布</w:t>
            </w:r>
          </w:p>
        </w:tc>
        <w:tc>
          <w:tcPr>
            <w:tcW w:w="19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杜亚DM45R-50N/12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1.电动背景墙幕布规格：高度为3.3米，宽度为7.5米，共约24.75平方米；拼接结构。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2.采用卷状电机；                                                                                                                                                                                                                   3.面料要求优质面料，使用高强度涤纶纤维技术，使幕布具高强度的抗撕裂性；耐高温，防腐蚀、抗氧化，同时加入阻燃纤维达到防火效果；遮光采用高性能聚合物功能涂层，全遮光；                                    4.颜色：电网蓝，包含一次面料加印字体“南方电网产业投资集团有限责任公司”及公司logo。 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1.包含线缆布放及设备安装调试。                                                                                                      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</w:t>
            </w:r>
          </w:p>
        </w:tc>
        <w:tc>
          <w:tcPr>
            <w:tcW w:w="19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left="663" w:hanging="663" w:hangingChars="300"/>
              <w:jc w:val="left"/>
              <w:rPr>
                <w:rFonts w:hint="default" w:ascii="仿宋" w:hAnsi="仿宋" w:eastAsia="宋体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1.报价包含供应商为完成本项目下全部工作所需的一切费用。                           2.售后服务：质保叁年，24小时售后响应，上门售后服务。</w:t>
            </w:r>
          </w:p>
        </w:tc>
      </w:tr>
    </w:tbl>
    <w:p>
      <w:pPr>
        <w:jc w:val="left"/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4</w:t>
    </w:r>
    <w:r>
      <w:rPr>
        <w:rStyle w:val="6"/>
      </w:rPr>
      <w:fldChar w:fldCharType="end"/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E994F5"/>
    <w:multiLevelType w:val="singleLevel"/>
    <w:tmpl w:val="9EE994F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lYTg3MDc3ZGMwZjRiYzgzYzQ3MGJmYTBmMGQyZjYifQ=="/>
  </w:docVars>
  <w:rsids>
    <w:rsidRoot w:val="03D56EE3"/>
    <w:rsid w:val="03D56EE3"/>
    <w:rsid w:val="04AC7915"/>
    <w:rsid w:val="1D0E1876"/>
    <w:rsid w:val="42CB4CDA"/>
    <w:rsid w:val="50465EA3"/>
    <w:rsid w:val="52441A94"/>
    <w:rsid w:val="5C6429F3"/>
    <w:rsid w:val="5C7E7355"/>
    <w:rsid w:val="5F6E163E"/>
    <w:rsid w:val="6330589D"/>
    <w:rsid w:val="646B3E00"/>
    <w:rsid w:val="68D863DA"/>
    <w:rsid w:val="6D8E69C4"/>
    <w:rsid w:val="7FB7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font81"/>
    <w:basedOn w:val="5"/>
    <w:uiPriority w:val="0"/>
    <w:rPr>
      <w:rFonts w:hint="eastAsia" w:ascii="宋体" w:hAnsi="宋体" w:eastAsia="宋体" w:cs="宋体"/>
      <w:b/>
      <w:color w:val="FFFFFF"/>
      <w:sz w:val="22"/>
      <w:szCs w:val="22"/>
      <w:u w:val="none"/>
    </w:rPr>
  </w:style>
  <w:style w:type="character" w:customStyle="1" w:styleId="8">
    <w:name w:val="font71"/>
    <w:basedOn w:val="5"/>
    <w:uiPriority w:val="0"/>
    <w:rPr>
      <w:rFonts w:hint="default" w:ascii="Times New Roman" w:hAnsi="Times New Roman" w:cs="Times New Roman"/>
      <w:b/>
      <w:color w:val="FFFFFF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2024-03-28T12:39:00Z</dcterms:created>
  <dc:creator>血月殘夜</dc:creator>
  <cp:lastModifiedBy>刘俏娟</cp:lastModifiedBy>
  <dcterms:modified xsi:type="dcterms:W3CDTF">2024-04-10T09:29:03Z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295C9ED3C1B9435883C486AA6DC008F9_11</vt:lpwstr>
  </property>
</Properties>
</file>