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Pr>
        <w:ind w:firstLine="0" w:firstLineChars="0"/>
        <w:jc w:val="center"/>
        <w:rPr>
          <w:rFonts w:hint="eastAsia" w:cs="仿宋_GB2312" w:asciiTheme="minorEastAsia" w:hAnsiTheme="minorEastAsia" w:eastAsiaTheme="minorEastAsia"/>
          <w:b/>
          <w:bCs/>
          <w:sz w:val="52"/>
          <w:szCs w:val="52"/>
          <w:lang w:eastAsia="zh-CN"/>
        </w:rPr>
      </w:pPr>
      <w:bookmarkStart w:id="0" w:name="_GoBack"/>
      <w:r>
        <w:rPr>
          <w:rFonts w:hint="eastAsia" w:cs="仿宋_GB2312" w:asciiTheme="minorEastAsia" w:hAnsiTheme="minorEastAsia" w:eastAsiaTheme="minorEastAsia"/>
          <w:b/>
          <w:bCs/>
          <w:sz w:val="52"/>
          <w:szCs w:val="52"/>
          <w:lang w:eastAsia="zh-CN"/>
        </w:rPr>
        <w:t>海南省充换电一张网服务平台</w:t>
      </w:r>
    </w:p>
    <w:p>
      <w:pPr>
        <w:ind w:firstLine="0" w:firstLineChars="0"/>
        <w:jc w:val="center"/>
        <w:rPr>
          <w:rFonts w:cs="仿宋_GB2312" w:asciiTheme="minorEastAsia" w:hAnsiTheme="minorEastAsia" w:eastAsiaTheme="minorEastAsia"/>
          <w:b/>
          <w:bCs/>
          <w:sz w:val="52"/>
          <w:szCs w:val="52"/>
        </w:rPr>
      </w:pPr>
      <w:r>
        <w:rPr>
          <w:rFonts w:hint="eastAsia" w:cs="仿宋_GB2312" w:asciiTheme="minorEastAsia" w:hAnsiTheme="minorEastAsia" w:eastAsiaTheme="minorEastAsia"/>
          <w:b/>
          <w:bCs/>
          <w:sz w:val="52"/>
          <w:szCs w:val="52"/>
        </w:rPr>
        <w:t>网络安全等级保护测评服务</w:t>
      </w:r>
    </w:p>
    <w:p>
      <w:pPr>
        <w:ind w:firstLine="0" w:firstLineChars="0"/>
        <w:jc w:val="center"/>
        <w:rPr>
          <w:rFonts w:cs="仿宋_GB2312" w:asciiTheme="minorEastAsia" w:hAnsiTheme="minorEastAsia" w:eastAsiaTheme="minorEastAsia"/>
          <w:szCs w:val="21"/>
        </w:rPr>
      </w:pPr>
      <w:r>
        <w:rPr>
          <w:rFonts w:hint="eastAsia" w:cs="仿宋_GB2312" w:asciiTheme="minorEastAsia" w:hAnsiTheme="minorEastAsia" w:eastAsiaTheme="minorEastAsia"/>
          <w:b/>
          <w:bCs/>
          <w:sz w:val="52"/>
          <w:szCs w:val="52"/>
        </w:rPr>
        <w:t>技术要求文件</w:t>
      </w:r>
    </w:p>
    <w:bookmarkEnd w:id="0"/>
    <w:p/>
    <w:p/>
    <w:p/>
    <w:p/>
    <w:p/>
    <w:p/>
    <w:p/>
    <w:p/>
    <w:p/>
    <w:p>
      <w:pPr>
        <w:ind w:firstLine="0" w:firstLineChars="0"/>
        <w:rPr>
          <w:rFonts w:ascii="仿宋_GB2312" w:hAnsi="仿宋_GB2312" w:eastAsia="仿宋_GB2312" w:cs="仿宋_GB2312"/>
          <w:szCs w:val="28"/>
        </w:rPr>
      </w:pPr>
    </w:p>
    <w:p>
      <w:pPr>
        <w:ind w:firstLine="0" w:firstLineChars="0"/>
        <w:jc w:val="center"/>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20</w:t>
      </w:r>
      <w:r>
        <w:rPr>
          <w:rFonts w:cs="仿宋_GB2312" w:asciiTheme="minorEastAsia" w:hAnsiTheme="minorEastAsia" w:eastAsiaTheme="minorEastAsia"/>
          <w:sz w:val="32"/>
          <w:szCs w:val="32"/>
        </w:rPr>
        <w:t>2</w:t>
      </w:r>
      <w:r>
        <w:rPr>
          <w:rFonts w:hint="eastAsia" w:cs="仿宋_GB2312" w:asciiTheme="minorEastAsia" w:hAnsiTheme="minorEastAsia" w:eastAsiaTheme="minorEastAsia"/>
          <w:sz w:val="32"/>
          <w:szCs w:val="32"/>
        </w:rPr>
        <w:t>4年04月</w:t>
      </w:r>
    </w:p>
    <w:p>
      <w:r>
        <w:br w:type="page"/>
      </w:r>
    </w:p>
    <w:p>
      <w:pPr>
        <w:pStyle w:val="3"/>
        <w:numPr>
          <w:ilvl w:val="0"/>
          <w:numId w:val="1"/>
        </w:numPr>
        <w:ind w:firstLine="602"/>
      </w:pPr>
      <w:r>
        <w:rPr>
          <w:rFonts w:hint="eastAsia"/>
        </w:rPr>
        <w:t>项目背景</w:t>
      </w:r>
    </w:p>
    <w:p>
      <w:pPr>
        <w:rPr>
          <w:lang w:val="sv-SE"/>
        </w:rPr>
      </w:pPr>
      <w:r>
        <w:rPr>
          <w:rFonts w:hint="eastAsia"/>
          <w:lang w:val="sv-SE"/>
        </w:rPr>
        <w:t>为适应海南省充换电一张网服务有限责任公司发展需要，全面贯彻党中央推进治理体系和治理能力现代化、推动高质量发展要求，需通过本项目</w:t>
      </w:r>
      <w:r>
        <w:rPr>
          <w:rFonts w:hint="eastAsia"/>
        </w:rPr>
        <w:t>提升</w:t>
      </w:r>
      <w:r>
        <w:rPr>
          <w:rFonts w:hint="eastAsia"/>
          <w:lang w:val="sv-SE" w:eastAsia="zh-CN"/>
        </w:rPr>
        <w:t>海南省充换电一张网服务平台</w:t>
      </w:r>
      <w:r>
        <w:rPr>
          <w:rFonts w:hint="eastAsia"/>
        </w:rPr>
        <w:t>的整体安全性</w:t>
      </w:r>
      <w:r>
        <w:rPr>
          <w:rFonts w:hint="eastAsia"/>
          <w:lang w:val="sv-SE"/>
        </w:rPr>
        <w:t>，强化系统完备、闭环管控的总体设计，全方位</w:t>
      </w:r>
      <w:r>
        <w:rPr>
          <w:rFonts w:hint="eastAsia"/>
        </w:rPr>
        <w:t>实施充换电基础设施监管工作</w:t>
      </w:r>
      <w:r>
        <w:rPr>
          <w:rFonts w:hint="eastAsia"/>
          <w:lang w:val="sv-SE"/>
        </w:rPr>
        <w:t>，持续推进</w:t>
      </w:r>
      <w:r>
        <w:rPr>
          <w:rFonts w:hint="eastAsia"/>
        </w:rPr>
        <w:t>运营监控</w:t>
      </w:r>
      <w:r>
        <w:rPr>
          <w:rFonts w:hint="eastAsia"/>
          <w:lang w:val="sv-SE"/>
        </w:rPr>
        <w:t>实施落地。</w:t>
      </w:r>
    </w:p>
    <w:p>
      <w:pPr>
        <w:rPr>
          <w:lang w:val="sv-SE"/>
        </w:rPr>
      </w:pPr>
      <w:r>
        <w:rPr>
          <w:rFonts w:hint="eastAsia"/>
          <w:lang w:val="sv-SE"/>
        </w:rPr>
        <w:t>网络安全等级保护是国家网络安全保障的基本制度、基本策略、基本方法。开展网络安全等级保护工作是保护信息化发展、维护国家网络安全的根本保障，也是《中华人民共和国网络安全法》的要求。2017年6月1日实施的《中华人民共和国网络安全法》第二十一条规定，国家实行网络安全等级保护制度，履行安全保护义务，保障网络免受干扰、破坏或者未经授权的访问，防止网络数据泄露或者被窃取、篡改。</w:t>
      </w:r>
    </w:p>
    <w:p>
      <w:pPr>
        <w:rPr>
          <w:lang w:val="sv-SE"/>
        </w:rPr>
      </w:pPr>
      <w:r>
        <w:rPr>
          <w:rFonts w:hint="eastAsia"/>
          <w:lang w:val="sv-SE"/>
        </w:rPr>
        <w:t>本项目将对</w:t>
      </w:r>
      <w:r>
        <w:rPr>
          <w:rFonts w:hint="eastAsia"/>
          <w:lang w:val="sv-SE" w:eastAsia="zh-CN"/>
        </w:rPr>
        <w:t>海南省充换电一张网服务平台</w:t>
      </w:r>
      <w:r>
        <w:rPr>
          <w:rFonts w:hint="eastAsia"/>
          <w:lang w:val="sv-SE"/>
        </w:rPr>
        <w:t>进行网络安全等级保护测评，并按照国家有关规定和标准规范要求对信息系统进行安全建设整改，达到等级保护相关要求和取得符合公安机关要求的网络安全等级保护等级测评报告。</w:t>
      </w:r>
    </w:p>
    <w:p>
      <w:pPr>
        <w:pStyle w:val="3"/>
        <w:numPr>
          <w:ilvl w:val="0"/>
          <w:numId w:val="1"/>
        </w:numPr>
        <w:ind w:firstLine="602"/>
      </w:pPr>
      <w:r>
        <w:rPr>
          <w:rFonts w:hint="eastAsia"/>
        </w:rPr>
        <w:t>项目目标</w:t>
      </w:r>
    </w:p>
    <w:p>
      <w:pPr>
        <w:rPr>
          <w:lang w:val="sv-SE"/>
        </w:rPr>
      </w:pPr>
      <w:r>
        <w:rPr>
          <w:rFonts w:hint="eastAsia"/>
          <w:lang w:val="sv-SE"/>
        </w:rPr>
        <w:t>开展</w:t>
      </w:r>
      <w:r>
        <w:rPr>
          <w:rFonts w:hint="eastAsia"/>
          <w:lang w:val="sv-SE" w:eastAsia="zh-CN"/>
        </w:rPr>
        <w:t>海南省充换电一张网服务平台</w:t>
      </w:r>
      <w:r>
        <w:rPr>
          <w:rFonts w:hint="eastAsia"/>
          <w:lang w:val="sv-SE"/>
        </w:rPr>
        <w:t>（系统等级：二级，部署位置：阿里云）网络安全等级保护</w:t>
      </w:r>
      <w:r>
        <w:rPr>
          <w:rFonts w:hint="eastAsia"/>
        </w:rPr>
        <w:t>二</w:t>
      </w:r>
      <w:r>
        <w:rPr>
          <w:rFonts w:hint="eastAsia"/>
          <w:lang w:val="sv-SE"/>
        </w:rPr>
        <w:t>级测评服务，项目的交付成果包括：</w:t>
      </w:r>
    </w:p>
    <w:p>
      <w:pPr>
        <w:rPr>
          <w:rFonts w:hint="eastAsia"/>
          <w:lang w:val="sv-SE"/>
        </w:rPr>
      </w:pPr>
      <w:r>
        <w:rPr>
          <w:rFonts w:hint="eastAsia"/>
          <w:lang w:val="sv-SE"/>
        </w:rPr>
        <w:t>1、备案证明</w:t>
      </w:r>
    </w:p>
    <w:p>
      <w:pPr>
        <w:rPr>
          <w:lang w:val="sv-SE"/>
        </w:rPr>
      </w:pPr>
      <w:r>
        <w:rPr>
          <w:rFonts w:hint="eastAsia"/>
          <w:lang w:val="sv-SE"/>
        </w:rPr>
        <w:t>2、《网络安全等级测评问题清单》</w:t>
      </w:r>
    </w:p>
    <w:p>
      <w:pPr>
        <w:rPr>
          <w:lang w:val="sv-SE"/>
        </w:rPr>
      </w:pPr>
      <w:r>
        <w:rPr>
          <w:rFonts w:hint="eastAsia"/>
          <w:lang w:val="sv-SE"/>
        </w:rPr>
        <w:t>3、《等级测评问题相关整改建议内容》</w:t>
      </w:r>
    </w:p>
    <w:p>
      <w:pPr>
        <w:rPr>
          <w:lang w:val="sv-SE"/>
        </w:rPr>
      </w:pPr>
      <w:r>
        <w:rPr>
          <w:rFonts w:hint="eastAsia"/>
          <w:lang w:val="sv-SE"/>
        </w:rPr>
        <w:t>4、《网络安全等级保护等级测评报告》</w:t>
      </w:r>
    </w:p>
    <w:p>
      <w:pPr>
        <w:pStyle w:val="3"/>
        <w:numPr>
          <w:ilvl w:val="0"/>
          <w:numId w:val="1"/>
        </w:numPr>
        <w:ind w:firstLine="602"/>
      </w:pPr>
      <w:r>
        <w:rPr>
          <w:rFonts w:hint="eastAsia"/>
        </w:rPr>
        <w:t>技术指标</w:t>
      </w:r>
    </w:p>
    <w:p>
      <w:r>
        <w:rPr>
          <w:rFonts w:hint="eastAsia"/>
        </w:rPr>
        <w:t>按照网络安全等级保护测评要求，依据《信息安全技术—网络安全等级保护基本要求》（GB/T 22239-2019）二级要求及信息系统等级保护等级情况，对</w:t>
      </w:r>
      <w:r>
        <w:rPr>
          <w:rFonts w:hint="eastAsia"/>
          <w:lang w:eastAsia="zh-CN"/>
        </w:rPr>
        <w:t>海南省充换电一张网服务平台</w:t>
      </w:r>
      <w:r>
        <w:rPr>
          <w:rFonts w:hint="eastAsia"/>
          <w:lang w:val="sv-SE"/>
        </w:rPr>
        <w:t>（系统等级：二级，部署位置：阿里云）</w:t>
      </w:r>
      <w:r>
        <w:rPr>
          <w:rFonts w:hint="eastAsia"/>
        </w:rPr>
        <w:t>网络安全等级保护测评，对此次测评要求如下表所示：</w:t>
      </w:r>
    </w:p>
    <w:p>
      <w:pPr>
        <w:ind w:left="560" w:firstLine="0" w:firstLineChars="0"/>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1"/>
        <w:gridCol w:w="3465"/>
        <w:gridCol w:w="4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shd w:val="clear" w:color="auto" w:fill="BDD6EE" w:themeFill="accent1" w:themeFillTint="66"/>
          </w:tcPr>
          <w:p>
            <w:pPr>
              <w:ind w:firstLine="480"/>
              <w:rPr>
                <w:sz w:val="24"/>
              </w:rPr>
            </w:pPr>
            <w:r>
              <w:rPr>
                <w:rFonts w:hint="eastAsia"/>
                <w:sz w:val="24"/>
              </w:rPr>
              <w:t>指标类</w:t>
            </w:r>
          </w:p>
        </w:tc>
        <w:tc>
          <w:tcPr>
            <w:tcW w:w="3465" w:type="dxa"/>
            <w:shd w:val="clear" w:color="auto" w:fill="BDD6EE" w:themeFill="accent1" w:themeFillTint="66"/>
          </w:tcPr>
          <w:p>
            <w:pPr>
              <w:ind w:firstLine="480"/>
              <w:rPr>
                <w:sz w:val="24"/>
              </w:rPr>
            </w:pPr>
            <w:r>
              <w:rPr>
                <w:rFonts w:hint="eastAsia"/>
                <w:sz w:val="24"/>
              </w:rPr>
              <w:t>测评指标</w:t>
            </w:r>
          </w:p>
        </w:tc>
        <w:tc>
          <w:tcPr>
            <w:tcW w:w="4020" w:type="dxa"/>
            <w:shd w:val="clear" w:color="auto" w:fill="BDD6EE" w:themeFill="accent1" w:themeFillTint="66"/>
          </w:tcPr>
          <w:p>
            <w:pPr>
              <w:ind w:firstLine="480"/>
              <w:rPr>
                <w:sz w:val="24"/>
              </w:rPr>
            </w:pPr>
            <w:r>
              <w:rPr>
                <w:rFonts w:hint="eastAsia"/>
                <w:sz w:val="24"/>
              </w:rPr>
              <w:t>测评标准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ind w:firstLine="0" w:firstLineChars="0"/>
              <w:rPr>
                <w:sz w:val="24"/>
              </w:rPr>
            </w:pPr>
            <w:r>
              <w:rPr>
                <w:rFonts w:hint="eastAsia"/>
                <w:sz w:val="24"/>
              </w:rPr>
              <w:t>单元测评</w:t>
            </w:r>
          </w:p>
        </w:tc>
        <w:tc>
          <w:tcPr>
            <w:tcW w:w="3465" w:type="dxa"/>
          </w:tcPr>
          <w:p>
            <w:pPr>
              <w:ind w:firstLine="480"/>
              <w:rPr>
                <w:sz w:val="24"/>
              </w:rPr>
            </w:pPr>
            <w:r>
              <w:rPr>
                <w:rFonts w:hint="eastAsia"/>
                <w:sz w:val="24"/>
              </w:rPr>
              <w:t>安全物理环境</w:t>
            </w:r>
          </w:p>
        </w:tc>
        <w:tc>
          <w:tcPr>
            <w:tcW w:w="4020" w:type="dxa"/>
            <w:vMerge w:val="restart"/>
          </w:tcPr>
          <w:p>
            <w:pPr>
              <w:ind w:firstLine="480"/>
              <w:rPr>
                <w:sz w:val="24"/>
              </w:rPr>
            </w:pPr>
          </w:p>
          <w:p>
            <w:pPr>
              <w:ind w:firstLine="480"/>
              <w:rPr>
                <w:sz w:val="24"/>
              </w:rPr>
            </w:pPr>
            <w:r>
              <w:rPr>
                <w:sz w:val="24"/>
              </w:rPr>
              <w:t>根据信息系统等级保护定级情况，对照《信息安全技术网络安全等级保护基本要求》(GB/T 22239-2019)要求进行测评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安全通信网络</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安全区域边界</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安全计算环境</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安全管理中心</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安全管理制度</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安全管理机构</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安全管理人员</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安全建设管理</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tcPr>
          <w:p>
            <w:pPr>
              <w:ind w:firstLine="480"/>
              <w:rPr>
                <w:sz w:val="24"/>
              </w:rPr>
            </w:pPr>
            <w:r>
              <w:rPr>
                <w:rFonts w:hint="eastAsia"/>
                <w:sz w:val="24"/>
              </w:rPr>
              <w:t>安全运维管理</w:t>
            </w:r>
          </w:p>
        </w:tc>
        <w:tc>
          <w:tcPr>
            <w:tcW w:w="4020" w:type="dxa"/>
            <w:vMerge w:val="continue"/>
          </w:tcPr>
          <w:p>
            <w:pPr>
              <w:ind w:firstLine="48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ind w:firstLine="480"/>
              <w:rPr>
                <w:sz w:val="24"/>
              </w:rPr>
            </w:pPr>
            <w:r>
              <w:rPr>
                <w:rFonts w:hint="eastAsia"/>
                <w:sz w:val="24"/>
              </w:rPr>
              <w:t>整体测评</w:t>
            </w:r>
          </w:p>
        </w:tc>
        <w:tc>
          <w:tcPr>
            <w:tcW w:w="3465" w:type="dxa"/>
            <w:vAlign w:val="center"/>
          </w:tcPr>
          <w:p>
            <w:pPr>
              <w:ind w:firstLine="480"/>
              <w:rPr>
                <w:sz w:val="24"/>
              </w:rPr>
            </w:pPr>
            <w:r>
              <w:rPr>
                <w:rFonts w:hint="eastAsia"/>
                <w:sz w:val="24"/>
              </w:rPr>
              <w:t>安全控制间安全测评</w:t>
            </w:r>
          </w:p>
        </w:tc>
        <w:tc>
          <w:tcPr>
            <w:tcW w:w="4020" w:type="dxa"/>
          </w:tcPr>
          <w:p>
            <w:pPr>
              <w:ind w:firstLine="480"/>
              <w:rPr>
                <w:sz w:val="24"/>
              </w:rPr>
            </w:pPr>
            <w:r>
              <w:rPr>
                <w:sz w:val="24"/>
              </w:rPr>
              <w:t>安全控制间的安全测评主要考虑同一区域内、同一层面上的不同安全控制间存在的功能增强、补充或削弱等关联作用。安全功能上的增强和补充可以使两个不同强度、不同等级的安全控制发挥更强的综合效能，可以使单个低等级安全控制在特定环境中达到高等级信息系统的安全要求。安全功能上的削弱可能会使一个安全控制的引入影响另一个安全控制的功能发挥或者给其带来新的脆弱性，使其在特定环境中不能达到该等级信息系统的安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vAlign w:val="center"/>
          </w:tcPr>
          <w:p>
            <w:pPr>
              <w:ind w:firstLine="480"/>
              <w:rPr>
                <w:sz w:val="24"/>
              </w:rPr>
            </w:pPr>
            <w:r>
              <w:rPr>
                <w:rFonts w:hint="eastAsia"/>
                <w:sz w:val="24"/>
              </w:rPr>
              <w:t>层面间安全测评</w:t>
            </w:r>
          </w:p>
        </w:tc>
        <w:tc>
          <w:tcPr>
            <w:tcW w:w="4020" w:type="dxa"/>
          </w:tcPr>
          <w:p>
            <w:pPr>
              <w:ind w:firstLine="480"/>
              <w:rPr>
                <w:sz w:val="24"/>
              </w:rPr>
            </w:pPr>
            <w:r>
              <w:rPr>
                <w:sz w:val="24"/>
              </w:rPr>
              <w:t>层面间的安全测评主要考虑同一区城内的不同层面之间存在的功能增强、补充和削弱等关联作用。安全功能上的增强和补充可以使两个不同层面上的安全控制发挥更强的综合效能，可以使单个低等级安全控制在特定环境中达到高等级信息系统的安全要求。安全功能上的削弱会使一个层面上的安全控制影响另一个层面安全控制的功能发挥或者给其带来新的脆弱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vAlign w:val="center"/>
          </w:tcPr>
          <w:p>
            <w:pPr>
              <w:ind w:firstLine="480"/>
              <w:rPr>
                <w:sz w:val="24"/>
              </w:rPr>
            </w:pPr>
            <w:r>
              <w:rPr>
                <w:rFonts w:hint="eastAsia"/>
                <w:sz w:val="24"/>
              </w:rPr>
              <w:t>区域间安全测评</w:t>
            </w:r>
          </w:p>
        </w:tc>
        <w:tc>
          <w:tcPr>
            <w:tcW w:w="4020" w:type="dxa"/>
          </w:tcPr>
          <w:p>
            <w:pPr>
              <w:ind w:firstLine="480"/>
              <w:rPr>
                <w:sz w:val="24"/>
              </w:rPr>
            </w:pPr>
            <w:r>
              <w:rPr>
                <w:sz w:val="24"/>
              </w:rPr>
              <w:t>区域间的安全测评主要考虑互联互通（包括物理上和逻辑上的互联互通等）的不同区域之间存在的安全功能增强、补充和削弱等互联作用，特别是有数据交换的两个不同区域。安全功能上的增强和补充可以使两个不同区域上的安全控制发挥更强的综合效能，可以使单个低等级安全控制在特定环境中达到高等级信息系统的安全要求。安全功能上的削弱会使一个区域上的安全功能影响另一个区域安全功能的发挥或者给其带来新的脆弱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Pr>
          <w:p>
            <w:pPr>
              <w:ind w:firstLine="480"/>
              <w:rPr>
                <w:sz w:val="24"/>
              </w:rPr>
            </w:pPr>
          </w:p>
        </w:tc>
        <w:tc>
          <w:tcPr>
            <w:tcW w:w="3465" w:type="dxa"/>
            <w:vAlign w:val="center"/>
          </w:tcPr>
          <w:p>
            <w:pPr>
              <w:ind w:firstLine="480"/>
              <w:rPr>
                <w:sz w:val="24"/>
              </w:rPr>
            </w:pPr>
            <w:r>
              <w:rPr>
                <w:rFonts w:hint="eastAsia"/>
                <w:sz w:val="24"/>
              </w:rPr>
              <w:t>系统结构安全测评</w:t>
            </w:r>
          </w:p>
        </w:tc>
        <w:tc>
          <w:tcPr>
            <w:tcW w:w="4020" w:type="dxa"/>
          </w:tcPr>
          <w:p>
            <w:pPr>
              <w:ind w:firstLine="480"/>
              <w:rPr>
                <w:sz w:val="24"/>
              </w:rPr>
            </w:pPr>
            <w:r>
              <w:rPr>
                <w:sz w:val="24"/>
              </w:rPr>
              <w:t>系统结果安全测评主要考虑系统整体结构的安全性和整体安全防范的合理性。测评分析信息系统整体结构的安全性，主要是指从信息安全的角度，分析信息系统的物理布局、网络结构和业务逻辑等在整体结构上是否合理、简单、安全有效。测评信息系统整体安全防范的合理性，主要是从系统的角度，分析研究信息系统安全防范在整体上是否遵循纵深防御的思路，明晰系统边界，确定重点保护对象，在适当的位置部署恰当的安全技术和安全管理措施等。</w:t>
            </w:r>
          </w:p>
        </w:tc>
      </w:tr>
    </w:tbl>
    <w:p>
      <w:pPr>
        <w:pStyle w:val="3"/>
        <w:numPr>
          <w:ilvl w:val="0"/>
          <w:numId w:val="1"/>
        </w:numPr>
        <w:ind w:firstLine="602"/>
      </w:pPr>
      <w:r>
        <w:rPr>
          <w:rFonts w:hint="eastAsia"/>
        </w:rPr>
        <w:t>产品要求</w:t>
      </w:r>
    </w:p>
    <w:p>
      <w:r>
        <w:rPr>
          <w:rFonts w:hint="eastAsia"/>
        </w:rPr>
        <w:t>（一）实施要求</w:t>
      </w:r>
    </w:p>
    <w:p>
      <w:r>
        <w:rPr>
          <w:rFonts w:hint="eastAsia"/>
        </w:rPr>
        <w:t>响应供应商须具备公安部颁发的“网络安全等级测评与检测评估机构服务认证证书”。</w:t>
      </w:r>
    </w:p>
    <w:p>
      <w:r>
        <w:rPr>
          <w:rFonts w:hint="eastAsia"/>
        </w:rPr>
        <w:t>根据相关国家法律法规和标准，由成交供应商完成对采购人的一个信息系统</w:t>
      </w:r>
      <w:r>
        <w:t>——</w:t>
      </w:r>
      <w:r>
        <w:rPr>
          <w:rFonts w:hint="eastAsia"/>
          <w:lang w:eastAsia="zh-CN"/>
        </w:rPr>
        <w:t>海南省充换电一张网服务平台</w:t>
      </w:r>
      <w:r>
        <w:rPr>
          <w:rFonts w:hint="eastAsia"/>
        </w:rPr>
        <w:t>的网络安全等级保护测评工作，具体要求如下：</w:t>
      </w:r>
    </w:p>
    <w:p>
      <w:r>
        <w:rPr>
          <w:rFonts w:hint="eastAsia"/>
        </w:rPr>
        <w:t>1、等保定级评审</w:t>
      </w:r>
    </w:p>
    <w:p>
      <w:r>
        <w:rPr>
          <w:rFonts w:hint="eastAsia"/>
        </w:rPr>
        <w:t>由成交供应商协助采购人组织该系统的网络安全等级保护定级评审会议，由成交供应商协助采购人邀请相关专家参加会议。</w:t>
      </w:r>
    </w:p>
    <w:p>
      <w:r>
        <w:rPr>
          <w:rFonts w:hint="eastAsia"/>
        </w:rPr>
        <w:t>2、公安机关备案</w:t>
      </w:r>
    </w:p>
    <w:p>
      <w:r>
        <w:rPr>
          <w:rFonts w:hint="eastAsia"/>
        </w:rPr>
        <w:t>由成交供应商协助采购人整理等级保护备案资料，并协助采购人取得由公安机关出具的《信息系统安全等级保护备案证明》。</w:t>
      </w:r>
    </w:p>
    <w:p>
      <w:r>
        <w:rPr>
          <w:rFonts w:hint="eastAsia"/>
        </w:rPr>
        <w:t>3、差距评估</w:t>
      </w:r>
    </w:p>
    <w:p>
      <w:r>
        <w:rPr>
          <w:rFonts w:hint="eastAsia"/>
        </w:rPr>
        <w:t>由成交供应商根据等级保护二级的标准实施差距评估，实施完成后出具《网络安全等级测评问题清单和整改建议内容》。</w:t>
      </w:r>
    </w:p>
    <w:p>
      <w:r>
        <w:rPr>
          <w:rFonts w:hint="eastAsia"/>
        </w:rPr>
        <w:t>网络安全等级保护二级差距评估应包括两个方面的内容：一是安全控制测评，主要测评网络安全等级保护要求的基本安全控制在信息系统中的实施配置情况；二是系统整体测评，主要测评分析信息系统的整体安全性。其中，安全控制测评是信息系统整体安全测评的基础。</w:t>
      </w:r>
    </w:p>
    <w:p>
      <w:r>
        <w:rPr>
          <w:rFonts w:hint="eastAsia"/>
        </w:rPr>
        <w:t>安全控制测评使用测评单元方式组织，分为安全技术测评和安全管理测评两大类。安全技术测评包括：安全物理环境、安全通信网络、安全区域边界、安全计算环境和安全管理中心五个方面的安全控制测评；安全管理测评包括；安全管理制度、安全管理机构、安全管理人员、安全建设管理和系统运维管理五个方面的安全控制测评。</w:t>
      </w:r>
    </w:p>
    <w:p>
      <w:r>
        <w:rPr>
          <w:rFonts w:hint="eastAsia"/>
        </w:rPr>
        <w:t>系统整体测评主要包括安全控制点间、层面间两部分。</w:t>
      </w:r>
    </w:p>
    <w:p>
      <w:r>
        <w:rPr>
          <w:rFonts w:hint="eastAsia"/>
        </w:rPr>
        <w:t>如图所示：</w:t>
      </w:r>
    </w:p>
    <w:p>
      <w:r>
        <w:rPr>
          <w:rFonts w:hint="eastAsia"/>
        </w:rPr>
        <w:drawing>
          <wp:anchor distT="0" distB="0" distL="0" distR="0" simplePos="0" relativeHeight="251659264" behindDoc="0" locked="0" layoutInCell="1" allowOverlap="1">
            <wp:simplePos x="0" y="0"/>
            <wp:positionH relativeFrom="column">
              <wp:posOffset>527050</wp:posOffset>
            </wp:positionH>
            <wp:positionV relativeFrom="paragraph">
              <wp:posOffset>208915</wp:posOffset>
            </wp:positionV>
            <wp:extent cx="5305425" cy="2792730"/>
            <wp:effectExtent l="19050" t="0" r="9525" b="0"/>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2" cstate="print"/>
                    <a:srcRect/>
                    <a:stretch>
                      <a:fillRect/>
                    </a:stretch>
                  </pic:blipFill>
                  <pic:spPr>
                    <a:xfrm>
                      <a:off x="0" y="0"/>
                      <a:ext cx="5305425" cy="2792730"/>
                    </a:xfrm>
                    <a:prstGeom prst="rect">
                      <a:avLst/>
                    </a:prstGeom>
                    <a:noFill/>
                    <a:ln w="9525">
                      <a:noFill/>
                      <a:miter lim="800000"/>
                      <a:headEnd/>
                      <a:tailEnd/>
                    </a:ln>
                  </pic:spPr>
                </pic:pic>
              </a:graphicData>
            </a:graphic>
          </wp:anchor>
        </w:drawing>
      </w:r>
      <w:r>
        <w:rPr>
          <w:rFonts w:hint="eastAsia"/>
        </w:rPr>
        <w:t>根据被测系统信息系统的具体情况，结合标准要求，确定系统整体测评的具体内容，在安全控制测评的基础上，重点考虑安全控制间、层面间以及区域间的相互关联关系，测评安全控制间、层面间和区域间是否存在安全功能上的增强、补充和削弱作用以及信息系统整体结构安全性、不同信息系统之间整体安全性等。</w:t>
      </w:r>
    </w:p>
    <w:p>
      <w:r>
        <w:rPr>
          <w:rFonts w:hint="eastAsia"/>
        </w:rPr>
        <w:t>4、验收测评</w:t>
      </w:r>
    </w:p>
    <w:p>
      <w:r>
        <w:rPr>
          <w:rFonts w:hint="eastAsia"/>
        </w:rPr>
        <w:t>验收测评是在差距评估后，根据安全建设整改情况进行的另一项测评工作，成交供应商根据系统的实际测评结论出具《网络安全等级保护等级测评报告》。</w:t>
      </w:r>
    </w:p>
    <w:p>
      <w:r>
        <w:rPr>
          <w:rFonts w:hint="eastAsia"/>
        </w:rPr>
        <w:t>（二）工具要求</w:t>
      </w:r>
    </w:p>
    <w:p>
      <w:r>
        <w:rPr>
          <w:rFonts w:hint="eastAsia"/>
        </w:rPr>
        <w:t>成交供应商须提供所有用于本项目服务的测评工具。</w:t>
      </w:r>
    </w:p>
    <w:p>
      <w:r>
        <w:rPr>
          <w:rFonts w:hint="eastAsia"/>
        </w:rPr>
        <w:t>成交供应商须保证所使用的所有工具和软件不会产生所有权和知识产权纠纷，并保证工具和软件的可用性和可靠性。由此产生的一切责任由成交供应商负完全责任。为保证工具的安全可靠性，工具须具备中华人民共和国公安部颁发的有效的《计算机信息系统安全专用产品销售许可证》。</w:t>
      </w:r>
    </w:p>
    <w:p>
      <w:r>
        <w:rPr>
          <w:rFonts w:hint="eastAsia"/>
        </w:rPr>
        <w:t>（三）人员要求</w:t>
      </w:r>
    </w:p>
    <w:p>
      <w:r>
        <w:rPr>
          <w:rFonts w:hint="eastAsia"/>
        </w:rPr>
        <w:t>1、为保证网络安全等级保护测评服务的质量，成交供应商须提供至少2人参与本项目，且必须取得网络安全等级保护测评师资质，并在突发应急事件中能临时增加2名实施人员。</w:t>
      </w:r>
    </w:p>
    <w:p>
      <w:r>
        <w:rPr>
          <w:rFonts w:hint="eastAsia"/>
        </w:rPr>
        <w:t>2、成交供应商必须为本项目成立等级保护测评服务小组，由项目组长统一负责，项目组长应具有一定的技术及管理知识和经验，能够容易地与客户沟通，能够很好地执行并完成测评服务工作，并能根据一些特殊的情况可以适当增加服务人员，接受用户与单位的统一管理。</w:t>
      </w:r>
    </w:p>
    <w:p>
      <w:pPr>
        <w:numPr>
          <w:ilvl w:val="0"/>
          <w:numId w:val="2"/>
        </w:numPr>
      </w:pPr>
      <w:r>
        <w:rPr>
          <w:rFonts w:hint="eastAsia"/>
        </w:rPr>
        <w:t>进度要求</w:t>
      </w:r>
    </w:p>
    <w:p>
      <w:pPr>
        <w:pStyle w:val="6"/>
      </w:pPr>
      <w:r>
        <w:rPr>
          <w:rFonts w:hint="eastAsia"/>
        </w:rPr>
        <w:t>1、成交供应商完成合同签订后的3个工作日内提交测评方案，包含测评工作计划。</w:t>
      </w:r>
    </w:p>
    <w:p>
      <w:pPr>
        <w:pStyle w:val="6"/>
      </w:pPr>
      <w:r>
        <w:rPr>
          <w:rFonts w:hint="eastAsia"/>
        </w:rPr>
        <w:t>2、成交供应商在完成合同签订后的5个工作日内完成系统的初次测评工作并提交完成的问题清单、</w:t>
      </w:r>
      <w:r>
        <w:rPr>
          <w:rFonts w:hint="eastAsia"/>
          <w:lang w:val="sv-SE"/>
        </w:rPr>
        <w:t>等级测评问题相关整改建议内容。</w:t>
      </w:r>
    </w:p>
    <w:p>
      <w:r>
        <w:rPr>
          <w:rFonts w:hint="eastAsia"/>
        </w:rPr>
        <w:t xml:space="preserve">3、在确认提交的问题全部整改完毕后，成交供应商应及时进行复测，并3个工作日内提交测评报告。 </w:t>
      </w:r>
    </w:p>
    <w:p>
      <w:r>
        <w:rPr>
          <w:rFonts w:hint="eastAsia"/>
        </w:rPr>
        <w:t>（五）组织要求</w:t>
      </w:r>
    </w:p>
    <w:p>
      <w:r>
        <w:rPr>
          <w:rFonts w:hint="eastAsia"/>
        </w:rPr>
        <w:t>成交供应商需对本项目测评工作做出具体安排，严格管理流程，制定出详细的测评方案和时间计划，并就建立规范的测评流程、科学的测评方法、全面的测评内容、完善的测评工具、完备的测评指标体系和测评结果、有效的安全保密控制措施做出说明。严格落实人员安排，控制实施进度和项目质量，并能根据采购人要求合理调整实施安排。</w:t>
      </w:r>
    </w:p>
    <w:p>
      <w:r>
        <w:rPr>
          <w:rFonts w:hint="eastAsia"/>
        </w:rPr>
        <w:t>（六）文档管理要求</w:t>
      </w:r>
    </w:p>
    <w:p>
      <w:r>
        <w:rPr>
          <w:rFonts w:hint="eastAsia"/>
        </w:rPr>
        <w:t>成交供应商按相关政策文件要求完成测评后，需根据测评类型提供现场测评记录、问题汇总清单（含整改建议）、等级保护测评报告、备案回执（具体文档名称以采购人确认为准）。成交供应商应在合同规定时间内，按采购人需求提供相应资料及服务报告，包括：</w:t>
      </w:r>
    </w:p>
    <w:p>
      <w:r>
        <w:rPr>
          <w:rFonts w:hint="eastAsia"/>
        </w:rPr>
        <w:t>1、测评问题单及现场测评记录</w:t>
      </w:r>
    </w:p>
    <w:p>
      <w:r>
        <w:rPr>
          <w:rFonts w:hint="eastAsia"/>
        </w:rPr>
        <w:t>成交供应商应按相关要求完成《现场测评记录》及编制《等级保护测评问题清单》，其中问题清单的格式与采购人协商制定，内容应包括问题存在的系统、问题分类、问题详细描述、风险等级、问题整改方法等。</w:t>
      </w:r>
    </w:p>
    <w:p>
      <w:r>
        <w:rPr>
          <w:rFonts w:hint="eastAsia"/>
        </w:rPr>
        <w:t>2、等级保护测评报告</w:t>
      </w:r>
    </w:p>
    <w:p>
      <w:r>
        <w:rPr>
          <w:rFonts w:hint="eastAsia"/>
        </w:rPr>
        <w:t>成交供应商按要求完成现场测评工作以后，根据被评估单位整改情况对整改结果进行确认，并根据最终的测评结果完成报告编制，并提交采购人审查。</w:t>
      </w:r>
    </w:p>
    <w:p>
      <w:r>
        <w:rPr>
          <w:rFonts w:hint="eastAsia"/>
        </w:rPr>
        <w:t>（六）质量保证要求</w:t>
      </w:r>
    </w:p>
    <w:p>
      <w:r>
        <w:rPr>
          <w:rFonts w:hint="eastAsia"/>
        </w:rPr>
        <w:t>成交供应商应保证本项目的服务质量，具备专业的检测技术和管理能力，提供符合等级保护测评相关标准规范的测评服务过程和报告。成交供应商依据相关要求，建立完善的保密管理制度，确保采购人知识产权、专利权、技术秘密和商业秘密不受损害。对测评人员进行安全保密教育，与其签订安全保密责任书，规定应当履行的安全保密义务和承担的法律责任，并负责检查落实。</w:t>
      </w:r>
    </w:p>
    <w:p>
      <w:r>
        <w:rPr>
          <w:rFonts w:hint="eastAsia"/>
        </w:rPr>
        <w:t>（七）验收标准</w:t>
      </w:r>
    </w:p>
    <w:p>
      <w:r>
        <w:rPr>
          <w:rFonts w:hint="eastAsia"/>
        </w:rPr>
        <w:t>本项目对</w:t>
      </w:r>
      <w:r>
        <w:rPr>
          <w:rFonts w:hint="eastAsia"/>
          <w:lang w:eastAsia="zh-CN"/>
        </w:rPr>
        <w:t>海南省充换电一张网服务平台</w:t>
      </w:r>
      <w:r>
        <w:rPr>
          <w:rFonts w:hint="eastAsia"/>
        </w:rPr>
        <w:t>的测评服务进行验收，采购人组织对该系统测评服务内容的履约结果进行验收，以确认服务内容和质量符合相关要求。清单验收过程由采购人签署验收意见，验收结果不符合的，应在限定期限内达到项目内容约定的要求。成交供应商须配合采购人提供验收材料，验收材料应包括本项目的相关交付物。</w:t>
      </w:r>
    </w:p>
    <w:p>
      <w:r>
        <w:rPr>
          <w:rFonts w:hint="eastAsia"/>
        </w:rPr>
        <w:t>（八）其他要求</w:t>
      </w:r>
    </w:p>
    <w:p>
      <w:r>
        <w:rPr>
          <w:rFonts w:hint="eastAsia"/>
        </w:rPr>
        <w:t>1、服务响应要求</w:t>
      </w:r>
    </w:p>
    <w:p>
      <w:r>
        <w:rPr>
          <w:rFonts w:hint="eastAsia"/>
        </w:rPr>
        <w:t>在服务期内，项目组长应根据项目需要到指定现场处理问题或交流情况（在接到采购人通知之时起，12小时内到位）。</w:t>
      </w:r>
    </w:p>
    <w:p>
      <w:r>
        <w:rPr>
          <w:rFonts w:hint="eastAsia"/>
        </w:rPr>
        <w:t>2、保密要求</w:t>
      </w:r>
    </w:p>
    <w:p>
      <w:r>
        <w:rPr>
          <w:rFonts w:hint="eastAsia"/>
        </w:rPr>
        <w:t>成交供应商应同意：（1）未经采购人事前书面批准，不论服务期间或以后，成交供应商及其工作人员不得以任何方式泄漏采购人的保密信息。（2）不私自复制、下载、拷贝、携带和留存保密信息。（3）一旦服务工作终止，成交供应商及其工作人员将退还保存的属于采购人的所有保密信息及资料，如方案、制度、报告、合同等。</w:t>
      </w:r>
    </w:p>
    <w:p>
      <w:r>
        <w:rPr>
          <w:rFonts w:hint="eastAsia"/>
        </w:rPr>
        <w:t>保密期限：从获知采购人保密信息时起，至保密信息已由采购人通过合法途径让普通公众知悉时止。</w:t>
      </w:r>
    </w:p>
    <w:sectPr>
      <w:headerReference r:id="rId7" w:type="first"/>
      <w:footerReference r:id="rId10" w:type="first"/>
      <w:headerReference r:id="rId5" w:type="default"/>
      <w:footerReference r:id="rId8" w:type="default"/>
      <w:headerReference r:id="rId6" w:type="even"/>
      <w:footerReference r:id="rId9" w:type="even"/>
      <w:pgSz w:w="11906" w:h="16838"/>
      <w:pgMar w:top="1985" w:right="1418" w:bottom="1418" w:left="1418" w:header="851" w:footer="992" w:gutter="0"/>
      <w:cols w:space="425"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ECAEA2"/>
    <w:multiLevelType w:val="singleLevel"/>
    <w:tmpl w:val="FCECAEA2"/>
    <w:lvl w:ilvl="0" w:tentative="0">
      <w:start w:val="1"/>
      <w:numFmt w:val="chineseCounting"/>
      <w:suff w:val="nothing"/>
      <w:lvlText w:val="%1、"/>
      <w:lvlJc w:val="left"/>
      <w:rPr>
        <w:rFonts w:hint="eastAsia"/>
        <w:b/>
        <w:bCs/>
      </w:rPr>
    </w:lvl>
  </w:abstractNum>
  <w:abstractNum w:abstractNumId="1">
    <w:nsid w:val="1D209C15"/>
    <w:multiLevelType w:val="singleLevel"/>
    <w:tmpl w:val="1D209C15"/>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HorizontalSpacing w:val="140"/>
  <w:drawingGridVerticalSpacing w:val="38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kMzA1ODFlZGJmYjk0MzZlZDQ4NjRmZmRkZDJlN2YifQ=="/>
  </w:docVars>
  <w:rsids>
    <w:rsidRoot w:val="05F6413B"/>
    <w:rsid w:val="00002587"/>
    <w:rsid w:val="000504A9"/>
    <w:rsid w:val="0005498A"/>
    <w:rsid w:val="00096CB2"/>
    <w:rsid w:val="000A34E4"/>
    <w:rsid w:val="000E71C4"/>
    <w:rsid w:val="000E75FD"/>
    <w:rsid w:val="000F2F92"/>
    <w:rsid w:val="000F5DA6"/>
    <w:rsid w:val="00110E8D"/>
    <w:rsid w:val="00126D6F"/>
    <w:rsid w:val="001609E7"/>
    <w:rsid w:val="00170580"/>
    <w:rsid w:val="00175B68"/>
    <w:rsid w:val="00176CD7"/>
    <w:rsid w:val="001C2970"/>
    <w:rsid w:val="001F56D5"/>
    <w:rsid w:val="0020083C"/>
    <w:rsid w:val="00213F5D"/>
    <w:rsid w:val="00215AF3"/>
    <w:rsid w:val="0022247A"/>
    <w:rsid w:val="002257CA"/>
    <w:rsid w:val="0023350B"/>
    <w:rsid w:val="00236E9E"/>
    <w:rsid w:val="00243B66"/>
    <w:rsid w:val="00262E07"/>
    <w:rsid w:val="00272E3D"/>
    <w:rsid w:val="00285546"/>
    <w:rsid w:val="00293573"/>
    <w:rsid w:val="002A0947"/>
    <w:rsid w:val="002C0EB2"/>
    <w:rsid w:val="002C4518"/>
    <w:rsid w:val="002D2409"/>
    <w:rsid w:val="0030721E"/>
    <w:rsid w:val="00317468"/>
    <w:rsid w:val="00325BC0"/>
    <w:rsid w:val="00351FCF"/>
    <w:rsid w:val="00370898"/>
    <w:rsid w:val="003741EA"/>
    <w:rsid w:val="003827C6"/>
    <w:rsid w:val="003909E2"/>
    <w:rsid w:val="00407DA9"/>
    <w:rsid w:val="004148D0"/>
    <w:rsid w:val="00421AC3"/>
    <w:rsid w:val="00424A5A"/>
    <w:rsid w:val="0043279F"/>
    <w:rsid w:val="00445261"/>
    <w:rsid w:val="0045553B"/>
    <w:rsid w:val="00455853"/>
    <w:rsid w:val="004574F1"/>
    <w:rsid w:val="00471041"/>
    <w:rsid w:val="004C5A9E"/>
    <w:rsid w:val="005410BD"/>
    <w:rsid w:val="00562344"/>
    <w:rsid w:val="00592E4B"/>
    <w:rsid w:val="005D4992"/>
    <w:rsid w:val="005E08D0"/>
    <w:rsid w:val="006044FE"/>
    <w:rsid w:val="00614C69"/>
    <w:rsid w:val="006213F0"/>
    <w:rsid w:val="00631E54"/>
    <w:rsid w:val="00634962"/>
    <w:rsid w:val="00666814"/>
    <w:rsid w:val="00670731"/>
    <w:rsid w:val="00686CF1"/>
    <w:rsid w:val="006A283B"/>
    <w:rsid w:val="006A49B0"/>
    <w:rsid w:val="006A5F2E"/>
    <w:rsid w:val="006E2441"/>
    <w:rsid w:val="006F6AE8"/>
    <w:rsid w:val="00716ACC"/>
    <w:rsid w:val="00722A08"/>
    <w:rsid w:val="00730CCB"/>
    <w:rsid w:val="007365C1"/>
    <w:rsid w:val="00751A1A"/>
    <w:rsid w:val="007530DE"/>
    <w:rsid w:val="007544E7"/>
    <w:rsid w:val="00786B03"/>
    <w:rsid w:val="00795E1A"/>
    <w:rsid w:val="007C756B"/>
    <w:rsid w:val="007F63EF"/>
    <w:rsid w:val="008526FD"/>
    <w:rsid w:val="00880203"/>
    <w:rsid w:val="008A2025"/>
    <w:rsid w:val="008A46C1"/>
    <w:rsid w:val="008B777F"/>
    <w:rsid w:val="008C3658"/>
    <w:rsid w:val="008D1307"/>
    <w:rsid w:val="008D7F3A"/>
    <w:rsid w:val="008E5735"/>
    <w:rsid w:val="008F123A"/>
    <w:rsid w:val="008F6AEC"/>
    <w:rsid w:val="0091377D"/>
    <w:rsid w:val="009452C9"/>
    <w:rsid w:val="009768E0"/>
    <w:rsid w:val="009D70EE"/>
    <w:rsid w:val="00A41C14"/>
    <w:rsid w:val="00A5353D"/>
    <w:rsid w:val="00A5366E"/>
    <w:rsid w:val="00A7056B"/>
    <w:rsid w:val="00AA5E82"/>
    <w:rsid w:val="00AB2824"/>
    <w:rsid w:val="00AB5577"/>
    <w:rsid w:val="00AD62B2"/>
    <w:rsid w:val="00AE6625"/>
    <w:rsid w:val="00B071B7"/>
    <w:rsid w:val="00B177F2"/>
    <w:rsid w:val="00B279BB"/>
    <w:rsid w:val="00B86A13"/>
    <w:rsid w:val="00BB5110"/>
    <w:rsid w:val="00BE24B2"/>
    <w:rsid w:val="00C1207F"/>
    <w:rsid w:val="00C22883"/>
    <w:rsid w:val="00C24ADA"/>
    <w:rsid w:val="00C3526A"/>
    <w:rsid w:val="00C46E1C"/>
    <w:rsid w:val="00C53DE7"/>
    <w:rsid w:val="00C87F76"/>
    <w:rsid w:val="00C9222D"/>
    <w:rsid w:val="00C95808"/>
    <w:rsid w:val="00CD32F8"/>
    <w:rsid w:val="00CD4D47"/>
    <w:rsid w:val="00CD67C6"/>
    <w:rsid w:val="00D5606C"/>
    <w:rsid w:val="00D60C78"/>
    <w:rsid w:val="00D72C84"/>
    <w:rsid w:val="00D817F7"/>
    <w:rsid w:val="00D85C5F"/>
    <w:rsid w:val="00DA65B3"/>
    <w:rsid w:val="00DA694B"/>
    <w:rsid w:val="00DB2339"/>
    <w:rsid w:val="00DE50D0"/>
    <w:rsid w:val="00DF7C54"/>
    <w:rsid w:val="00E251E0"/>
    <w:rsid w:val="00E35330"/>
    <w:rsid w:val="00E578E3"/>
    <w:rsid w:val="00E749DD"/>
    <w:rsid w:val="00E95A16"/>
    <w:rsid w:val="00ED67A8"/>
    <w:rsid w:val="00EF4757"/>
    <w:rsid w:val="00EF62C4"/>
    <w:rsid w:val="00F04F8E"/>
    <w:rsid w:val="00F24704"/>
    <w:rsid w:val="00F3058C"/>
    <w:rsid w:val="00F35E76"/>
    <w:rsid w:val="00F51316"/>
    <w:rsid w:val="00FA12B1"/>
    <w:rsid w:val="00FB7A84"/>
    <w:rsid w:val="01A0745D"/>
    <w:rsid w:val="024C5E48"/>
    <w:rsid w:val="024D5563"/>
    <w:rsid w:val="029F3415"/>
    <w:rsid w:val="02DD4B6E"/>
    <w:rsid w:val="0372399E"/>
    <w:rsid w:val="03D2619B"/>
    <w:rsid w:val="04246135"/>
    <w:rsid w:val="0454396F"/>
    <w:rsid w:val="05033049"/>
    <w:rsid w:val="051175CF"/>
    <w:rsid w:val="05BD3288"/>
    <w:rsid w:val="05F6413B"/>
    <w:rsid w:val="06AB6E67"/>
    <w:rsid w:val="06CA694F"/>
    <w:rsid w:val="08576D34"/>
    <w:rsid w:val="08FC0E5C"/>
    <w:rsid w:val="096F3CD4"/>
    <w:rsid w:val="0A206DCD"/>
    <w:rsid w:val="0A432ABB"/>
    <w:rsid w:val="0A7E1D45"/>
    <w:rsid w:val="0B141B12"/>
    <w:rsid w:val="0B4D3BF1"/>
    <w:rsid w:val="0BBF036B"/>
    <w:rsid w:val="0BC81BCE"/>
    <w:rsid w:val="0C3C3A84"/>
    <w:rsid w:val="0C5D4308"/>
    <w:rsid w:val="0CA87B82"/>
    <w:rsid w:val="0CF91A13"/>
    <w:rsid w:val="0DED6FC6"/>
    <w:rsid w:val="0E675CD8"/>
    <w:rsid w:val="0F593690"/>
    <w:rsid w:val="0F786D63"/>
    <w:rsid w:val="106A32AE"/>
    <w:rsid w:val="11D9778F"/>
    <w:rsid w:val="131479B0"/>
    <w:rsid w:val="13CD4737"/>
    <w:rsid w:val="14803126"/>
    <w:rsid w:val="14B17E67"/>
    <w:rsid w:val="14B60A59"/>
    <w:rsid w:val="17076D19"/>
    <w:rsid w:val="18146B2A"/>
    <w:rsid w:val="189505CF"/>
    <w:rsid w:val="18F85153"/>
    <w:rsid w:val="1B732E2D"/>
    <w:rsid w:val="1B7739DA"/>
    <w:rsid w:val="1D077F36"/>
    <w:rsid w:val="1D8A4721"/>
    <w:rsid w:val="1E207E4E"/>
    <w:rsid w:val="1EB16B92"/>
    <w:rsid w:val="1EE80F21"/>
    <w:rsid w:val="1F192B4B"/>
    <w:rsid w:val="1F730E90"/>
    <w:rsid w:val="200A3A07"/>
    <w:rsid w:val="214304F3"/>
    <w:rsid w:val="231A0710"/>
    <w:rsid w:val="237A362E"/>
    <w:rsid w:val="239437D5"/>
    <w:rsid w:val="24CD5AB9"/>
    <w:rsid w:val="25C970BA"/>
    <w:rsid w:val="26005C34"/>
    <w:rsid w:val="265B3DF5"/>
    <w:rsid w:val="273824C0"/>
    <w:rsid w:val="2778394C"/>
    <w:rsid w:val="28BA1D43"/>
    <w:rsid w:val="28E05C4D"/>
    <w:rsid w:val="295D47F0"/>
    <w:rsid w:val="29F23E8A"/>
    <w:rsid w:val="2A7E3970"/>
    <w:rsid w:val="2AF33C47"/>
    <w:rsid w:val="2B39216D"/>
    <w:rsid w:val="2B577849"/>
    <w:rsid w:val="2BD24109"/>
    <w:rsid w:val="2C131E96"/>
    <w:rsid w:val="2C2E0361"/>
    <w:rsid w:val="2C88126B"/>
    <w:rsid w:val="2D034294"/>
    <w:rsid w:val="2D177F63"/>
    <w:rsid w:val="2D7C05EC"/>
    <w:rsid w:val="2DEF49C7"/>
    <w:rsid w:val="2E924DF5"/>
    <w:rsid w:val="2F043F6E"/>
    <w:rsid w:val="2F7A1AB2"/>
    <w:rsid w:val="304F5466"/>
    <w:rsid w:val="314C5A80"/>
    <w:rsid w:val="31615451"/>
    <w:rsid w:val="31701B38"/>
    <w:rsid w:val="318C4BC4"/>
    <w:rsid w:val="31A73D61"/>
    <w:rsid w:val="31B06398"/>
    <w:rsid w:val="32594A1C"/>
    <w:rsid w:val="330B1B18"/>
    <w:rsid w:val="333F5C66"/>
    <w:rsid w:val="3402116D"/>
    <w:rsid w:val="34A9000A"/>
    <w:rsid w:val="34D746C4"/>
    <w:rsid w:val="35411821"/>
    <w:rsid w:val="35AF49C2"/>
    <w:rsid w:val="35B1470D"/>
    <w:rsid w:val="36090261"/>
    <w:rsid w:val="360E0A21"/>
    <w:rsid w:val="36BF3237"/>
    <w:rsid w:val="37984D85"/>
    <w:rsid w:val="37DE3D29"/>
    <w:rsid w:val="37F44E86"/>
    <w:rsid w:val="380A4A95"/>
    <w:rsid w:val="38415FDC"/>
    <w:rsid w:val="384565EA"/>
    <w:rsid w:val="39AE797C"/>
    <w:rsid w:val="3AEF3DCA"/>
    <w:rsid w:val="3AF46B46"/>
    <w:rsid w:val="3B053500"/>
    <w:rsid w:val="3CFE6F8A"/>
    <w:rsid w:val="3D3560AA"/>
    <w:rsid w:val="3DB9470C"/>
    <w:rsid w:val="3F7C36C3"/>
    <w:rsid w:val="3FD633C9"/>
    <w:rsid w:val="40442804"/>
    <w:rsid w:val="40731583"/>
    <w:rsid w:val="40A20BE4"/>
    <w:rsid w:val="415B4687"/>
    <w:rsid w:val="41A970CC"/>
    <w:rsid w:val="41B76415"/>
    <w:rsid w:val="4277177F"/>
    <w:rsid w:val="42B47379"/>
    <w:rsid w:val="43920486"/>
    <w:rsid w:val="444915A0"/>
    <w:rsid w:val="44C84360"/>
    <w:rsid w:val="453A6210"/>
    <w:rsid w:val="46344CDD"/>
    <w:rsid w:val="46BE36AC"/>
    <w:rsid w:val="47D827AB"/>
    <w:rsid w:val="48DA1D66"/>
    <w:rsid w:val="48DA5DBD"/>
    <w:rsid w:val="48FA6F51"/>
    <w:rsid w:val="495A6EFE"/>
    <w:rsid w:val="4A2A30AE"/>
    <w:rsid w:val="4A2C2648"/>
    <w:rsid w:val="4AAF7D6F"/>
    <w:rsid w:val="4B50680B"/>
    <w:rsid w:val="4BE428AA"/>
    <w:rsid w:val="4C8864F9"/>
    <w:rsid w:val="4C9A09B1"/>
    <w:rsid w:val="4D7923FB"/>
    <w:rsid w:val="4D901140"/>
    <w:rsid w:val="4E155D44"/>
    <w:rsid w:val="4F1633A3"/>
    <w:rsid w:val="4F39249D"/>
    <w:rsid w:val="4F3D0E54"/>
    <w:rsid w:val="4F9D6E74"/>
    <w:rsid w:val="500D78D5"/>
    <w:rsid w:val="508475BC"/>
    <w:rsid w:val="51940B5B"/>
    <w:rsid w:val="519E67E6"/>
    <w:rsid w:val="51C77EF6"/>
    <w:rsid w:val="54696CE1"/>
    <w:rsid w:val="55B34320"/>
    <w:rsid w:val="55B54A38"/>
    <w:rsid w:val="56564C5E"/>
    <w:rsid w:val="577F3F4E"/>
    <w:rsid w:val="582412DA"/>
    <w:rsid w:val="583416BF"/>
    <w:rsid w:val="58BB4441"/>
    <w:rsid w:val="5A0B5707"/>
    <w:rsid w:val="5A5B4884"/>
    <w:rsid w:val="5B9B7485"/>
    <w:rsid w:val="5C1219E1"/>
    <w:rsid w:val="5C266B99"/>
    <w:rsid w:val="5C735EB5"/>
    <w:rsid w:val="5CEA03E7"/>
    <w:rsid w:val="5D1061EB"/>
    <w:rsid w:val="5D242E5C"/>
    <w:rsid w:val="5E104A00"/>
    <w:rsid w:val="5F427294"/>
    <w:rsid w:val="5F8E7A85"/>
    <w:rsid w:val="5FA2111A"/>
    <w:rsid w:val="62316557"/>
    <w:rsid w:val="635035F8"/>
    <w:rsid w:val="649B2A1E"/>
    <w:rsid w:val="65142556"/>
    <w:rsid w:val="657D4D9C"/>
    <w:rsid w:val="6598698C"/>
    <w:rsid w:val="682B15F5"/>
    <w:rsid w:val="68C552ED"/>
    <w:rsid w:val="69D8067A"/>
    <w:rsid w:val="6B0D3978"/>
    <w:rsid w:val="6B8253BB"/>
    <w:rsid w:val="6BA77929"/>
    <w:rsid w:val="6BB85C11"/>
    <w:rsid w:val="6C33190E"/>
    <w:rsid w:val="6C5B1204"/>
    <w:rsid w:val="6CAB79E7"/>
    <w:rsid w:val="6D0A639A"/>
    <w:rsid w:val="6D9D14E0"/>
    <w:rsid w:val="6DF125F1"/>
    <w:rsid w:val="6E182D60"/>
    <w:rsid w:val="6E544C9A"/>
    <w:rsid w:val="6EE47F43"/>
    <w:rsid w:val="6F2614AD"/>
    <w:rsid w:val="70020185"/>
    <w:rsid w:val="70B043A7"/>
    <w:rsid w:val="71B3084E"/>
    <w:rsid w:val="7220417A"/>
    <w:rsid w:val="728D737B"/>
    <w:rsid w:val="735741DD"/>
    <w:rsid w:val="73F01E02"/>
    <w:rsid w:val="74475AB6"/>
    <w:rsid w:val="74575C64"/>
    <w:rsid w:val="74C552BF"/>
    <w:rsid w:val="74ED166E"/>
    <w:rsid w:val="75137AE9"/>
    <w:rsid w:val="75151C58"/>
    <w:rsid w:val="75226272"/>
    <w:rsid w:val="76723F34"/>
    <w:rsid w:val="78952907"/>
    <w:rsid w:val="78A032D6"/>
    <w:rsid w:val="790B0857"/>
    <w:rsid w:val="7A713DCE"/>
    <w:rsid w:val="7A9449F1"/>
    <w:rsid w:val="7A9905B0"/>
    <w:rsid w:val="7BBA7205"/>
    <w:rsid w:val="7C06244A"/>
    <w:rsid w:val="7D9D293A"/>
    <w:rsid w:val="7DA83814"/>
    <w:rsid w:val="7E1E2589"/>
    <w:rsid w:val="7EF91208"/>
    <w:rsid w:val="7F127AA7"/>
    <w:rsid w:val="7F8C2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600" w:lineRule="exact"/>
      <w:ind w:firstLine="560" w:firstLineChars="200"/>
      <w:jc w:val="both"/>
    </w:pPr>
    <w:rPr>
      <w:rFonts w:eastAsia="仿宋" w:asciiTheme="minorHAnsi" w:hAnsiTheme="minorHAnsi" w:cstheme="minorBidi"/>
      <w:kern w:val="2"/>
      <w:sz w:val="28"/>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宋体"/>
      <w:b/>
      <w:kern w:val="44"/>
      <w:sz w:val="30"/>
    </w:rPr>
  </w:style>
  <w:style w:type="paragraph" w:styleId="4">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2">
    <w:name w:val="heading 3"/>
    <w:basedOn w:val="1"/>
    <w:next w:val="1"/>
    <w:qFormat/>
    <w:uiPriority w:val="0"/>
    <w:pPr>
      <w:keepNext/>
      <w:keepLines/>
      <w:spacing w:before="260" w:after="260" w:line="415" w:lineRule="auto"/>
      <w:outlineLvl w:val="2"/>
    </w:pPr>
    <w:rPr>
      <w:rFonts w:ascii="黑体" w:hAnsi="Times New Roman" w:eastAsia="黑体" w:cs="Times New Roman"/>
      <w:b/>
      <w:szCs w:val="20"/>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19"/>
    <w:autoRedefine/>
    <w:qFormat/>
    <w:uiPriority w:val="0"/>
    <w:pPr>
      <w:jc w:val="left"/>
    </w:pPr>
  </w:style>
  <w:style w:type="paragraph" w:styleId="6">
    <w:name w:val="Body Text"/>
    <w:basedOn w:val="1"/>
    <w:next w:val="7"/>
    <w:autoRedefine/>
    <w:qFormat/>
    <w:uiPriority w:val="99"/>
    <w:pPr>
      <w:spacing w:after="120"/>
    </w:pPr>
  </w:style>
  <w:style w:type="paragraph" w:styleId="7">
    <w:name w:val="Title"/>
    <w:basedOn w:val="1"/>
    <w:next w:val="1"/>
    <w:autoRedefine/>
    <w:qFormat/>
    <w:uiPriority w:val="0"/>
    <w:pPr>
      <w:spacing w:after="300"/>
      <w:contextualSpacing/>
      <w:jc w:val="center"/>
    </w:pPr>
    <w:rPr>
      <w:rFonts w:ascii="黑体" w:hAnsi="黑体" w:eastAsia="黑体"/>
      <w:spacing w:val="5"/>
      <w:kern w:val="28"/>
      <w:sz w:val="56"/>
      <w:szCs w:val="52"/>
    </w:rPr>
  </w:style>
  <w:style w:type="paragraph" w:styleId="8">
    <w:name w:val="Balloon Text"/>
    <w:basedOn w:val="1"/>
    <w:link w:val="27"/>
    <w:autoRedefine/>
    <w:qFormat/>
    <w:uiPriority w:val="0"/>
    <w:rPr>
      <w:sz w:val="18"/>
      <w:szCs w:val="18"/>
    </w:rPr>
  </w:style>
  <w:style w:type="paragraph" w:styleId="9">
    <w:name w:val="footer"/>
    <w:basedOn w:val="1"/>
    <w:link w:val="17"/>
    <w:autoRedefine/>
    <w:qFormat/>
    <w:uiPriority w:val="0"/>
    <w:pPr>
      <w:tabs>
        <w:tab w:val="center" w:pos="4153"/>
        <w:tab w:val="right" w:pos="8306"/>
      </w:tabs>
      <w:snapToGrid w:val="0"/>
      <w:jc w:val="left"/>
    </w:pPr>
    <w:rPr>
      <w:sz w:val="18"/>
      <w:szCs w:val="18"/>
    </w:rPr>
  </w:style>
  <w:style w:type="paragraph" w:styleId="10">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annotation subject"/>
    <w:basedOn w:val="5"/>
    <w:next w:val="5"/>
    <w:link w:val="20"/>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qFormat/>
    <w:uiPriority w:val="0"/>
    <w:rPr>
      <w:sz w:val="21"/>
      <w:szCs w:val="21"/>
    </w:rPr>
  </w:style>
  <w:style w:type="character" w:customStyle="1" w:styleId="16">
    <w:name w:val="页眉 字符"/>
    <w:basedOn w:val="14"/>
    <w:link w:val="10"/>
    <w:autoRedefine/>
    <w:qFormat/>
    <w:uiPriority w:val="0"/>
    <w:rPr>
      <w:rFonts w:asciiTheme="minorHAnsi" w:hAnsiTheme="minorHAnsi" w:eastAsiaTheme="minorEastAsia" w:cstheme="minorBidi"/>
      <w:kern w:val="2"/>
      <w:sz w:val="18"/>
      <w:szCs w:val="18"/>
    </w:rPr>
  </w:style>
  <w:style w:type="character" w:customStyle="1" w:styleId="17">
    <w:name w:val="页脚 字符"/>
    <w:basedOn w:val="14"/>
    <w:link w:val="9"/>
    <w:autoRedefine/>
    <w:qFormat/>
    <w:uiPriority w:val="0"/>
    <w:rPr>
      <w:rFonts w:asciiTheme="minorHAnsi" w:hAnsiTheme="minorHAnsi" w:eastAsiaTheme="minorEastAsia" w:cstheme="minorBidi"/>
      <w:kern w:val="2"/>
      <w:sz w:val="18"/>
      <w:szCs w:val="18"/>
    </w:rPr>
  </w:style>
  <w:style w:type="paragraph" w:styleId="18">
    <w:name w:val="List Paragraph"/>
    <w:basedOn w:val="1"/>
    <w:autoRedefine/>
    <w:qFormat/>
    <w:uiPriority w:val="34"/>
    <w:pPr>
      <w:ind w:firstLine="420"/>
    </w:pPr>
  </w:style>
  <w:style w:type="character" w:customStyle="1" w:styleId="19">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0">
    <w:name w:val="批注主题 字符"/>
    <w:basedOn w:val="19"/>
    <w:link w:val="11"/>
    <w:autoRedefine/>
    <w:qFormat/>
    <w:uiPriority w:val="0"/>
    <w:rPr>
      <w:rFonts w:asciiTheme="minorHAnsi" w:hAnsiTheme="minorHAnsi" w:eastAsiaTheme="minorEastAsia" w:cstheme="minorBidi"/>
      <w:b/>
      <w:bCs/>
      <w:kern w:val="2"/>
      <w:sz w:val="21"/>
      <w:szCs w:val="24"/>
    </w:rPr>
  </w:style>
  <w:style w:type="paragraph" w:customStyle="1" w:styleId="21">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标题 2 字符"/>
    <w:basedOn w:val="14"/>
    <w:link w:val="4"/>
    <w:autoRedefine/>
    <w:qFormat/>
    <w:uiPriority w:val="9"/>
    <w:rPr>
      <w:rFonts w:asciiTheme="majorHAnsi" w:hAnsiTheme="majorHAnsi" w:eastAsiaTheme="majorEastAsia" w:cstheme="majorBidi"/>
      <w:b/>
      <w:bCs/>
      <w:kern w:val="2"/>
      <w:sz w:val="32"/>
      <w:szCs w:val="32"/>
    </w:rPr>
  </w:style>
  <w:style w:type="character" w:customStyle="1" w:styleId="23">
    <w:name w:val="font31"/>
    <w:basedOn w:val="14"/>
    <w:autoRedefine/>
    <w:qFormat/>
    <w:uiPriority w:val="0"/>
    <w:rPr>
      <w:rFonts w:hint="eastAsia" w:ascii="宋体" w:hAnsi="宋体" w:eastAsia="宋体" w:cs="宋体"/>
      <w:color w:val="000000"/>
      <w:sz w:val="21"/>
      <w:szCs w:val="21"/>
      <w:u w:val="none"/>
    </w:rPr>
  </w:style>
  <w:style w:type="character" w:customStyle="1" w:styleId="24">
    <w:name w:val="font51"/>
    <w:basedOn w:val="14"/>
    <w:autoRedefine/>
    <w:qFormat/>
    <w:uiPriority w:val="0"/>
    <w:rPr>
      <w:rFonts w:hint="eastAsia" w:ascii="宋体" w:hAnsi="宋体" w:eastAsia="宋体" w:cs="宋体"/>
      <w:color w:val="FF0000"/>
      <w:sz w:val="21"/>
      <w:szCs w:val="21"/>
      <w:u w:val="none"/>
    </w:rPr>
  </w:style>
  <w:style w:type="character" w:customStyle="1" w:styleId="25">
    <w:name w:val="font21"/>
    <w:basedOn w:val="14"/>
    <w:autoRedefine/>
    <w:qFormat/>
    <w:uiPriority w:val="0"/>
    <w:rPr>
      <w:rFonts w:hint="eastAsia" w:ascii="宋体" w:hAnsi="宋体" w:eastAsia="宋体" w:cs="宋体"/>
      <w:color w:val="000000"/>
      <w:sz w:val="21"/>
      <w:szCs w:val="21"/>
      <w:u w:val="none"/>
    </w:rPr>
  </w:style>
  <w:style w:type="character" w:customStyle="1" w:styleId="26">
    <w:name w:val="font11"/>
    <w:basedOn w:val="14"/>
    <w:autoRedefine/>
    <w:qFormat/>
    <w:uiPriority w:val="0"/>
    <w:rPr>
      <w:rFonts w:hint="eastAsia" w:ascii="宋体" w:hAnsi="宋体" w:eastAsia="宋体" w:cs="宋体"/>
      <w:color w:val="000000"/>
      <w:sz w:val="21"/>
      <w:szCs w:val="21"/>
      <w:u w:val="none"/>
    </w:rPr>
  </w:style>
  <w:style w:type="character" w:customStyle="1" w:styleId="27">
    <w:name w:val="批注框文本 字符"/>
    <w:basedOn w:val="14"/>
    <w:link w:val="8"/>
    <w:autoRedefine/>
    <w:qFormat/>
    <w:uiPriority w:val="0"/>
    <w:rPr>
      <w:rFonts w:eastAsia="仿宋" w:asciiTheme="minorHAnsi" w:hAnsiTheme="minorHAnsi" w:cstheme="minorBidi"/>
      <w:kern w:val="2"/>
      <w:sz w:val="18"/>
      <w:szCs w:val="18"/>
    </w:rPr>
  </w:style>
  <w:style w:type="paragraph" w:customStyle="1" w:styleId="28">
    <w:name w:val="修订2"/>
    <w:autoRedefine/>
    <w:hidden/>
    <w:unhideWhenUsed/>
    <w:qFormat/>
    <w:uiPriority w:val="99"/>
    <w:rPr>
      <w:rFonts w:eastAsia="仿宋" w:asciiTheme="minorHAnsi" w:hAnsiTheme="minorHAnsi" w:cstheme="minorBidi"/>
      <w:kern w:val="2"/>
      <w:sz w:val="28"/>
      <w:szCs w:val="24"/>
      <w:lang w:val="en-US" w:eastAsia="zh-CN" w:bidi="ar-SA"/>
    </w:rPr>
  </w:style>
  <w:style w:type="paragraph" w:customStyle="1" w:styleId="29">
    <w:name w:val="修订3"/>
    <w:autoRedefine/>
    <w:hidden/>
    <w:unhideWhenUsed/>
    <w:qFormat/>
    <w:uiPriority w:val="99"/>
    <w:rPr>
      <w:rFonts w:eastAsia="仿宋" w:asciiTheme="minorHAnsi" w:hAnsiTheme="minorHAnsi" w:cstheme="minorBidi"/>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623</Words>
  <Characters>3553</Characters>
  <Lines>29</Lines>
  <Paragraphs>8</Paragraphs>
  <TotalTime>15</TotalTime>
  <ScaleCrop>false</ScaleCrop>
  <LinksUpToDate>false</LinksUpToDate>
  <CharactersWithSpaces>4168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12</cp:revision>
  <dcterms:created xsi:type="dcterms:W3CDTF">2024-04-09T10:34:00Z</dcterms:created>
  <dcterms:modified xsi:type="dcterms:W3CDTF">2024-04-15T01:01:39Z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AF61B62AB5A54563A6AA7849FB82AE51_13</vt:lpwstr>
  </property>
</Properties>
</file>