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宋体" w:hAnsi="宋体" w:eastAsia="宋体" w:cs="宋体"/>
          <w:b/>
          <w:bCs/>
          <w:sz w:val="32"/>
          <w:szCs w:val="32"/>
        </w:rPr>
      </w:pPr>
      <w:r>
        <w:rPr>
          <w:rFonts w:hint="eastAsia" w:ascii="宋体" w:hAnsi="宋体" w:cs="宋体"/>
          <w:b/>
          <w:bCs/>
          <w:sz w:val="32"/>
          <w:szCs w:val="32"/>
          <w:lang w:eastAsia="zh-CN"/>
        </w:rPr>
        <w:t>临高</w:t>
      </w:r>
      <w:r>
        <w:rPr>
          <w:rFonts w:hint="eastAsia" w:ascii="宋体" w:hAnsi="宋体" w:eastAsia="宋体" w:cs="宋体"/>
          <w:b/>
          <w:bCs/>
          <w:sz w:val="32"/>
          <w:szCs w:val="32"/>
          <w:lang w:eastAsia="zh-CN"/>
        </w:rPr>
        <w:t>供电局</w:t>
      </w:r>
      <w:r>
        <w:rPr>
          <w:rFonts w:hint="eastAsia" w:ascii="宋体" w:hAnsi="宋体" w:eastAsia="宋体" w:cs="宋体"/>
          <w:b/>
          <w:bCs/>
          <w:sz w:val="32"/>
          <w:szCs w:val="32"/>
          <w:lang w:val="en-US" w:eastAsia="zh-CN"/>
        </w:rPr>
        <w:t>202</w:t>
      </w:r>
      <w:r>
        <w:rPr>
          <w:rFonts w:hint="eastAsia" w:ascii="宋体" w:hAnsi="宋体" w:cs="宋体"/>
          <w:b/>
          <w:bCs/>
          <w:sz w:val="32"/>
          <w:szCs w:val="32"/>
          <w:lang w:val="en-US" w:eastAsia="zh-CN"/>
        </w:rPr>
        <w:t>4</w:t>
      </w:r>
      <w:r>
        <w:rPr>
          <w:rFonts w:hint="eastAsia" w:ascii="宋体" w:hAnsi="宋体" w:eastAsia="宋体" w:cs="宋体"/>
          <w:b/>
          <w:bCs/>
          <w:sz w:val="32"/>
          <w:szCs w:val="32"/>
          <w:lang w:val="en-US" w:eastAsia="zh-CN"/>
        </w:rPr>
        <w:t>年</w:t>
      </w:r>
      <w:r>
        <w:rPr>
          <w:rFonts w:hint="eastAsia" w:ascii="宋体" w:hAnsi="宋体" w:cs="宋体"/>
          <w:b/>
          <w:bCs/>
          <w:sz w:val="32"/>
          <w:szCs w:val="32"/>
          <w:lang w:val="en-US" w:eastAsia="zh-CN"/>
        </w:rPr>
        <w:t>办公设备维护保养</w:t>
      </w:r>
      <w:r>
        <w:rPr>
          <w:rFonts w:hint="eastAsia" w:ascii="宋体" w:hAnsi="宋体" w:eastAsia="宋体" w:cs="宋体"/>
          <w:b/>
          <w:bCs/>
          <w:sz w:val="32"/>
          <w:szCs w:val="32"/>
          <w:lang w:eastAsia="zh-CN"/>
        </w:rPr>
        <w:t>服务项目采购</w:t>
      </w:r>
      <w:r>
        <w:rPr>
          <w:rFonts w:hint="eastAsia" w:ascii="宋体" w:hAnsi="宋体" w:eastAsia="宋体" w:cs="宋体"/>
          <w:b/>
          <w:bCs/>
          <w:sz w:val="32"/>
          <w:szCs w:val="32"/>
        </w:rPr>
        <w:t>方案</w:t>
      </w:r>
    </w:p>
    <w:p>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rPr>
      </w:pPr>
    </w:p>
    <w:p>
      <w:pPr>
        <w:keepNext w:val="0"/>
        <w:keepLines w:val="0"/>
        <w:pageBreakBefore w:val="0"/>
        <w:kinsoku/>
        <w:wordWrap/>
        <w:overflowPunct/>
        <w:topLinePunct w:val="0"/>
        <w:autoSpaceDE/>
        <w:autoSpaceDN/>
        <w:bidi w:val="0"/>
        <w:adjustRightInd/>
        <w:spacing w:afterAutospacing="0" w:line="340" w:lineRule="exact"/>
        <w:ind w:firstLine="640" w:firstLineChars="200"/>
        <w:jc w:val="both"/>
        <w:textAlignment w:val="auto"/>
        <w:outlineLvl w:val="9"/>
        <w:rPr>
          <w:rFonts w:hint="eastAsia" w:ascii="宋体" w:hAnsi="宋体" w:eastAsia="宋体" w:cs="宋体"/>
          <w:b w:val="0"/>
          <w:bCs/>
          <w:sz w:val="32"/>
          <w:szCs w:val="32"/>
          <w:lang w:eastAsia="zh-CN"/>
        </w:rPr>
      </w:pPr>
      <w:r>
        <w:rPr>
          <w:rFonts w:hint="eastAsia" w:ascii="宋体" w:hAnsi="宋体" w:eastAsia="宋体" w:cs="宋体"/>
          <w:sz w:val="32"/>
          <w:szCs w:val="32"/>
          <w:lang w:eastAsia="zh-CN"/>
        </w:rPr>
        <w:t>为规范</w:t>
      </w:r>
      <w:r>
        <w:rPr>
          <w:rFonts w:hint="eastAsia" w:ascii="宋体" w:hAnsi="宋体" w:cs="宋体"/>
          <w:sz w:val="32"/>
          <w:szCs w:val="32"/>
          <w:lang w:eastAsia="zh-CN"/>
        </w:rPr>
        <w:t>临高</w:t>
      </w:r>
      <w:r>
        <w:rPr>
          <w:rFonts w:hint="eastAsia" w:ascii="宋体" w:hAnsi="宋体" w:eastAsia="宋体" w:cs="宋体"/>
          <w:sz w:val="32"/>
          <w:szCs w:val="32"/>
          <w:lang w:eastAsia="zh-CN"/>
        </w:rPr>
        <w:t>供电局</w:t>
      </w:r>
      <w:r>
        <w:rPr>
          <w:rFonts w:hint="eastAsia" w:ascii="宋体" w:hAnsi="宋体" w:eastAsia="宋体" w:cs="宋体"/>
          <w:b w:val="0"/>
          <w:bCs w:val="0"/>
          <w:sz w:val="32"/>
          <w:szCs w:val="32"/>
          <w:lang w:val="en-US" w:eastAsia="zh-CN"/>
        </w:rPr>
        <w:t>202</w:t>
      </w:r>
      <w:r>
        <w:rPr>
          <w:rFonts w:hint="eastAsia" w:ascii="宋体" w:hAnsi="宋体" w:cs="宋体"/>
          <w:b w:val="0"/>
          <w:bCs w:val="0"/>
          <w:sz w:val="32"/>
          <w:szCs w:val="32"/>
          <w:lang w:val="en-US" w:eastAsia="zh-CN"/>
        </w:rPr>
        <w:t>4</w:t>
      </w:r>
      <w:r>
        <w:rPr>
          <w:rFonts w:hint="eastAsia" w:ascii="宋体" w:hAnsi="宋体" w:eastAsia="宋体" w:cs="宋体"/>
          <w:b w:val="0"/>
          <w:bCs w:val="0"/>
          <w:sz w:val="32"/>
          <w:szCs w:val="32"/>
          <w:lang w:val="en-US" w:eastAsia="zh-CN"/>
        </w:rPr>
        <w:t>年</w:t>
      </w:r>
      <w:r>
        <w:rPr>
          <w:rFonts w:hint="eastAsia" w:ascii="宋体" w:hAnsi="宋体" w:cs="宋体"/>
          <w:b w:val="0"/>
          <w:bCs w:val="0"/>
          <w:sz w:val="32"/>
          <w:szCs w:val="32"/>
          <w:lang w:val="en-US" w:eastAsia="zh-CN"/>
        </w:rPr>
        <w:t>办公设备维护保养</w:t>
      </w:r>
      <w:r>
        <w:rPr>
          <w:rFonts w:hint="eastAsia" w:ascii="宋体" w:hAnsi="宋体" w:eastAsia="宋体" w:cs="宋体"/>
          <w:b w:val="0"/>
          <w:bCs w:val="0"/>
          <w:sz w:val="32"/>
          <w:szCs w:val="32"/>
          <w:lang w:eastAsia="zh-CN"/>
        </w:rPr>
        <w:t>服务项目</w:t>
      </w: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outlineLvl w:val="9"/>
        <w:rPr>
          <w:rFonts w:hint="eastAsia" w:ascii="宋体" w:hAnsi="宋体" w:eastAsia="宋体" w:cs="宋体"/>
          <w:sz w:val="32"/>
          <w:szCs w:val="32"/>
        </w:rPr>
      </w:pPr>
      <w:r>
        <w:rPr>
          <w:rFonts w:hint="eastAsia" w:ascii="宋体" w:hAnsi="宋体" w:eastAsia="宋体" w:cs="宋体"/>
          <w:sz w:val="32"/>
          <w:szCs w:val="32"/>
          <w:lang w:eastAsia="zh-CN"/>
        </w:rPr>
        <w:t>采购工作，根据《海南电网有限责任公司零星采购业务指导书（202</w:t>
      </w:r>
      <w:r>
        <w:rPr>
          <w:rFonts w:hint="eastAsia" w:ascii="宋体" w:hAnsi="宋体" w:cs="宋体"/>
          <w:sz w:val="32"/>
          <w:szCs w:val="32"/>
          <w:lang w:val="en-US" w:eastAsia="zh-CN"/>
        </w:rPr>
        <w:t>4</w:t>
      </w:r>
      <w:r>
        <w:rPr>
          <w:rFonts w:hint="eastAsia" w:ascii="宋体" w:hAnsi="宋体" w:eastAsia="宋体" w:cs="宋体"/>
          <w:sz w:val="32"/>
          <w:szCs w:val="32"/>
          <w:lang w:eastAsia="zh-CN"/>
        </w:rPr>
        <w:t>年版）》相关规定，制定本</w:t>
      </w:r>
      <w:r>
        <w:rPr>
          <w:rFonts w:hint="eastAsia" w:ascii="宋体" w:hAnsi="宋体" w:eastAsia="宋体" w:cs="宋体"/>
          <w:sz w:val="32"/>
          <w:szCs w:val="32"/>
        </w:rPr>
        <w:t>方案</w:t>
      </w:r>
      <w:r>
        <w:rPr>
          <w:rFonts w:hint="eastAsia" w:ascii="宋体" w:hAnsi="宋体" w:eastAsia="宋体" w:cs="宋体"/>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（一）项目名称：临高供电局2024年</w:t>
      </w:r>
      <w:r>
        <w:rPr>
          <w:rFonts w:hint="eastAsia" w:ascii="宋体" w:hAnsi="宋体" w:cs="宋体"/>
          <w:b w:val="0"/>
          <w:bCs w:val="0"/>
          <w:sz w:val="32"/>
          <w:szCs w:val="32"/>
          <w:lang w:eastAsia="zh-CN"/>
        </w:rPr>
        <w:t>办公</w:t>
      </w:r>
      <w:r>
        <w:rPr>
          <w:rFonts w:hint="eastAsia" w:ascii="宋体" w:hAnsi="宋体" w:eastAsia="宋体" w:cs="宋体"/>
          <w:b w:val="0"/>
          <w:bCs w:val="0"/>
          <w:sz w:val="32"/>
          <w:szCs w:val="32"/>
          <w:lang w:eastAsia="zh-CN"/>
        </w:rPr>
        <w:t>设备维护保养服务项目。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（二）资金来源：自筹资金。</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（三）</w:t>
      </w:r>
      <w:r>
        <w:rPr>
          <w:rFonts w:hint="eastAsia" w:ascii="宋体" w:hAnsi="宋体" w:cs="宋体"/>
          <w:b w:val="0"/>
          <w:bCs w:val="0"/>
          <w:sz w:val="32"/>
          <w:szCs w:val="32"/>
          <w:lang w:eastAsia="zh-CN"/>
        </w:rPr>
        <w:t>资金落实情况</w:t>
      </w:r>
      <w:r>
        <w:rPr>
          <w:rFonts w:hint="eastAsia" w:ascii="宋体" w:hAnsi="宋体" w:eastAsia="宋体" w:cs="宋体"/>
          <w:b w:val="0"/>
          <w:bCs w:val="0"/>
          <w:sz w:val="32"/>
          <w:szCs w:val="32"/>
          <w:lang w:eastAsia="zh-CN"/>
        </w:rPr>
        <w:t>：</w:t>
      </w:r>
      <w:r>
        <w:rPr>
          <w:rFonts w:hint="eastAsia" w:ascii="宋体" w:hAnsi="宋体" w:cs="宋体"/>
          <w:b w:val="0"/>
          <w:bCs w:val="0"/>
          <w:sz w:val="32"/>
          <w:szCs w:val="32"/>
          <w:lang w:eastAsia="zh-CN"/>
        </w:rPr>
        <w:t>已下达</w:t>
      </w:r>
      <w:r>
        <w:rPr>
          <w:rFonts w:hint="eastAsia" w:ascii="宋体" w:hAnsi="宋体" w:eastAsia="宋体" w:cs="宋体"/>
          <w:b w:val="0"/>
          <w:bCs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（四）采购方式：零星采购。</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val="en-US" w:eastAsia="zh-CN"/>
        </w:rPr>
        <w:t>（五）项目实施地点</w:t>
      </w:r>
      <w:r>
        <w:rPr>
          <w:rFonts w:hint="eastAsia" w:ascii="宋体" w:hAnsi="宋体" w:cs="宋体"/>
          <w:b w:val="0"/>
          <w:bCs w:val="0"/>
          <w:sz w:val="32"/>
          <w:szCs w:val="32"/>
          <w:lang w:val="en-US" w:eastAsia="zh-CN"/>
        </w:rPr>
        <w:t>：临高供电局</w:t>
      </w:r>
      <w:r>
        <w:rPr>
          <w:rFonts w:hint="eastAsia" w:ascii="宋体" w:hAnsi="宋体" w:eastAsia="宋体" w:cs="宋体"/>
          <w:b w:val="0"/>
          <w:bCs w:val="0"/>
          <w:sz w:val="32"/>
          <w:szCs w:val="32"/>
          <w:lang w:val="en-US" w:eastAsia="zh-CN"/>
        </w:rPr>
        <w:t>本部及各基层单位</w:t>
      </w:r>
      <w:r>
        <w:rPr>
          <w:rFonts w:hint="eastAsia" w:ascii="宋体" w:hAnsi="宋体" w:eastAsia="宋体" w:cs="宋体"/>
          <w:b w:val="0"/>
          <w:bCs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eastAsia="宋体" w:cs="宋体"/>
          <w:b w:val="0"/>
          <w:bCs w:val="0"/>
          <w:sz w:val="32"/>
          <w:szCs w:val="32"/>
          <w:lang w:eastAsia="zh-CN"/>
        </w:rPr>
        <w:t>（六）承办部门：</w:t>
      </w:r>
      <w:r>
        <w:rPr>
          <w:rFonts w:hint="eastAsia" w:ascii="宋体" w:hAnsi="宋体" w:cs="宋体"/>
          <w:b w:val="0"/>
          <w:bCs w:val="0"/>
          <w:sz w:val="32"/>
          <w:szCs w:val="32"/>
          <w:lang w:eastAsia="zh-CN"/>
        </w:rPr>
        <w:t>临高</w:t>
      </w:r>
      <w:r>
        <w:rPr>
          <w:rFonts w:hint="eastAsia" w:ascii="宋体" w:hAnsi="宋体" w:eastAsia="宋体" w:cs="宋体"/>
          <w:b w:val="0"/>
          <w:bCs w:val="0"/>
          <w:sz w:val="32"/>
          <w:szCs w:val="32"/>
          <w:lang w:eastAsia="zh-CN"/>
        </w:rPr>
        <w:t>供电局</w:t>
      </w:r>
      <w:r>
        <w:rPr>
          <w:rFonts w:hint="eastAsia" w:ascii="宋体" w:hAnsi="宋体" w:cs="宋体"/>
          <w:b w:val="0"/>
          <w:bCs w:val="0"/>
          <w:sz w:val="32"/>
          <w:szCs w:val="32"/>
          <w:lang w:eastAsia="zh-CN"/>
        </w:rPr>
        <w:t>办公室</w:t>
      </w:r>
      <w:r>
        <w:rPr>
          <w:rFonts w:hint="eastAsia" w:ascii="宋体" w:hAnsi="宋体" w:eastAsia="宋体" w:cs="宋体"/>
          <w:b w:val="0"/>
          <w:bCs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b w:val="0"/>
          <w:bCs w:val="0"/>
          <w:sz w:val="32"/>
          <w:szCs w:val="32"/>
          <w:lang w:eastAsia="zh-CN"/>
        </w:rPr>
      </w:pPr>
      <w:r>
        <w:rPr>
          <w:rFonts w:hint="eastAsia" w:ascii="宋体" w:hAnsi="宋体" w:cs="宋体"/>
          <w:b w:val="0"/>
          <w:bCs w:val="0"/>
          <w:sz w:val="32"/>
          <w:szCs w:val="32"/>
          <w:lang w:eastAsia="zh-CN"/>
        </w:rPr>
        <w:t>（七）合同履行计划于</w:t>
      </w:r>
      <w:r>
        <w:rPr>
          <w:rFonts w:hint="eastAsia" w:ascii="宋体" w:hAnsi="宋体" w:cs="宋体"/>
          <w:b w:val="0"/>
          <w:bCs w:val="0"/>
          <w:sz w:val="32"/>
          <w:szCs w:val="32"/>
          <w:lang w:val="en-US" w:eastAsia="zh-CN"/>
        </w:rPr>
        <w:t>2024年4月22日</w:t>
      </w:r>
      <w:r>
        <w:rPr>
          <w:rFonts w:hint="eastAsia" w:ascii="宋体" w:hAnsi="宋体" w:cs="宋体"/>
          <w:b w:val="0"/>
          <w:bCs w:val="0"/>
          <w:sz w:val="32"/>
          <w:szCs w:val="32"/>
          <w:lang w:eastAsia="zh-CN"/>
        </w:rPr>
        <w:t>至</w:t>
      </w:r>
      <w:r>
        <w:rPr>
          <w:rFonts w:hint="eastAsia" w:ascii="宋体" w:hAnsi="宋体" w:cs="宋体"/>
          <w:b w:val="0"/>
          <w:bCs w:val="0"/>
          <w:sz w:val="32"/>
          <w:szCs w:val="32"/>
          <w:lang w:val="en-US" w:eastAsia="zh-CN"/>
        </w:rPr>
        <w:t>2025年4月21日</w:t>
      </w:r>
      <w:r>
        <w:rPr>
          <w:rFonts w:hint="eastAsia" w:ascii="宋体" w:hAnsi="宋体" w:cs="宋体"/>
          <w:b w:val="0"/>
          <w:bCs w:val="0"/>
          <w:sz w:val="32"/>
          <w:szCs w:val="32"/>
          <w:lang w:eastAsia="zh-CN"/>
        </w:rPr>
        <w:t>。</w:t>
      </w:r>
      <w:bookmarkStart w:id="0" w:name="_GoBack"/>
      <w:bookmarkEnd w:id="0"/>
    </w:p>
    <w:p>
      <w:pPr>
        <w:keepNext w:val="0"/>
        <w:keepLines w:val="0"/>
        <w:pageBreakBefore w:val="0"/>
        <w:numPr>
          <w:ilvl w:val="0"/>
          <w:numId w:val="0"/>
        </w:numPr>
        <w:kinsoku/>
        <w:wordWrap/>
        <w:overflowPunct/>
        <w:topLinePunct w:val="0"/>
        <w:autoSpaceDE/>
        <w:autoSpaceDN/>
        <w:bidi w:val="0"/>
        <w:adjustRightInd/>
        <w:snapToGrid/>
        <w:spacing w:line="580" w:lineRule="exact"/>
        <w:ind w:firstLine="643" w:firstLineChars="200"/>
        <w:jc w:val="both"/>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二、采购物清单</w:t>
      </w:r>
    </w:p>
    <w:tbl>
      <w:tblPr>
        <w:tblStyle w:val="7"/>
        <w:tblW w:w="8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2520"/>
        <w:gridCol w:w="1505"/>
        <w:gridCol w:w="1890"/>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3" w:type="dxa"/>
            <w:vAlign w:val="center"/>
          </w:tcPr>
          <w:p>
            <w:pPr>
              <w:keepNext w:val="0"/>
              <w:keepLines w:val="0"/>
              <w:widowControl/>
              <w:suppressLineNumbers w:val="0"/>
              <w:jc w:val="center"/>
              <w:textAlignment w:val="center"/>
              <w:rPr>
                <w:rFonts w:hint="eastAsia" w:ascii="仿宋_GB2312" w:eastAsia="仿宋_GB2312"/>
              </w:rPr>
            </w:pPr>
            <w:r>
              <w:rPr>
                <w:rFonts w:hint="eastAsia" w:ascii="宋体" w:hAnsi="宋体" w:eastAsia="宋体" w:cs="宋体"/>
                <w:i w:val="0"/>
                <w:iCs w:val="0"/>
                <w:color w:val="000000"/>
                <w:kern w:val="0"/>
                <w:sz w:val="32"/>
                <w:szCs w:val="32"/>
                <w:u w:val="none"/>
                <w:lang w:val="en-US" w:eastAsia="zh-CN" w:bidi="ar"/>
              </w:rPr>
              <w:t>序号</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宋体" w:hAnsi="宋体" w:eastAsia="宋体" w:cs="宋体"/>
                <w:i w:val="0"/>
                <w:iCs w:val="0"/>
                <w:color w:val="000000"/>
                <w:kern w:val="0"/>
                <w:sz w:val="32"/>
                <w:szCs w:val="32"/>
                <w:u w:val="none"/>
                <w:lang w:val="en-US" w:eastAsia="zh-CN" w:bidi="ar"/>
              </w:rPr>
              <w:t>购置年份</w:t>
            </w:r>
          </w:p>
        </w:tc>
        <w:tc>
          <w:tcPr>
            <w:tcW w:w="1505"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宋体" w:hAnsi="宋体" w:eastAsia="宋体" w:cs="宋体"/>
                <w:i w:val="0"/>
                <w:iCs w:val="0"/>
                <w:color w:val="000000"/>
                <w:kern w:val="0"/>
                <w:sz w:val="32"/>
                <w:szCs w:val="32"/>
                <w:u w:val="none"/>
                <w:lang w:val="en-US" w:eastAsia="zh-CN" w:bidi="ar"/>
              </w:rPr>
              <w:t>设备型号</w:t>
            </w:r>
          </w:p>
        </w:tc>
        <w:tc>
          <w:tcPr>
            <w:tcW w:w="1890" w:type="dxa"/>
            <w:vAlign w:val="center"/>
          </w:tcPr>
          <w:p>
            <w:pPr>
              <w:keepNext w:val="0"/>
              <w:keepLines w:val="0"/>
              <w:widowControl/>
              <w:suppressLineNumbers w:val="0"/>
              <w:jc w:val="center"/>
              <w:textAlignment w:val="center"/>
              <w:rPr>
                <w:rFonts w:hint="eastAsia" w:ascii="仿宋_GB2312" w:eastAsia="仿宋_GB2312"/>
              </w:rPr>
            </w:pPr>
            <w:r>
              <w:rPr>
                <w:rFonts w:hint="eastAsia" w:ascii="宋体" w:hAnsi="宋体" w:eastAsia="宋体" w:cs="宋体"/>
                <w:i w:val="0"/>
                <w:iCs w:val="0"/>
                <w:color w:val="000000"/>
                <w:kern w:val="0"/>
                <w:sz w:val="32"/>
                <w:szCs w:val="32"/>
                <w:u w:val="none"/>
                <w:lang w:val="en-US" w:eastAsia="zh-CN" w:bidi="ar"/>
              </w:rPr>
              <w:t>数量（台）</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设备类别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rPr>
            </w:pPr>
            <w:r>
              <w:rPr>
                <w:rFonts w:hint="eastAsia" w:ascii="宋体" w:hAnsi="宋体" w:eastAsia="宋体" w:cs="宋体"/>
                <w:i w:val="0"/>
                <w:iCs w:val="0"/>
                <w:color w:val="000000"/>
                <w:kern w:val="0"/>
                <w:sz w:val="32"/>
                <w:szCs w:val="32"/>
                <w:u w:val="none"/>
                <w:lang w:val="en-US" w:eastAsia="zh-CN" w:bidi="ar"/>
              </w:rPr>
              <w:t>1</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宋体" w:hAnsi="宋体" w:eastAsia="宋体" w:cs="宋体"/>
                <w:i w:val="0"/>
                <w:iCs w:val="0"/>
                <w:color w:val="000000"/>
                <w:kern w:val="0"/>
                <w:sz w:val="32"/>
                <w:szCs w:val="32"/>
                <w:u w:val="none"/>
                <w:lang w:val="en-US" w:eastAsia="zh-CN" w:bidi="ar"/>
              </w:rPr>
              <w:t>2023</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爱普生L15168</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5</w:t>
            </w:r>
          </w:p>
        </w:tc>
        <w:tc>
          <w:tcPr>
            <w:tcW w:w="1525" w:type="dxa"/>
            <w:vAlign w:val="center"/>
          </w:tcPr>
          <w:p>
            <w:pPr>
              <w:keepNext w:val="0"/>
              <w:keepLines w:val="0"/>
              <w:widowControl/>
              <w:suppressLineNumbers w:val="0"/>
              <w:jc w:val="both"/>
              <w:textAlignment w:val="center"/>
              <w:rPr>
                <w:rFonts w:hint="default" w:ascii="仿宋_GB2312" w:eastAsia="仿宋_GB2312"/>
                <w:lang w:val="en-US" w:eastAsia="zh-CN"/>
              </w:rPr>
            </w:pPr>
            <w:r>
              <w:rPr>
                <w:rFonts w:hint="eastAsia" w:ascii="仿宋" w:hAnsi="仿宋" w:eastAsia="仿宋" w:cs="仿宋"/>
                <w:i w:val="0"/>
                <w:iCs w:val="0"/>
                <w:color w:val="000000"/>
                <w:kern w:val="0"/>
                <w:sz w:val="28"/>
                <w:szCs w:val="28"/>
                <w:u w:val="none"/>
                <w:lang w:val="en-US" w:eastAsia="zh-CN" w:bidi="ar"/>
              </w:rPr>
              <w:t>多功能传真一体机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lang w:val="en-US" w:eastAsia="zh-CN"/>
              </w:rPr>
            </w:pPr>
            <w:r>
              <w:rPr>
                <w:rFonts w:hint="eastAsia" w:ascii="宋体" w:hAnsi="宋体" w:eastAsia="宋体" w:cs="宋体"/>
                <w:i w:val="0"/>
                <w:iCs w:val="0"/>
                <w:color w:val="000000"/>
                <w:kern w:val="0"/>
                <w:sz w:val="32"/>
                <w:szCs w:val="32"/>
                <w:u w:val="none"/>
                <w:lang w:val="en-US" w:eastAsia="zh-CN" w:bidi="ar"/>
              </w:rPr>
              <w:t>2</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宋体" w:hAnsi="宋体" w:eastAsia="宋体" w:cs="宋体"/>
                <w:i w:val="0"/>
                <w:iCs w:val="0"/>
                <w:color w:val="000000"/>
                <w:kern w:val="0"/>
                <w:sz w:val="32"/>
                <w:szCs w:val="32"/>
                <w:u w:val="none"/>
                <w:lang w:val="en-US" w:eastAsia="zh-CN" w:bidi="ar"/>
              </w:rPr>
              <w:t>2022</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富士施乐 P378dw</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10</w:t>
            </w:r>
          </w:p>
        </w:tc>
        <w:tc>
          <w:tcPr>
            <w:tcW w:w="1525" w:type="dxa"/>
            <w:vAlign w:val="center"/>
          </w:tcPr>
          <w:p>
            <w:pPr>
              <w:keepNext w:val="0"/>
              <w:keepLines w:val="0"/>
              <w:widowControl/>
              <w:suppressLineNumbers w:val="0"/>
              <w:jc w:val="center"/>
              <w:textAlignment w:val="center"/>
              <w:rPr>
                <w:rFonts w:hint="default" w:ascii="仿宋_GB2312" w:eastAsia="仿宋_GB2312"/>
                <w:lang w:val="en-US" w:eastAsia="zh-CN"/>
              </w:rPr>
            </w:pPr>
            <w:r>
              <w:rPr>
                <w:rFonts w:hint="eastAsia" w:ascii="仿宋" w:hAnsi="仿宋" w:eastAsia="仿宋" w:cs="仿宋"/>
                <w:i w:val="0"/>
                <w:iCs w:val="0"/>
                <w:color w:val="000000"/>
                <w:kern w:val="0"/>
                <w:sz w:val="28"/>
                <w:szCs w:val="28"/>
                <w:u w:val="none"/>
                <w:lang w:val="en-US" w:eastAsia="zh-CN" w:bidi="ar"/>
              </w:rPr>
              <w:t>A4彩色打印机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lang w:val="en-US" w:eastAsia="zh-CN"/>
              </w:rPr>
            </w:pPr>
            <w:r>
              <w:rPr>
                <w:rFonts w:hint="eastAsia" w:ascii="宋体" w:hAnsi="宋体" w:eastAsia="宋体" w:cs="宋体"/>
                <w:i w:val="0"/>
                <w:iCs w:val="0"/>
                <w:color w:val="000000"/>
                <w:kern w:val="0"/>
                <w:sz w:val="32"/>
                <w:szCs w:val="32"/>
                <w:u w:val="none"/>
                <w:lang w:val="en-US" w:eastAsia="zh-CN" w:bidi="ar"/>
              </w:rPr>
              <w:t>3</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仿宋" w:hAnsi="仿宋" w:eastAsia="仿宋" w:cs="仿宋"/>
                <w:i w:val="0"/>
                <w:iCs w:val="0"/>
                <w:color w:val="000000"/>
                <w:kern w:val="0"/>
                <w:sz w:val="28"/>
                <w:szCs w:val="28"/>
                <w:u w:val="none"/>
                <w:lang w:val="en-US" w:eastAsia="zh-CN" w:bidi="ar"/>
              </w:rPr>
              <w:t>2021</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富士施乐DocuCentre SC2022</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525" w:type="dxa"/>
            <w:vAlign w:val="center"/>
          </w:tcPr>
          <w:p>
            <w:pPr>
              <w:keepNext w:val="0"/>
              <w:keepLines w:val="0"/>
              <w:widowControl/>
              <w:suppressLineNumbers w:val="0"/>
              <w:jc w:val="center"/>
              <w:textAlignment w:val="center"/>
              <w:rPr>
                <w:rFonts w:hint="default" w:ascii="仿宋_GB2312" w:eastAsia="仿宋_GB2312"/>
                <w:lang w:val="en-US" w:eastAsia="zh-CN"/>
              </w:rPr>
            </w:pPr>
            <w:r>
              <w:rPr>
                <w:rFonts w:hint="eastAsia" w:ascii="仿宋" w:hAnsi="仿宋" w:eastAsia="仿宋" w:cs="仿宋"/>
                <w:i w:val="0"/>
                <w:iCs w:val="0"/>
                <w:color w:val="000000"/>
                <w:kern w:val="0"/>
                <w:sz w:val="28"/>
                <w:szCs w:val="28"/>
                <w:u w:val="none"/>
                <w:lang w:val="en-US" w:eastAsia="zh-CN" w:bidi="ar"/>
              </w:rPr>
              <w:t>A3彩色打印复印机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lang w:val="en-US" w:eastAsia="zh-CN"/>
              </w:rPr>
            </w:pPr>
            <w:r>
              <w:rPr>
                <w:rFonts w:hint="eastAsia" w:ascii="宋体" w:hAnsi="宋体" w:eastAsia="宋体" w:cs="宋体"/>
                <w:i w:val="0"/>
                <w:iCs w:val="0"/>
                <w:color w:val="000000"/>
                <w:kern w:val="0"/>
                <w:sz w:val="32"/>
                <w:szCs w:val="32"/>
                <w:u w:val="none"/>
                <w:lang w:val="en-US" w:eastAsia="zh-CN" w:bidi="ar"/>
              </w:rPr>
              <w:t>4</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仿宋" w:hAnsi="仿宋" w:eastAsia="仿宋" w:cs="仿宋"/>
                <w:i w:val="0"/>
                <w:iCs w:val="0"/>
                <w:color w:val="000000"/>
                <w:kern w:val="0"/>
                <w:sz w:val="28"/>
                <w:szCs w:val="28"/>
                <w:u w:val="none"/>
                <w:lang w:val="en-US" w:eastAsia="zh-CN" w:bidi="ar"/>
              </w:rPr>
              <w:t>2021</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富士施乐S2520NDA</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525" w:type="dxa"/>
            <w:vAlign w:val="center"/>
          </w:tcPr>
          <w:p>
            <w:pPr>
              <w:keepNext w:val="0"/>
              <w:keepLines w:val="0"/>
              <w:widowControl/>
              <w:suppressLineNumbers w:val="0"/>
              <w:jc w:val="center"/>
              <w:textAlignment w:val="center"/>
              <w:rPr>
                <w:rFonts w:hint="default" w:ascii="仿宋_GB2312" w:eastAsia="仿宋_GB2312"/>
                <w:lang w:val="en-US" w:eastAsia="zh-CN"/>
              </w:rPr>
            </w:pPr>
            <w:r>
              <w:rPr>
                <w:rFonts w:hint="eastAsia" w:ascii="仿宋" w:hAnsi="仿宋" w:eastAsia="仿宋" w:cs="仿宋"/>
                <w:i w:val="0"/>
                <w:iCs w:val="0"/>
                <w:color w:val="000000"/>
                <w:kern w:val="0"/>
                <w:sz w:val="28"/>
                <w:szCs w:val="28"/>
                <w:u w:val="none"/>
                <w:lang w:val="en-US" w:eastAsia="zh-CN" w:bidi="ar"/>
              </w:rPr>
              <w:t>A3黑白打印复印机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lang w:val="en-US" w:eastAsia="zh-CN"/>
              </w:rPr>
            </w:pPr>
            <w:r>
              <w:rPr>
                <w:rFonts w:hint="eastAsia" w:ascii="宋体" w:hAnsi="宋体" w:eastAsia="宋体" w:cs="宋体"/>
                <w:i w:val="0"/>
                <w:iCs w:val="0"/>
                <w:color w:val="000000"/>
                <w:kern w:val="0"/>
                <w:sz w:val="32"/>
                <w:szCs w:val="32"/>
                <w:u w:val="none"/>
                <w:lang w:val="en-US" w:eastAsia="zh-CN" w:bidi="ar"/>
              </w:rPr>
              <w:t>5</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仿宋" w:hAnsi="仿宋" w:eastAsia="仿宋" w:cs="仿宋"/>
                <w:i w:val="0"/>
                <w:iCs w:val="0"/>
                <w:color w:val="000000"/>
                <w:kern w:val="0"/>
                <w:sz w:val="28"/>
                <w:szCs w:val="28"/>
                <w:u w:val="none"/>
                <w:lang w:val="en-US" w:eastAsia="zh-CN" w:bidi="ar"/>
              </w:rPr>
              <w:t>2021</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映美FP-538K</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525" w:type="dxa"/>
            <w:vAlign w:val="center"/>
          </w:tcPr>
          <w:p>
            <w:pPr>
              <w:keepNext w:val="0"/>
              <w:keepLines w:val="0"/>
              <w:widowControl/>
              <w:suppressLineNumbers w:val="0"/>
              <w:jc w:val="center"/>
              <w:textAlignment w:val="center"/>
              <w:rPr>
                <w:rFonts w:hint="default" w:ascii="仿宋_GB2312" w:eastAsia="仿宋_GB2312"/>
                <w:lang w:val="en-US" w:eastAsia="zh-CN"/>
              </w:rPr>
            </w:pPr>
            <w:r>
              <w:rPr>
                <w:rFonts w:hint="eastAsia" w:ascii="仿宋" w:hAnsi="仿宋" w:eastAsia="仿宋" w:cs="仿宋"/>
                <w:i w:val="0"/>
                <w:iCs w:val="0"/>
                <w:color w:val="000000"/>
                <w:kern w:val="0"/>
                <w:sz w:val="28"/>
                <w:szCs w:val="28"/>
                <w:u w:val="none"/>
                <w:lang w:val="en-US" w:eastAsia="zh-CN" w:bidi="ar"/>
              </w:rPr>
              <w:t>针式打印机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仿宋_GB2312" w:eastAsia="仿宋_GB2312"/>
                <w:lang w:val="en-US" w:eastAsia="zh-CN"/>
              </w:rPr>
            </w:pPr>
            <w:r>
              <w:rPr>
                <w:rFonts w:hint="eastAsia" w:ascii="宋体" w:hAnsi="宋体" w:eastAsia="宋体" w:cs="宋体"/>
                <w:i w:val="0"/>
                <w:iCs w:val="0"/>
                <w:color w:val="000000"/>
                <w:kern w:val="0"/>
                <w:sz w:val="32"/>
                <w:szCs w:val="32"/>
                <w:u w:val="none"/>
                <w:lang w:val="en-US" w:eastAsia="zh-CN" w:bidi="ar"/>
              </w:rPr>
              <w:t>6</w:t>
            </w:r>
          </w:p>
        </w:tc>
        <w:tc>
          <w:tcPr>
            <w:tcW w:w="2520" w:type="dxa"/>
            <w:vAlign w:val="center"/>
          </w:tcPr>
          <w:p>
            <w:pPr>
              <w:keepNext w:val="0"/>
              <w:keepLines w:val="0"/>
              <w:widowControl/>
              <w:suppressLineNumbers w:val="0"/>
              <w:jc w:val="center"/>
              <w:textAlignment w:val="center"/>
              <w:rPr>
                <w:rFonts w:hint="eastAsia" w:ascii="仿宋_GB2312" w:eastAsia="仿宋_GB2312"/>
                <w:lang w:eastAsia="zh-CN"/>
              </w:rPr>
            </w:pPr>
            <w:r>
              <w:rPr>
                <w:rFonts w:hint="eastAsia" w:ascii="仿宋" w:hAnsi="仿宋" w:eastAsia="仿宋" w:cs="仿宋"/>
                <w:i w:val="0"/>
                <w:iCs w:val="0"/>
                <w:color w:val="000000"/>
                <w:kern w:val="0"/>
                <w:sz w:val="28"/>
                <w:szCs w:val="28"/>
                <w:u w:val="none"/>
                <w:lang w:val="en-US" w:eastAsia="zh-CN" w:bidi="ar"/>
              </w:rPr>
              <w:t>2021</w:t>
            </w:r>
          </w:p>
        </w:tc>
        <w:tc>
          <w:tcPr>
            <w:tcW w:w="1505"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得实DS-5400HPro</w:t>
            </w:r>
          </w:p>
        </w:tc>
        <w:tc>
          <w:tcPr>
            <w:tcW w:w="1890" w:type="dxa"/>
            <w:vAlign w:val="center"/>
          </w:tcPr>
          <w:p>
            <w:pPr>
              <w:keepNext w:val="0"/>
              <w:keepLines w:val="0"/>
              <w:widowControl/>
              <w:suppressLineNumbers w:val="0"/>
              <w:jc w:val="center"/>
              <w:textAlignment w:val="center"/>
              <w:rPr>
                <w:rFonts w:hint="default"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针式打印机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7</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2019</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惠普 color laserjet pro M452dn</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20</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A4彩色打印机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8</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2018</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联想 LJ2655dn</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40</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A4黑白打印机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9</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2018</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富士施乐DocuCentre SC2020</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12</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A3彩色打印复印机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10</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2018</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富士施乐DocuPrint M355 df</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15</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A4黑白打印复印机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11</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2017</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惠普 LaserJet M252dw</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73</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A4彩色打印机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12</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2016</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富士施乐Docu Print P268dw</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36</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A4黑白打印机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603"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宋体" w:hAnsi="宋体" w:eastAsia="宋体" w:cs="宋体"/>
                <w:i w:val="0"/>
                <w:iCs w:val="0"/>
                <w:color w:val="000000"/>
                <w:kern w:val="0"/>
                <w:sz w:val="32"/>
                <w:szCs w:val="32"/>
                <w:u w:val="none"/>
                <w:lang w:val="en-US" w:eastAsia="zh-CN" w:bidi="ar"/>
              </w:rPr>
              <w:t>13</w:t>
            </w:r>
          </w:p>
        </w:tc>
        <w:tc>
          <w:tcPr>
            <w:tcW w:w="2520" w:type="dxa"/>
            <w:vAlign w:val="center"/>
          </w:tcPr>
          <w:p>
            <w:pPr>
              <w:keepNext w:val="0"/>
              <w:keepLines w:val="0"/>
              <w:widowControl/>
              <w:suppressLineNumbers w:val="0"/>
              <w:jc w:val="center"/>
              <w:textAlignment w:val="center"/>
              <w:rPr>
                <w:rFonts w:hint="eastAsia" w:ascii="宋体" w:hAnsi="宋体"/>
                <w:sz w:val="24"/>
              </w:rPr>
            </w:pPr>
            <w:r>
              <w:rPr>
                <w:rFonts w:hint="eastAsia" w:ascii="仿宋" w:hAnsi="仿宋" w:eastAsia="仿宋" w:cs="仿宋"/>
                <w:i w:val="0"/>
                <w:iCs w:val="0"/>
                <w:color w:val="000000"/>
                <w:kern w:val="0"/>
                <w:sz w:val="28"/>
                <w:szCs w:val="28"/>
                <w:u w:val="none"/>
                <w:lang w:val="en-US" w:eastAsia="zh-CN" w:bidi="ar"/>
              </w:rPr>
              <w:t>2014</w:t>
            </w:r>
          </w:p>
        </w:tc>
        <w:tc>
          <w:tcPr>
            <w:tcW w:w="1505"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会议平板、液晶彩色电视</w:t>
            </w:r>
          </w:p>
        </w:tc>
        <w:tc>
          <w:tcPr>
            <w:tcW w:w="1890" w:type="dxa"/>
            <w:vAlign w:val="center"/>
          </w:tcPr>
          <w:p>
            <w:pPr>
              <w:keepNext w:val="0"/>
              <w:keepLines w:val="0"/>
              <w:widowControl/>
              <w:suppressLineNumbers w:val="0"/>
              <w:jc w:val="center"/>
              <w:textAlignment w:val="center"/>
              <w:rPr>
                <w:rFonts w:hint="eastAsia" w:ascii="宋体" w:hAnsi="宋体"/>
                <w:sz w:val="24"/>
                <w:lang w:val="en-US" w:eastAsia="zh-CN"/>
              </w:rPr>
            </w:pPr>
            <w:r>
              <w:rPr>
                <w:rFonts w:hint="eastAsia" w:ascii="仿宋" w:hAnsi="仿宋" w:eastAsia="仿宋" w:cs="仿宋"/>
                <w:i w:val="0"/>
                <w:iCs w:val="0"/>
                <w:color w:val="000000"/>
                <w:kern w:val="0"/>
                <w:sz w:val="28"/>
                <w:szCs w:val="28"/>
                <w:u w:val="none"/>
                <w:lang w:val="en-US" w:eastAsia="zh-CN" w:bidi="ar"/>
              </w:rPr>
              <w:t>5</w:t>
            </w:r>
          </w:p>
        </w:tc>
        <w:tc>
          <w:tcPr>
            <w:tcW w:w="1525" w:type="dxa"/>
            <w:vAlign w:val="center"/>
          </w:tcPr>
          <w:p>
            <w:pPr>
              <w:keepNext w:val="0"/>
              <w:keepLines w:val="0"/>
              <w:widowControl/>
              <w:suppressLineNumbers w:val="0"/>
              <w:jc w:val="center"/>
              <w:textAlignment w:val="center"/>
              <w:rPr>
                <w:rFonts w:hint="eastAsia" w:ascii="仿宋_GB2312" w:eastAsia="仿宋_GB2312"/>
              </w:rPr>
            </w:pPr>
            <w:r>
              <w:rPr>
                <w:rFonts w:hint="eastAsia" w:ascii="仿宋" w:hAnsi="仿宋" w:eastAsia="仿宋" w:cs="仿宋"/>
                <w:i w:val="0"/>
                <w:iCs w:val="0"/>
                <w:color w:val="000000"/>
                <w:kern w:val="0"/>
                <w:sz w:val="28"/>
                <w:szCs w:val="28"/>
                <w:u w:val="none"/>
                <w:lang w:val="en-US" w:eastAsia="zh-CN" w:bidi="ar"/>
              </w:rPr>
              <w:t>电视机</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2" w:firstLineChars="200"/>
        <w:jc w:val="both"/>
        <w:textAlignment w:val="auto"/>
        <w:outlineLvl w:val="9"/>
        <w:rPr>
          <w:rFonts w:hint="eastAsia" w:ascii="宋体" w:hAnsi="宋体" w:eastAsia="宋体" w:cs="宋体"/>
          <w:b/>
          <w:bCs/>
          <w:sz w:val="30"/>
          <w:szCs w:val="30"/>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2" w:firstLineChars="200"/>
        <w:jc w:val="both"/>
        <w:textAlignment w:val="auto"/>
        <w:outlineLvl w:val="9"/>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三、资格要求</w:t>
      </w:r>
    </w:p>
    <w:tbl>
      <w:tblPr>
        <w:tblStyle w:val="7"/>
        <w:tblW w:w="8702" w:type="dxa"/>
        <w:jc w:val="center"/>
        <w:tblLayout w:type="fixed"/>
        <w:tblCellMar>
          <w:top w:w="0" w:type="dxa"/>
          <w:left w:w="0" w:type="dxa"/>
          <w:bottom w:w="0" w:type="dxa"/>
          <w:right w:w="0" w:type="dxa"/>
        </w:tblCellMar>
      </w:tblPr>
      <w:tblGrid>
        <w:gridCol w:w="1188"/>
        <w:gridCol w:w="7514"/>
      </w:tblGrid>
      <w:tr>
        <w:tblPrEx>
          <w:tblCellMar>
            <w:top w:w="0" w:type="dxa"/>
            <w:left w:w="0" w:type="dxa"/>
            <w:bottom w:w="0" w:type="dxa"/>
            <w:right w:w="0" w:type="dxa"/>
          </w:tblCellMar>
        </w:tblPrEx>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Dialog" w:hAnsi="Dialog"/>
                <w:sz w:val="30"/>
                <w:szCs w:val="30"/>
              </w:rPr>
            </w:pPr>
            <w:r>
              <w:rPr>
                <w:rFonts w:hint="eastAsia" w:ascii="宋体" w:hAnsi="宋体" w:eastAsia="宋体" w:cs="宋体"/>
                <w:sz w:val="30"/>
                <w:szCs w:val="30"/>
                <w:lang w:eastAsia="zh-CN"/>
              </w:rPr>
              <w:t>（一）通用资格</w:t>
            </w:r>
            <w:r>
              <w:rPr>
                <w:rFonts w:hint="eastAsia" w:ascii="宋体" w:hAnsi="宋体" w:eastAsia="宋体" w:cs="宋体"/>
                <w:sz w:val="30"/>
                <w:szCs w:val="30"/>
              </w:rPr>
              <w:t>：</w:t>
            </w:r>
          </w:p>
        </w:tc>
      </w:tr>
      <w:tr>
        <w:tblPrEx>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b/>
                <w:sz w:val="30"/>
                <w:szCs w:val="30"/>
              </w:rPr>
              <w:t>内容</w:t>
            </w:r>
          </w:p>
        </w:tc>
      </w:tr>
      <w:tr>
        <w:tblPrEx>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在中华人民共和国境内注册，具备独立法人资格，持有合法有效的法人证书（或法人身份证明文件）。</w:t>
            </w:r>
          </w:p>
        </w:tc>
      </w:tr>
      <w:tr>
        <w:tblPrEx>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ascii="Dialog" w:hAnsi="Dialog"/>
                <w:sz w:val="28"/>
                <w:szCs w:val="28"/>
              </w:rPr>
              <w:t>具有良好的社会信誉，在最近三年内没有骗取中标（隐瞒或提供虚假资料等）行为和严重违法、违约记录。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Dialog" w:hAnsi="Dialog"/>
                <w:sz w:val="30"/>
                <w:szCs w:val="30"/>
              </w:rPr>
            </w:pPr>
            <w:r>
              <w:rPr>
                <w:rFonts w:ascii="Dialog" w:hAnsi="Dialog"/>
                <w:sz w:val="30"/>
                <w:szCs w:val="30"/>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ascii="Dialog" w:hAnsi="Dialog"/>
                <w:sz w:val="28"/>
                <w:szCs w:val="28"/>
              </w:rPr>
            </w:pPr>
            <w:r>
              <w:rPr>
                <w:rFonts w:hint="eastAsia" w:ascii="Dialog" w:hAnsi="Dialog"/>
                <w:sz w:val="28"/>
                <w:szCs w:val="28"/>
                <w:lang w:eastAsia="zh-CN"/>
              </w:rPr>
              <w:t>报价供应商</w:t>
            </w:r>
            <w:r>
              <w:rPr>
                <w:rFonts w:hint="eastAsia" w:ascii="Dialog" w:hAnsi="Dialog"/>
                <w:sz w:val="28"/>
                <w:szCs w:val="28"/>
              </w:rPr>
              <w:t>具有良好信誉，在以往经营中无任何</w:t>
            </w:r>
            <w:r>
              <w:rPr>
                <w:rFonts w:hint="eastAsia" w:ascii="Dialog" w:hAnsi="Dialog"/>
                <w:sz w:val="28"/>
                <w:szCs w:val="28"/>
                <w:lang w:eastAsia="zh-CN"/>
              </w:rPr>
              <w:t>质量</w:t>
            </w:r>
            <w:r>
              <w:rPr>
                <w:rFonts w:hint="eastAsia" w:ascii="Dialog" w:hAnsi="Dialog"/>
                <w:sz w:val="28"/>
                <w:szCs w:val="28"/>
              </w:rPr>
              <w:t>、安全等方面的不良记录。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Dialog" w:hAnsi="Dialog" w:eastAsia="宋体"/>
                <w:sz w:val="30"/>
                <w:szCs w:val="30"/>
                <w:lang w:val="en-US" w:eastAsia="zh-CN"/>
              </w:rPr>
            </w:pPr>
            <w:r>
              <w:rPr>
                <w:rFonts w:hint="eastAsia" w:ascii="Dialog" w:hAnsi="Dialog"/>
                <w:sz w:val="30"/>
                <w:szCs w:val="30"/>
                <w:lang w:val="en-US" w:eastAsia="zh-CN"/>
              </w:rPr>
              <w:t>4</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Dialog" w:hAnsi="Dialog"/>
                <w:sz w:val="28"/>
                <w:szCs w:val="28"/>
                <w:lang w:eastAsia="zh-CN"/>
              </w:rPr>
            </w:pPr>
            <w:r>
              <w:rPr>
                <w:rFonts w:hint="eastAsia" w:ascii="Dialog" w:hAnsi="Dialog"/>
                <w:sz w:val="28"/>
                <w:szCs w:val="28"/>
              </w:rPr>
              <w:t>列入南方电网有限责任公司黑名单供应商，不得对其进行采购。</w:t>
            </w:r>
          </w:p>
        </w:tc>
      </w:tr>
    </w:tbl>
    <w:p>
      <w:pPr>
        <w:keepNext w:val="0"/>
        <w:keepLines w:val="0"/>
        <w:pageBreakBefore w:val="0"/>
        <w:widowControl w:val="0"/>
        <w:kinsoku/>
        <w:wordWrap/>
        <w:overflowPunct/>
        <w:topLinePunct w:val="0"/>
        <w:autoSpaceDE/>
        <w:autoSpaceDN/>
        <w:bidi w:val="0"/>
        <w:adjustRightInd/>
        <w:snapToGrid/>
        <w:spacing w:line="580" w:lineRule="exact"/>
        <w:ind w:left="0" w:firstLine="600" w:firstLineChars="200"/>
        <w:jc w:val="both"/>
        <w:textAlignment w:val="auto"/>
        <w:outlineLvl w:val="9"/>
        <w:rPr>
          <w:rFonts w:hint="eastAsia" w:ascii="宋体" w:hAnsi="宋体" w:eastAsia="宋体" w:cs="宋体"/>
          <w:b w:val="0"/>
          <w:bCs w:val="0"/>
          <w:sz w:val="30"/>
          <w:szCs w:val="30"/>
        </w:rPr>
      </w:pPr>
      <w:r>
        <w:rPr>
          <w:rFonts w:hint="eastAsia" w:ascii="宋体" w:hAnsi="宋体" w:eastAsia="宋体" w:cs="宋体"/>
          <w:b w:val="0"/>
          <w:bCs w:val="0"/>
          <w:sz w:val="30"/>
          <w:szCs w:val="30"/>
          <w:lang w:eastAsia="zh-CN"/>
        </w:rPr>
        <w:t>（</w:t>
      </w:r>
      <w:r>
        <w:rPr>
          <w:rFonts w:hint="eastAsia" w:ascii="宋体" w:hAnsi="宋体" w:cs="宋体"/>
          <w:b w:val="0"/>
          <w:bCs w:val="0"/>
          <w:sz w:val="30"/>
          <w:szCs w:val="30"/>
          <w:lang w:eastAsia="zh-CN"/>
        </w:rPr>
        <w:t>二</w:t>
      </w:r>
      <w:r>
        <w:rPr>
          <w:rFonts w:hint="eastAsia" w:ascii="宋体" w:hAnsi="宋体" w:eastAsia="宋体" w:cs="宋体"/>
          <w:b w:val="0"/>
          <w:bCs w:val="0"/>
          <w:sz w:val="30"/>
          <w:szCs w:val="30"/>
          <w:lang w:eastAsia="zh-CN"/>
        </w:rPr>
        <w:t>）服务</w:t>
      </w:r>
      <w:r>
        <w:rPr>
          <w:rFonts w:hint="eastAsia" w:ascii="宋体" w:hAnsi="宋体" w:cs="宋体"/>
          <w:b w:val="0"/>
          <w:bCs w:val="0"/>
          <w:sz w:val="30"/>
          <w:szCs w:val="30"/>
          <w:lang w:eastAsia="zh-CN"/>
        </w:rPr>
        <w:t>地点及</w:t>
      </w:r>
      <w:r>
        <w:rPr>
          <w:rFonts w:hint="eastAsia" w:ascii="宋体" w:hAnsi="宋体" w:eastAsia="宋体" w:cs="宋体"/>
          <w:b w:val="0"/>
          <w:bCs w:val="0"/>
          <w:sz w:val="30"/>
          <w:szCs w:val="30"/>
          <w:lang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02" w:firstLineChars="200"/>
        <w:jc w:val="both"/>
        <w:textAlignment w:val="auto"/>
        <w:outlineLvl w:val="9"/>
        <w:rPr>
          <w:rFonts w:hint="eastAsia" w:ascii="宋体" w:hAnsi="宋体"/>
          <w:sz w:val="28"/>
          <w:szCs w:val="28"/>
        </w:rPr>
      </w:pPr>
      <w:r>
        <w:rPr>
          <w:rFonts w:hint="eastAsia" w:ascii="宋体" w:hAnsi="宋体" w:eastAsia="宋体" w:cs="宋体"/>
          <w:b/>
          <w:bCs/>
          <w:sz w:val="30"/>
          <w:szCs w:val="30"/>
          <w:lang w:eastAsia="zh-CN"/>
        </w:rPr>
        <w:t>服务</w:t>
      </w:r>
      <w:r>
        <w:rPr>
          <w:rFonts w:hint="eastAsia" w:ascii="宋体" w:hAnsi="宋体" w:cs="宋体"/>
          <w:b/>
          <w:bCs/>
          <w:sz w:val="30"/>
          <w:szCs w:val="30"/>
          <w:lang w:eastAsia="zh-CN"/>
        </w:rPr>
        <w:t>地点：</w:t>
      </w:r>
      <w:r>
        <w:rPr>
          <w:rFonts w:hint="eastAsia" w:ascii="宋体" w:hAnsi="宋体"/>
          <w:color w:val="auto"/>
          <w:sz w:val="28"/>
          <w:szCs w:val="28"/>
          <w:highlight w:val="none"/>
          <w:lang w:eastAsia="zh-CN"/>
        </w:rPr>
        <w:t>在临高供电局生产调度大楼办公地点、临城服务中心（含美台地区）、加来服务中心、多文服务中心、新盈服务中心（含调楼地区）以及博厚服务中心等办公设备进行运维、保养等服务，按照临高县城地区（含美台）服务响应时间为</w:t>
      </w:r>
      <w:r>
        <w:rPr>
          <w:rFonts w:hint="eastAsia" w:ascii="宋体" w:hAnsi="宋体"/>
          <w:color w:val="auto"/>
          <w:sz w:val="28"/>
          <w:szCs w:val="28"/>
          <w:highlight w:val="none"/>
          <w:lang w:val="en-US" w:eastAsia="zh-CN"/>
        </w:rPr>
        <w:t>45分钟内到场，各乡镇地区为1小时内到场</w:t>
      </w:r>
      <w:r>
        <w:rPr>
          <w:rFonts w:hint="eastAsia" w:ascii="宋体" w:hAnsi="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02" w:firstLineChars="200"/>
        <w:jc w:val="both"/>
        <w:textAlignment w:val="auto"/>
        <w:outlineLvl w:val="9"/>
        <w:rPr>
          <w:rFonts w:hint="eastAsia" w:ascii="宋体" w:hAnsi="宋体" w:cs="宋体"/>
          <w:b/>
          <w:bCs/>
          <w:sz w:val="30"/>
          <w:szCs w:val="30"/>
          <w:lang w:eastAsia="zh-CN"/>
        </w:rPr>
      </w:pPr>
      <w:r>
        <w:rPr>
          <w:rFonts w:hint="eastAsia" w:ascii="宋体" w:hAnsi="宋体" w:eastAsia="宋体" w:cs="宋体"/>
          <w:b/>
          <w:bCs/>
          <w:sz w:val="30"/>
          <w:szCs w:val="30"/>
          <w:lang w:eastAsia="zh-CN"/>
        </w:rPr>
        <w:t>服务</w:t>
      </w:r>
      <w:r>
        <w:rPr>
          <w:rFonts w:hint="eastAsia" w:ascii="宋体" w:hAnsi="宋体" w:cs="宋体"/>
          <w:b/>
          <w:bCs/>
          <w:sz w:val="30"/>
          <w:szCs w:val="30"/>
          <w:lang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设备维修保养后，对设备试运行正常，且</w:t>
      </w:r>
      <w:r>
        <w:rPr>
          <w:rFonts w:hint="eastAsia" w:ascii="宋体" w:hAnsi="宋体"/>
          <w:color w:val="auto"/>
          <w:sz w:val="28"/>
          <w:szCs w:val="28"/>
          <w:highlight w:val="none"/>
          <w:lang w:eastAsia="zh-CN"/>
        </w:rPr>
        <w:t>维修及更换过的零配件提供</w:t>
      </w:r>
      <w:r>
        <w:rPr>
          <w:rFonts w:hint="eastAsia" w:ascii="宋体" w:hAnsi="宋体"/>
          <w:color w:val="auto"/>
          <w:sz w:val="28"/>
          <w:szCs w:val="28"/>
          <w:highlight w:val="none"/>
          <w:lang w:val="en-US" w:eastAsia="zh-CN"/>
        </w:rPr>
        <w:t>3个月质保。</w:t>
      </w:r>
    </w:p>
    <w:p>
      <w:pPr>
        <w:keepNext w:val="0"/>
        <w:keepLines w:val="0"/>
        <w:pageBreakBefore w:val="0"/>
        <w:widowControl w:val="0"/>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四、采购方式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z w:val="32"/>
          <w:szCs w:val="32"/>
        </w:rPr>
      </w:pPr>
      <w:r>
        <w:rPr>
          <w:rFonts w:hint="eastAsia" w:ascii="宋体" w:hAnsi="宋体" w:eastAsia="宋体" w:cs="宋体"/>
          <w:sz w:val="32"/>
          <w:szCs w:val="32"/>
        </w:rPr>
        <w:t>（</w:t>
      </w:r>
      <w:r>
        <w:rPr>
          <w:rFonts w:hint="eastAsia" w:ascii="宋体" w:hAnsi="宋体" w:eastAsia="宋体" w:cs="宋体"/>
          <w:sz w:val="32"/>
          <w:szCs w:val="32"/>
          <w:lang w:eastAsia="zh-CN"/>
        </w:rPr>
        <w:t>一</w:t>
      </w:r>
      <w:r>
        <w:rPr>
          <w:rFonts w:hint="eastAsia" w:ascii="宋体" w:hAnsi="宋体" w:eastAsia="宋体" w:cs="宋体"/>
          <w:sz w:val="32"/>
          <w:szCs w:val="32"/>
        </w:rPr>
        <w:t>）</w:t>
      </w:r>
      <w:r>
        <w:rPr>
          <w:rFonts w:hint="eastAsia" w:ascii="宋体" w:hAnsi="宋体" w:eastAsia="宋体" w:cs="宋体"/>
          <w:sz w:val="32"/>
          <w:szCs w:val="32"/>
          <w:lang w:eastAsia="zh-CN"/>
        </w:rPr>
        <w:t>中国南方电网供应链统一服务平台零星采购公告</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z w:val="32"/>
          <w:szCs w:val="32"/>
          <w:lang w:eastAsia="zh-CN"/>
        </w:rPr>
      </w:pPr>
      <w:r>
        <w:rPr>
          <w:rFonts w:hint="eastAsia" w:ascii="宋体" w:hAnsi="宋体" w:eastAsia="宋体" w:cs="宋体"/>
          <w:sz w:val="32"/>
          <w:szCs w:val="32"/>
        </w:rPr>
        <w:t>（</w:t>
      </w:r>
      <w:r>
        <w:rPr>
          <w:rFonts w:hint="eastAsia" w:ascii="宋体" w:hAnsi="宋体" w:cs="宋体"/>
          <w:sz w:val="32"/>
          <w:szCs w:val="32"/>
          <w:lang w:eastAsia="zh-CN"/>
        </w:rPr>
        <w:t>二</w:t>
      </w:r>
      <w:r>
        <w:rPr>
          <w:rFonts w:hint="eastAsia" w:ascii="宋体" w:hAnsi="宋体" w:eastAsia="宋体" w:cs="宋体"/>
          <w:sz w:val="32"/>
          <w:szCs w:val="32"/>
        </w:rPr>
        <w:t>）</w:t>
      </w:r>
      <w:r>
        <w:rPr>
          <w:rFonts w:hint="eastAsia" w:ascii="宋体" w:hAnsi="宋体" w:eastAsia="宋体" w:cs="宋体"/>
          <w:sz w:val="32"/>
          <w:szCs w:val="32"/>
          <w:lang w:eastAsia="zh-CN"/>
        </w:rPr>
        <w:t>报价时间及要求：</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z w:val="32"/>
          <w:szCs w:val="32"/>
          <w:lang w:val="en-US" w:eastAsia="zh-CN"/>
        </w:rPr>
        <w:t>1．</w:t>
      </w:r>
      <w:r>
        <w:rPr>
          <w:rFonts w:hint="eastAsia" w:ascii="宋体" w:hAnsi="宋体" w:eastAsia="宋体" w:cs="宋体"/>
          <w:sz w:val="32"/>
          <w:szCs w:val="32"/>
          <w:lang w:eastAsia="zh-CN"/>
        </w:rPr>
        <w:t>报价起始：</w:t>
      </w:r>
      <w:r>
        <w:rPr>
          <w:rFonts w:hint="eastAsia" w:ascii="宋体" w:hAnsi="宋体" w:cs="宋体"/>
          <w:sz w:val="32"/>
          <w:szCs w:val="32"/>
          <w:lang w:val="en-US" w:eastAsia="zh-CN"/>
        </w:rPr>
        <w:t>按照公告发布时间为准</w:t>
      </w:r>
      <w:r>
        <w:rPr>
          <w:rFonts w:hint="eastAsia" w:ascii="宋体" w:hAnsi="宋体" w:eastAsia="宋体" w:cs="宋体"/>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r>
        <w:rPr>
          <w:rFonts w:hint="eastAsia" w:ascii="宋体" w:hAnsi="宋体" w:eastAsia="宋体" w:cs="宋体"/>
          <w:snapToGrid w:val="0"/>
          <w:color w:val="000000"/>
          <w:kern w:val="0"/>
          <w:sz w:val="32"/>
          <w:szCs w:val="32"/>
          <w:lang w:val="en-US" w:eastAsia="zh-CN"/>
        </w:rPr>
        <w:t>2．报价要求：</w:t>
      </w:r>
      <w:r>
        <w:rPr>
          <w:rFonts w:hint="eastAsia" w:ascii="宋体" w:hAnsi="宋体" w:cs="宋体"/>
          <w:snapToGrid w:val="0"/>
          <w:color w:val="000000"/>
          <w:kern w:val="0"/>
          <w:sz w:val="32"/>
          <w:szCs w:val="32"/>
          <w:lang w:eastAsia="zh-CN"/>
        </w:rPr>
        <w:t>响应文件要满足资格要求和服务要求，报价低于下浮</w:t>
      </w:r>
      <w:r>
        <w:rPr>
          <w:rFonts w:hint="eastAsia" w:ascii="宋体" w:hAnsi="宋体" w:cs="宋体"/>
          <w:snapToGrid w:val="0"/>
          <w:color w:val="000000"/>
          <w:kern w:val="0"/>
          <w:sz w:val="32"/>
          <w:szCs w:val="32"/>
          <w:lang w:val="en-US" w:eastAsia="zh-CN"/>
        </w:rPr>
        <w:t>10%（含本数）的，要附上成本分析</w:t>
      </w:r>
      <w:r>
        <w:rPr>
          <w:rFonts w:hint="eastAsia" w:ascii="宋体" w:hAnsi="宋体" w:eastAsia="宋体" w:cs="宋体"/>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宋体" w:hAnsi="宋体" w:eastAsia="宋体" w:cs="宋体"/>
          <w:b/>
          <w:bCs/>
          <w:snapToGrid w:val="0"/>
          <w:color w:val="000000"/>
          <w:kern w:val="0"/>
          <w:sz w:val="32"/>
          <w:szCs w:val="32"/>
          <w:lang w:eastAsia="zh-CN"/>
        </w:rPr>
      </w:pPr>
      <w:r>
        <w:rPr>
          <w:rFonts w:hint="eastAsia" w:ascii="宋体" w:hAnsi="宋体" w:eastAsia="宋体" w:cs="宋体"/>
          <w:b/>
          <w:bCs/>
          <w:sz w:val="32"/>
          <w:szCs w:val="32"/>
          <w:lang w:eastAsia="zh-CN"/>
        </w:rPr>
        <w:t>五、供应</w:t>
      </w:r>
      <w:r>
        <w:rPr>
          <w:rFonts w:hint="eastAsia" w:ascii="宋体" w:hAnsi="宋体" w:eastAsia="宋体" w:cs="宋体"/>
          <w:b/>
          <w:bCs/>
          <w:snapToGrid w:val="0"/>
          <w:color w:val="000000"/>
          <w:kern w:val="0"/>
          <w:sz w:val="32"/>
          <w:szCs w:val="32"/>
          <w:lang w:eastAsia="zh-CN"/>
        </w:rPr>
        <w:t>商确认方式</w:t>
      </w:r>
    </w:p>
    <w:p>
      <w:pPr>
        <w:keepNext w:val="0"/>
        <w:keepLines w:val="0"/>
        <w:pageBreakBefore w:val="0"/>
        <w:widowControl w:val="0"/>
        <w:kinsoku/>
        <w:wordWrap/>
        <w:overflowPunct/>
        <w:topLinePunct w:val="0"/>
        <w:autoSpaceDE/>
        <w:autoSpaceDN/>
        <w:bidi w:val="0"/>
        <w:adjustRightInd/>
        <w:snapToGrid/>
        <w:spacing w:line="580" w:lineRule="exact"/>
        <w:ind w:left="0" w:firstLine="600" w:firstLineChars="200"/>
        <w:jc w:val="both"/>
        <w:textAlignment w:val="auto"/>
        <w:outlineLvl w:val="9"/>
        <w:rPr>
          <w:rFonts w:hint="eastAsia" w:ascii="宋体" w:hAnsi="宋体" w:eastAsia="宋体" w:cs="宋体"/>
          <w:snapToGrid w:val="0"/>
          <w:color w:val="000000"/>
          <w:kern w:val="0"/>
          <w:sz w:val="30"/>
          <w:szCs w:val="30"/>
          <w:lang w:eastAsia="zh-CN"/>
        </w:rPr>
      </w:pPr>
      <w:r>
        <w:rPr>
          <w:rFonts w:hint="eastAsia" w:ascii="宋体" w:hAnsi="宋体" w:eastAsia="宋体" w:cs="宋体"/>
          <w:snapToGrid w:val="0"/>
          <w:color w:val="000000"/>
          <w:kern w:val="0"/>
          <w:sz w:val="30"/>
          <w:szCs w:val="30"/>
          <w:lang w:eastAsia="zh-CN"/>
        </w:rPr>
        <w:t>（一）评审与推荐原则</w:t>
      </w:r>
    </w:p>
    <w:p>
      <w:pPr>
        <w:keepNext w:val="0"/>
        <w:keepLines w:val="0"/>
        <w:pageBreakBefore w:val="0"/>
        <w:widowControl w:val="0"/>
        <w:kinsoku/>
        <w:wordWrap/>
        <w:overflowPunct/>
        <w:topLinePunct w:val="0"/>
        <w:autoSpaceDE/>
        <w:autoSpaceDN/>
        <w:bidi w:val="0"/>
        <w:adjustRightInd/>
        <w:snapToGrid/>
        <w:spacing w:line="580" w:lineRule="exact"/>
        <w:ind w:left="0" w:firstLine="600" w:firstLineChars="200"/>
        <w:jc w:val="both"/>
        <w:textAlignment w:val="auto"/>
        <w:outlineLvl w:val="9"/>
        <w:rPr>
          <w:rFonts w:hint="eastAsia" w:ascii="宋体" w:hAnsi="宋体" w:eastAsia="宋体" w:cs="宋体"/>
          <w:snapToGrid w:val="0"/>
          <w:color w:val="000000"/>
          <w:kern w:val="0"/>
          <w:sz w:val="30"/>
          <w:szCs w:val="30"/>
          <w:lang w:eastAsia="zh-CN"/>
        </w:rPr>
      </w:pPr>
      <w:r>
        <w:rPr>
          <w:rFonts w:hint="eastAsia" w:ascii="宋体" w:hAnsi="宋体" w:eastAsia="宋体" w:cs="宋体"/>
          <w:snapToGrid w:val="0"/>
          <w:color w:val="000000"/>
          <w:kern w:val="0"/>
          <w:sz w:val="30"/>
          <w:szCs w:val="30"/>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80" w:lineRule="exact"/>
        <w:ind w:left="0" w:firstLine="600" w:firstLineChars="200"/>
        <w:jc w:val="both"/>
        <w:textAlignment w:val="auto"/>
        <w:outlineLvl w:val="9"/>
        <w:rPr>
          <w:rFonts w:hint="eastAsia" w:ascii="宋体" w:hAnsi="宋体" w:eastAsia="宋体" w:cs="宋体"/>
          <w:snapToGrid w:val="0"/>
          <w:color w:val="000000"/>
          <w:kern w:val="0"/>
          <w:sz w:val="30"/>
          <w:szCs w:val="30"/>
          <w:lang w:eastAsia="zh-CN"/>
        </w:rPr>
      </w:pPr>
      <w:r>
        <w:rPr>
          <w:rFonts w:hint="eastAsia" w:ascii="宋体" w:hAnsi="宋体" w:eastAsia="宋体" w:cs="宋体"/>
          <w:snapToGrid w:val="0"/>
          <w:color w:val="000000"/>
          <w:kern w:val="0"/>
          <w:sz w:val="30"/>
          <w:szCs w:val="30"/>
          <w:lang w:eastAsia="zh-CN"/>
        </w:rPr>
        <w:t>（二）成交标准</w:t>
      </w:r>
    </w:p>
    <w:p>
      <w:pPr>
        <w:keepNext w:val="0"/>
        <w:keepLines w:val="0"/>
        <w:pageBreakBefore w:val="0"/>
        <w:widowControl w:val="0"/>
        <w:kinsoku/>
        <w:wordWrap/>
        <w:overflowPunct/>
        <w:topLinePunct w:val="0"/>
        <w:autoSpaceDE/>
        <w:autoSpaceDN/>
        <w:bidi w:val="0"/>
        <w:adjustRightInd/>
        <w:snapToGrid/>
        <w:spacing w:line="580" w:lineRule="exact"/>
        <w:ind w:left="0" w:firstLine="600" w:firstLineChars="200"/>
        <w:jc w:val="both"/>
        <w:textAlignment w:val="auto"/>
        <w:outlineLvl w:val="9"/>
        <w:rPr>
          <w:rFonts w:hint="eastAsia" w:ascii="宋体" w:hAnsi="宋体" w:eastAsia="宋体" w:cs="宋体"/>
          <w:snapToGrid w:val="0"/>
          <w:color w:val="000000"/>
          <w:kern w:val="0"/>
          <w:sz w:val="30"/>
          <w:szCs w:val="30"/>
          <w:lang w:eastAsia="zh-CN"/>
        </w:rPr>
      </w:pPr>
      <w:r>
        <w:rPr>
          <w:rFonts w:hint="eastAsia" w:ascii="宋体" w:hAnsi="宋体" w:eastAsia="宋体" w:cs="宋体"/>
          <w:snapToGrid w:val="0"/>
          <w:color w:val="000000"/>
          <w:kern w:val="0"/>
          <w:sz w:val="30"/>
          <w:szCs w:val="30"/>
          <w:lang w:eastAsia="zh-CN"/>
        </w:rPr>
        <w:t>采购方将充分考虑成交候选人的服务能力和必要的、合适的资料，来确定该成交候选人是否有能力合格地履行合同义务，并确定最终成交单位。签订书面合同前，如果供应商正实施的项目出现事故，采购人将有权取消该供应商的成交资格。</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宋体" w:hAnsi="宋体" w:eastAsia="宋体" w:cs="宋体"/>
          <w:snapToGrid w:val="0"/>
          <w:color w:val="000000"/>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center"/>
        <w:textAlignment w:val="auto"/>
        <w:outlineLvl w:val="9"/>
        <w:rPr>
          <w:rFonts w:hint="eastAsia" w:ascii="宋体" w:hAnsi="宋体" w:eastAsia="宋体" w:cs="宋体"/>
          <w:sz w:val="32"/>
          <w:szCs w:val="32"/>
          <w:lang w:eastAsia="zh-CN"/>
        </w:rPr>
      </w:pPr>
      <w:r>
        <w:rPr>
          <w:rFonts w:hint="eastAsia" w:ascii="宋体" w:hAnsi="宋体" w:eastAsia="宋体" w:cs="宋体"/>
          <w:sz w:val="32"/>
          <w:szCs w:val="32"/>
          <w:lang w:val="en-US" w:eastAsia="zh-CN"/>
        </w:rPr>
        <w:t xml:space="preserve">          </w:t>
      </w:r>
      <w:r>
        <w:rPr>
          <w:rFonts w:hint="eastAsia" w:ascii="宋体" w:hAnsi="宋体" w:cs="宋体"/>
          <w:sz w:val="32"/>
          <w:szCs w:val="32"/>
          <w:lang w:val="en-US" w:eastAsia="zh-CN"/>
        </w:rPr>
        <w:t xml:space="preserve">     </w:t>
      </w:r>
      <w:r>
        <w:rPr>
          <w:rFonts w:hint="eastAsia" w:ascii="宋体" w:hAnsi="宋体" w:eastAsia="宋体" w:cs="宋体"/>
          <w:sz w:val="32"/>
          <w:szCs w:val="32"/>
          <w:lang w:val="en-US" w:eastAsia="zh-CN"/>
        </w:rPr>
        <w:t xml:space="preserve"> </w:t>
      </w:r>
      <w:r>
        <w:rPr>
          <w:rFonts w:hint="eastAsia" w:ascii="宋体" w:hAnsi="宋体" w:cs="宋体"/>
          <w:sz w:val="32"/>
          <w:szCs w:val="32"/>
          <w:lang w:eastAsia="zh-CN"/>
        </w:rPr>
        <w:t>临高</w:t>
      </w:r>
      <w:r>
        <w:rPr>
          <w:rFonts w:hint="eastAsia" w:ascii="宋体" w:hAnsi="宋体" w:eastAsia="宋体" w:cs="宋体"/>
          <w:sz w:val="32"/>
          <w:szCs w:val="32"/>
          <w:lang w:eastAsia="zh-CN"/>
        </w:rPr>
        <w:t>供电局</w:t>
      </w:r>
      <w:r>
        <w:rPr>
          <w:rFonts w:hint="eastAsia" w:ascii="宋体" w:hAnsi="宋体" w:cs="宋体"/>
          <w:sz w:val="32"/>
          <w:szCs w:val="32"/>
          <w:lang w:eastAsia="zh-CN"/>
        </w:rPr>
        <w:t>办公室</w:t>
      </w:r>
    </w:p>
    <w:p>
      <w:pPr>
        <w:keepNext w:val="0"/>
        <w:keepLines w:val="0"/>
        <w:pageBreakBefore w:val="0"/>
        <w:widowControl w:val="0"/>
        <w:tabs>
          <w:tab w:val="left" w:pos="6720"/>
        </w:tabs>
        <w:kinsoku/>
        <w:wordWrap/>
        <w:overflowPunct/>
        <w:topLinePunct w:val="0"/>
        <w:autoSpaceDE/>
        <w:autoSpaceDN/>
        <w:bidi w:val="0"/>
        <w:adjustRightInd/>
        <w:snapToGrid/>
        <w:spacing w:line="580" w:lineRule="exact"/>
        <w:ind w:firstLine="4480" w:firstLineChars="1400"/>
        <w:jc w:val="left"/>
        <w:textAlignment w:val="auto"/>
        <w:outlineLvl w:val="9"/>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2</w:t>
      </w:r>
      <w:r>
        <w:rPr>
          <w:rFonts w:hint="eastAsia" w:ascii="宋体" w:hAnsi="宋体" w:eastAsia="宋体" w:cs="宋体"/>
          <w:sz w:val="32"/>
          <w:szCs w:val="32"/>
        </w:rPr>
        <w:t>02</w:t>
      </w:r>
      <w:r>
        <w:rPr>
          <w:rFonts w:hint="eastAsia" w:ascii="宋体" w:hAnsi="宋体" w:cs="宋体"/>
          <w:sz w:val="32"/>
          <w:szCs w:val="32"/>
          <w:lang w:val="en-US" w:eastAsia="zh-CN"/>
        </w:rPr>
        <w:t>4</w:t>
      </w:r>
      <w:r>
        <w:rPr>
          <w:rFonts w:hint="eastAsia" w:ascii="宋体" w:hAnsi="宋体" w:eastAsia="宋体" w:cs="宋体"/>
          <w:sz w:val="32"/>
          <w:szCs w:val="32"/>
        </w:rPr>
        <w:t>年</w:t>
      </w:r>
      <w:r>
        <w:rPr>
          <w:rFonts w:hint="eastAsia" w:ascii="宋体" w:hAnsi="宋体" w:cs="宋体"/>
          <w:sz w:val="32"/>
          <w:szCs w:val="32"/>
          <w:lang w:val="en-US" w:eastAsia="zh-CN"/>
        </w:rPr>
        <w:t>4</w:t>
      </w:r>
      <w:r>
        <w:rPr>
          <w:rFonts w:hint="eastAsia" w:ascii="宋体" w:hAnsi="宋体" w:eastAsia="宋体" w:cs="宋体"/>
          <w:sz w:val="32"/>
          <w:szCs w:val="32"/>
        </w:rPr>
        <w:t>月</w:t>
      </w:r>
      <w:r>
        <w:rPr>
          <w:rFonts w:hint="eastAsia" w:ascii="宋体" w:hAnsi="宋体" w:cs="宋体"/>
          <w:sz w:val="32"/>
          <w:szCs w:val="32"/>
          <w:lang w:val="en-US" w:eastAsia="zh-CN"/>
        </w:rPr>
        <w:t>8</w:t>
      </w:r>
      <w:r>
        <w:rPr>
          <w:rFonts w:hint="eastAsia" w:ascii="宋体" w:hAnsi="宋体" w:eastAsia="宋体" w:cs="宋体"/>
          <w:sz w:val="32"/>
          <w:szCs w:val="32"/>
        </w:rPr>
        <w:t>日</w:t>
      </w:r>
      <w:r>
        <w:rPr>
          <w:rFonts w:hint="eastAsia" w:ascii="宋体" w:hAnsi="宋体" w:eastAsia="宋体" w:cs="宋体"/>
          <w:sz w:val="32"/>
          <w:szCs w:val="32"/>
          <w:lang w:val="en-US" w:eastAsia="zh-CN"/>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ialog">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BF380D"/>
    <w:rsid w:val="00550AAC"/>
    <w:rsid w:val="00D04FCE"/>
    <w:rsid w:val="00F974A4"/>
    <w:rsid w:val="02781BC8"/>
    <w:rsid w:val="03557DDC"/>
    <w:rsid w:val="035E2389"/>
    <w:rsid w:val="047612D1"/>
    <w:rsid w:val="04CA78DE"/>
    <w:rsid w:val="052F70D6"/>
    <w:rsid w:val="05367102"/>
    <w:rsid w:val="0585790E"/>
    <w:rsid w:val="060E182E"/>
    <w:rsid w:val="060F6D3F"/>
    <w:rsid w:val="06294661"/>
    <w:rsid w:val="067824CB"/>
    <w:rsid w:val="06A244F4"/>
    <w:rsid w:val="070901BF"/>
    <w:rsid w:val="076220AF"/>
    <w:rsid w:val="07D66543"/>
    <w:rsid w:val="09581004"/>
    <w:rsid w:val="09BF380D"/>
    <w:rsid w:val="0AAC706A"/>
    <w:rsid w:val="0AC71FEB"/>
    <w:rsid w:val="0BD30473"/>
    <w:rsid w:val="0C02719F"/>
    <w:rsid w:val="0C4D5E73"/>
    <w:rsid w:val="0D1E0BEA"/>
    <w:rsid w:val="0D24541A"/>
    <w:rsid w:val="0E4D0836"/>
    <w:rsid w:val="0E991AC5"/>
    <w:rsid w:val="0EB81349"/>
    <w:rsid w:val="0F7C7125"/>
    <w:rsid w:val="0F7F1D46"/>
    <w:rsid w:val="0FF812BB"/>
    <w:rsid w:val="10414420"/>
    <w:rsid w:val="108966EC"/>
    <w:rsid w:val="10FF23DE"/>
    <w:rsid w:val="111F097A"/>
    <w:rsid w:val="114E7220"/>
    <w:rsid w:val="12271F87"/>
    <w:rsid w:val="123D2359"/>
    <w:rsid w:val="12671CCA"/>
    <w:rsid w:val="128D513D"/>
    <w:rsid w:val="14AF7C59"/>
    <w:rsid w:val="15005B1A"/>
    <w:rsid w:val="153A5A29"/>
    <w:rsid w:val="16283862"/>
    <w:rsid w:val="162B4ED3"/>
    <w:rsid w:val="16400090"/>
    <w:rsid w:val="165567E6"/>
    <w:rsid w:val="16683AE1"/>
    <w:rsid w:val="1673052C"/>
    <w:rsid w:val="16CB38CD"/>
    <w:rsid w:val="17842D6D"/>
    <w:rsid w:val="17A53759"/>
    <w:rsid w:val="17BA6C19"/>
    <w:rsid w:val="18137609"/>
    <w:rsid w:val="1827248A"/>
    <w:rsid w:val="191B4100"/>
    <w:rsid w:val="19801DEC"/>
    <w:rsid w:val="19AB25A9"/>
    <w:rsid w:val="1A251D70"/>
    <w:rsid w:val="1A427FBA"/>
    <w:rsid w:val="1A901505"/>
    <w:rsid w:val="1D474A5C"/>
    <w:rsid w:val="1DC61552"/>
    <w:rsid w:val="1E4C3ECF"/>
    <w:rsid w:val="1E9A7158"/>
    <w:rsid w:val="1F0C4709"/>
    <w:rsid w:val="1F0F1E4A"/>
    <w:rsid w:val="1F6C401A"/>
    <w:rsid w:val="1FAB568A"/>
    <w:rsid w:val="1FD83C1A"/>
    <w:rsid w:val="2015772C"/>
    <w:rsid w:val="20180DC2"/>
    <w:rsid w:val="207E4B8A"/>
    <w:rsid w:val="20936BB8"/>
    <w:rsid w:val="20A15D31"/>
    <w:rsid w:val="20A97D74"/>
    <w:rsid w:val="20FE273C"/>
    <w:rsid w:val="214712F7"/>
    <w:rsid w:val="2238086F"/>
    <w:rsid w:val="228F30E4"/>
    <w:rsid w:val="22BA150A"/>
    <w:rsid w:val="22FC6EE1"/>
    <w:rsid w:val="230853C6"/>
    <w:rsid w:val="23BC04D5"/>
    <w:rsid w:val="23D022AF"/>
    <w:rsid w:val="24971EEC"/>
    <w:rsid w:val="265E10A5"/>
    <w:rsid w:val="27E9144A"/>
    <w:rsid w:val="27EB6310"/>
    <w:rsid w:val="283D27FD"/>
    <w:rsid w:val="288E0FF4"/>
    <w:rsid w:val="292D17A6"/>
    <w:rsid w:val="29BA52E0"/>
    <w:rsid w:val="29D2680F"/>
    <w:rsid w:val="2A490BB7"/>
    <w:rsid w:val="2AC13DD7"/>
    <w:rsid w:val="2B47758B"/>
    <w:rsid w:val="2B835EF8"/>
    <w:rsid w:val="2BB05186"/>
    <w:rsid w:val="2C060E22"/>
    <w:rsid w:val="2C111F58"/>
    <w:rsid w:val="2CF4776D"/>
    <w:rsid w:val="2D44327E"/>
    <w:rsid w:val="2E4B7AD8"/>
    <w:rsid w:val="2F096AB4"/>
    <w:rsid w:val="30014C29"/>
    <w:rsid w:val="301116B5"/>
    <w:rsid w:val="312C1F27"/>
    <w:rsid w:val="3172508E"/>
    <w:rsid w:val="31BF7E23"/>
    <w:rsid w:val="32815BF5"/>
    <w:rsid w:val="32BF26AF"/>
    <w:rsid w:val="333415A3"/>
    <w:rsid w:val="33AE0905"/>
    <w:rsid w:val="33EB6063"/>
    <w:rsid w:val="34243156"/>
    <w:rsid w:val="342546ED"/>
    <w:rsid w:val="34A638C9"/>
    <w:rsid w:val="34B20711"/>
    <w:rsid w:val="35AB7CA3"/>
    <w:rsid w:val="35DD5C47"/>
    <w:rsid w:val="35FB0374"/>
    <w:rsid w:val="361123C6"/>
    <w:rsid w:val="368E0274"/>
    <w:rsid w:val="36F61C70"/>
    <w:rsid w:val="37AC2162"/>
    <w:rsid w:val="37C000C8"/>
    <w:rsid w:val="38070ABD"/>
    <w:rsid w:val="381C60EC"/>
    <w:rsid w:val="3894345E"/>
    <w:rsid w:val="396816DF"/>
    <w:rsid w:val="39DE4B60"/>
    <w:rsid w:val="3B0F27BA"/>
    <w:rsid w:val="3B40515E"/>
    <w:rsid w:val="3B736A22"/>
    <w:rsid w:val="3B902A7C"/>
    <w:rsid w:val="3C727AF3"/>
    <w:rsid w:val="3CD004E1"/>
    <w:rsid w:val="3E2E3212"/>
    <w:rsid w:val="408C0A06"/>
    <w:rsid w:val="415E5DAF"/>
    <w:rsid w:val="41F7229E"/>
    <w:rsid w:val="42F43B5C"/>
    <w:rsid w:val="431E5925"/>
    <w:rsid w:val="44950CF9"/>
    <w:rsid w:val="449E5791"/>
    <w:rsid w:val="472F161E"/>
    <w:rsid w:val="47833367"/>
    <w:rsid w:val="47F653B6"/>
    <w:rsid w:val="48011EE8"/>
    <w:rsid w:val="48581E2B"/>
    <w:rsid w:val="489A2BC2"/>
    <w:rsid w:val="48EA670D"/>
    <w:rsid w:val="49253752"/>
    <w:rsid w:val="4A530E8B"/>
    <w:rsid w:val="4C907373"/>
    <w:rsid w:val="4CA70991"/>
    <w:rsid w:val="4E3D0A67"/>
    <w:rsid w:val="4ED00D41"/>
    <w:rsid w:val="4F1B7636"/>
    <w:rsid w:val="4FB63743"/>
    <w:rsid w:val="4FFE3D27"/>
    <w:rsid w:val="521B3882"/>
    <w:rsid w:val="52521B1A"/>
    <w:rsid w:val="52D46307"/>
    <w:rsid w:val="531405A8"/>
    <w:rsid w:val="53302C01"/>
    <w:rsid w:val="53C616AB"/>
    <w:rsid w:val="55370776"/>
    <w:rsid w:val="559D27FB"/>
    <w:rsid w:val="55A6059B"/>
    <w:rsid w:val="560F22CB"/>
    <w:rsid w:val="56632482"/>
    <w:rsid w:val="566D67EB"/>
    <w:rsid w:val="57886CCB"/>
    <w:rsid w:val="578F3D29"/>
    <w:rsid w:val="57DE41EF"/>
    <w:rsid w:val="582D0CBD"/>
    <w:rsid w:val="590A42B1"/>
    <w:rsid w:val="599A1C0F"/>
    <w:rsid w:val="5A8A5021"/>
    <w:rsid w:val="5B273F3C"/>
    <w:rsid w:val="5BF46E77"/>
    <w:rsid w:val="5C0C40F3"/>
    <w:rsid w:val="5CB001C1"/>
    <w:rsid w:val="5CBF614F"/>
    <w:rsid w:val="5CC631A5"/>
    <w:rsid w:val="5CF649B4"/>
    <w:rsid w:val="5D820C77"/>
    <w:rsid w:val="5DAC76F5"/>
    <w:rsid w:val="5F680472"/>
    <w:rsid w:val="5F6A7EC8"/>
    <w:rsid w:val="60656368"/>
    <w:rsid w:val="60920AF2"/>
    <w:rsid w:val="61C0261C"/>
    <w:rsid w:val="62911C89"/>
    <w:rsid w:val="630A02A4"/>
    <w:rsid w:val="6327597A"/>
    <w:rsid w:val="63A05631"/>
    <w:rsid w:val="64602AB6"/>
    <w:rsid w:val="648659EC"/>
    <w:rsid w:val="65495C0B"/>
    <w:rsid w:val="65BA2045"/>
    <w:rsid w:val="66017D42"/>
    <w:rsid w:val="66410D02"/>
    <w:rsid w:val="66EC000C"/>
    <w:rsid w:val="672207EE"/>
    <w:rsid w:val="679F77C4"/>
    <w:rsid w:val="67A42A5F"/>
    <w:rsid w:val="67AE68DE"/>
    <w:rsid w:val="685028DE"/>
    <w:rsid w:val="68F47EE0"/>
    <w:rsid w:val="690A7A71"/>
    <w:rsid w:val="696479CA"/>
    <w:rsid w:val="6A0E7FDC"/>
    <w:rsid w:val="6A617821"/>
    <w:rsid w:val="6A716980"/>
    <w:rsid w:val="6A7B3C07"/>
    <w:rsid w:val="6B080509"/>
    <w:rsid w:val="6B504359"/>
    <w:rsid w:val="6BD67A50"/>
    <w:rsid w:val="6BFC7C6B"/>
    <w:rsid w:val="6DC949FF"/>
    <w:rsid w:val="6E7A31A5"/>
    <w:rsid w:val="6EEF7B01"/>
    <w:rsid w:val="70663704"/>
    <w:rsid w:val="7107249A"/>
    <w:rsid w:val="717D313D"/>
    <w:rsid w:val="71D40303"/>
    <w:rsid w:val="735A0365"/>
    <w:rsid w:val="74993883"/>
    <w:rsid w:val="75AA1B72"/>
    <w:rsid w:val="77D84510"/>
    <w:rsid w:val="784207AA"/>
    <w:rsid w:val="784A2763"/>
    <w:rsid w:val="7A4E1FA5"/>
    <w:rsid w:val="7B21430A"/>
    <w:rsid w:val="7C220093"/>
    <w:rsid w:val="7CB03196"/>
    <w:rsid w:val="7E944638"/>
    <w:rsid w:val="7EBA0FF5"/>
    <w:rsid w:val="7EFF63F1"/>
    <w:rsid w:val="7F541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Body Text"/>
    <w:basedOn w:val="1"/>
    <w:qFormat/>
    <w:uiPriority w:val="0"/>
    <w:pPr>
      <w:autoSpaceDE w:val="0"/>
      <w:autoSpaceDN w:val="0"/>
      <w:adjustRightInd w:val="0"/>
      <w:spacing w:line="480" w:lineRule="exact"/>
      <w:jc w:val="left"/>
      <w:textAlignment w:val="baseline"/>
    </w:pPr>
    <w:rPr>
      <w:rFonts w:ascii="宋体"/>
      <w:kern w:val="0"/>
      <w:sz w:val="32"/>
      <w:szCs w:val="20"/>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ylg</Company>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颜布宾</cp:lastModifiedBy>
  <cp:lastPrinted>2023-01-19T14:45:00Z</cp:lastPrinted>
  <dcterms:modified xsi:type="dcterms:W3CDTF">2024-04-08T09:08:37Z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7949CA4F1FA249B19BE6C16E57B09AA6</vt:lpwstr>
  </property>
</Properties>
</file>