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rPr>
      </w:pPr>
    </w:p>
    <w:p>
      <w:pPr>
        <w:jc w:val="center"/>
        <w:rPr>
          <w:rFonts w:hint="eastAsia"/>
          <w:sz w:val="32"/>
          <w:szCs w:val="32"/>
        </w:rPr>
      </w:pPr>
      <w:r>
        <w:rPr>
          <w:rFonts w:hint="eastAsia"/>
          <w:sz w:val="32"/>
          <w:szCs w:val="32"/>
        </w:rPr>
        <w:t>广西电网公司防城港东兴供电局（属地化）2024-2025年安防监控系统维保零星采购项目</w:t>
      </w:r>
    </w:p>
    <w:p>
      <w:pPr>
        <w:jc w:val="center"/>
        <w:rPr>
          <w:rFonts w:hint="eastAsia"/>
          <w:sz w:val="32"/>
          <w:szCs w:val="32"/>
          <w:lang w:eastAsia="zh-CN"/>
        </w:rPr>
      </w:pPr>
      <w:r>
        <w:rPr>
          <w:rFonts w:hint="eastAsia"/>
          <w:sz w:val="32"/>
          <w:szCs w:val="32"/>
          <w:lang w:eastAsia="zh-CN"/>
        </w:rPr>
        <w:t>服务要求及标准</w:t>
      </w:r>
    </w:p>
    <w:p>
      <w:pPr>
        <w:jc w:val="left"/>
        <w:rPr>
          <w:rFonts w:hint="eastAsia"/>
          <w:sz w:val="28"/>
          <w:szCs w:val="28"/>
          <w:lang w:val="en-US" w:eastAsia="zh-CN"/>
        </w:rPr>
      </w:pPr>
    </w:p>
    <w:p>
      <w:pPr>
        <w:keepNext w:val="0"/>
        <w:keepLines w:val="0"/>
        <w:pageBreakBefore w:val="0"/>
        <w:widowControl w:val="0"/>
        <w:shd w:val="clear" w:fill="FFFFFF" w:themeFill="background1"/>
        <w:kinsoku/>
        <w:wordWrap/>
        <w:overflowPunct/>
        <w:topLinePunct w:val="0"/>
        <w:autoSpaceDE/>
        <w:autoSpaceDN/>
        <w:bidi w:val="0"/>
        <w:adjustRightInd/>
        <w:snapToGrid/>
        <w:jc w:val="left"/>
        <w:textAlignment w:val="auto"/>
        <w:outlineLvl w:val="9"/>
        <w:rPr>
          <w:rFonts w:hint="eastAsia" w:ascii="仿宋_GB2312" w:hAnsi="仿宋_GB2312" w:eastAsia="仿宋_GB2312" w:cs="仿宋_GB2312"/>
          <w:b w:val="0"/>
          <w:bCs w:val="0"/>
          <w:color w:val="000000" w:themeColor="text1"/>
          <w:sz w:val="28"/>
          <w:szCs w:val="28"/>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28"/>
          <w:szCs w:val="28"/>
          <w:highlight w:val="none"/>
          <w:lang w:val="en-US" w:eastAsia="zh-CN"/>
          <w14:textFill>
            <w14:solidFill>
              <w14:schemeClr w14:val="tx1"/>
            </w14:solidFill>
          </w14:textFill>
        </w:rPr>
        <w:t>服务范围：</w:t>
      </w:r>
      <w:r>
        <w:rPr>
          <w:rFonts w:hint="eastAsia" w:ascii="仿宋_GB2312" w:hAnsi="仿宋_GB2312" w:eastAsia="仿宋_GB2312" w:cs="仿宋_GB2312"/>
          <w:b w:val="0"/>
          <w:bCs w:val="0"/>
          <w:color w:val="000000" w:themeColor="text1"/>
          <w:sz w:val="28"/>
          <w:szCs w:val="28"/>
          <w:highlight w:val="none"/>
          <w:lang w:val="en-US" w:eastAsia="zh-CN"/>
          <w14:textFill>
            <w14:solidFill>
              <w14:schemeClr w14:val="tx1"/>
            </w14:solidFill>
          </w14:textFill>
        </w:rPr>
        <w:t>对防城港东兴供电局所有监控设施日常巡视检修（</w:t>
      </w:r>
      <w:r>
        <w:rPr>
          <w:rFonts w:hint="eastAsia" w:ascii="仿宋_GB2312" w:hAnsi="仿宋_GB2312" w:eastAsia="仿宋_GB2312" w:cs="仿宋_GB2312"/>
          <w:b/>
          <w:bCs/>
          <w:color w:val="000000" w:themeColor="text1"/>
          <w:sz w:val="28"/>
          <w:szCs w:val="28"/>
          <w:highlight w:val="none"/>
          <w:lang w:val="en-US" w:eastAsia="zh-CN"/>
          <w14:textFill>
            <w14:solidFill>
              <w14:schemeClr w14:val="tx1"/>
            </w14:solidFill>
          </w14:textFill>
        </w:rPr>
        <w:t>附表的《项目工作范围》仅作为参考，不作为最终的数量，具体以业主后期增减实际发生为准</w:t>
      </w:r>
      <w:r>
        <w:rPr>
          <w:rFonts w:hint="eastAsia" w:ascii="仿宋_GB2312" w:hAnsi="仿宋_GB2312" w:eastAsia="仿宋_GB2312" w:cs="仿宋_GB2312"/>
          <w:b w:val="0"/>
          <w:bCs w:val="0"/>
          <w:color w:val="000000" w:themeColor="text1"/>
          <w:sz w:val="28"/>
          <w:szCs w:val="28"/>
          <w:highlight w:val="none"/>
          <w:lang w:val="en-US" w:eastAsia="zh-CN"/>
          <w14:textFill>
            <w14:solidFill>
              <w14:schemeClr w14:val="tx1"/>
            </w14:solidFill>
          </w14:textFill>
        </w:rPr>
        <w:t>）。</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1、 维护单位严格执行国家、南方电网公司、广西电网有限责任公司</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、防城港供电局</w:t>
      </w:r>
      <w:r>
        <w:rPr>
          <w:rFonts w:hint="eastAsia" w:ascii="仿宋_GB2312" w:hAnsi="仿宋_GB2312" w:eastAsia="仿宋_GB2312" w:cs="仿宋_GB2312"/>
          <w:color w:val="000000" w:themeColor="text1"/>
          <w:sz w:val="28"/>
          <w:szCs w:val="28"/>
          <w:highlight w:val="none"/>
          <w14:textFill>
            <w14:solidFill>
              <w14:schemeClr w14:val="tx1"/>
            </w14:solidFill>
          </w14:textFill>
        </w:rPr>
        <w:t>颁发的规程、制度、规范和标准，开展办公区视频监控系统维护工作。对于国家、南方电网公司、广西电网有限责任公司</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、防城港供电局</w:t>
      </w:r>
      <w:r>
        <w:rPr>
          <w:rFonts w:hint="eastAsia" w:ascii="仿宋_GB2312" w:hAnsi="仿宋_GB2312" w:eastAsia="仿宋_GB2312" w:cs="仿宋_GB2312"/>
          <w:color w:val="000000" w:themeColor="text1"/>
          <w:sz w:val="28"/>
          <w:szCs w:val="28"/>
          <w:highlight w:val="none"/>
          <w14:textFill>
            <w14:solidFill>
              <w14:schemeClr w14:val="tx1"/>
            </w14:solidFill>
          </w14:textFill>
        </w:rPr>
        <w:t>颁发新的规程、制度、标准、规范，业主有权要求维护单位一并严格执行，若新规程、制度、标准、规范的要求与本要求不一致，以新规程、制度、规范和标准为准。</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2、 维护单位严格遵守《电业安全工作规程》的有关规定。因</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违法</w:t>
      </w:r>
      <w:r>
        <w:rPr>
          <w:rFonts w:hint="eastAsia" w:ascii="仿宋_GB2312" w:hAnsi="仿宋_GB2312" w:eastAsia="仿宋_GB2312" w:cs="仿宋_GB2312"/>
          <w:color w:val="000000" w:themeColor="text1"/>
          <w:sz w:val="28"/>
          <w:szCs w:val="28"/>
          <w:highlight w:val="none"/>
          <w14:textFill>
            <w14:solidFill>
              <w14:schemeClr w14:val="tx1"/>
            </w14:solidFill>
          </w14:textFill>
        </w:rPr>
        <w:t>造成的安全责任事故，由维护单位承担。</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3、 维护单位依据业主委托的工作内容，接受业主维护指令，接受业主的监督和考核。</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bookmarkStart w:id="0" w:name="_Toc3150"/>
      <w:bookmarkStart w:id="1" w:name="_Toc23940"/>
      <w:bookmarkStart w:id="2" w:name="_Toc1994"/>
      <w:r>
        <w:rPr>
          <w:rFonts w:hint="eastAsia" w:ascii="仿宋_GB2312" w:hAnsi="仿宋_GB2312" w:eastAsia="仿宋_GB2312" w:cs="仿宋_GB2312"/>
          <w:color w:val="000000" w:themeColor="text1"/>
          <w:sz w:val="28"/>
          <w:szCs w:val="28"/>
          <w:highlight w:val="none"/>
          <w14:textFill>
            <w14:solidFill>
              <w14:schemeClr w14:val="tx1"/>
            </w14:solidFill>
          </w14:textFill>
        </w:rPr>
        <w:t>4、维护单位</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由业主安排，每季度</w:t>
      </w:r>
      <w:r>
        <w:rPr>
          <w:rFonts w:hint="eastAsia" w:ascii="仿宋_GB2312" w:hAnsi="仿宋_GB2312" w:eastAsia="仿宋_GB2312" w:cs="仿宋_GB2312"/>
          <w:color w:val="000000" w:themeColor="text1"/>
          <w:sz w:val="28"/>
          <w:szCs w:val="28"/>
          <w:highlight w:val="none"/>
          <w14:textFill>
            <w14:solidFill>
              <w14:schemeClr w14:val="tx1"/>
            </w14:solidFill>
          </w14:textFill>
        </w:rPr>
        <w:t>对设备清单开展巡检，但需确保其稳定、正常工作，具体工作如下：办公场所监控</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定期每季度</w:t>
      </w:r>
      <w:r>
        <w:rPr>
          <w:rFonts w:hint="eastAsia" w:ascii="仿宋_GB2312" w:hAnsi="仿宋_GB2312" w:eastAsia="仿宋_GB2312" w:cs="仿宋_GB2312"/>
          <w:color w:val="000000" w:themeColor="text1"/>
          <w:sz w:val="28"/>
          <w:szCs w:val="28"/>
          <w:highlight w:val="none"/>
          <w14:textFill>
            <w14:solidFill>
              <w14:schemeClr w14:val="tx1"/>
            </w14:solidFill>
          </w14:textFill>
        </w:rPr>
        <w:t>进行现场巡检维护，巡检维护记录提供一份给业主。</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5、</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每季度定期给</w:t>
      </w:r>
      <w:r>
        <w:rPr>
          <w:rFonts w:hint="eastAsia" w:ascii="仿宋_GB2312" w:hAnsi="仿宋_GB2312" w:eastAsia="仿宋_GB2312" w:cs="仿宋_GB2312"/>
          <w:color w:val="000000" w:themeColor="text1"/>
          <w:sz w:val="28"/>
          <w:szCs w:val="28"/>
          <w:highlight w:val="none"/>
          <w14:textFill>
            <w14:solidFill>
              <w14:schemeClr w14:val="tx1"/>
            </w14:solidFill>
          </w14:textFill>
        </w:rPr>
        <w:t>设备的除尘、清理。</w:t>
      </w:r>
    </w:p>
    <w:bookmarkEnd w:id="0"/>
    <w:bookmarkEnd w:id="1"/>
    <w:bookmarkEnd w:id="2"/>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6、维护单位在日常维护检修工作中，发现设备缺陷要及时处理，重大设备缺陷要及时通知业主，协助业主做好</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防城港东兴</w:t>
      </w:r>
      <w:r>
        <w:rPr>
          <w:rFonts w:hint="eastAsia" w:ascii="仿宋_GB2312" w:hAnsi="仿宋_GB2312" w:eastAsia="仿宋_GB2312" w:cs="仿宋_GB2312"/>
          <w:color w:val="000000" w:themeColor="text1"/>
          <w:sz w:val="28"/>
          <w:szCs w:val="28"/>
          <w:highlight w:val="none"/>
          <w14:textFill>
            <w14:solidFill>
              <w14:schemeClr w14:val="tx1"/>
            </w14:solidFill>
          </w14:textFill>
        </w:rPr>
        <w:t>供电局办公场所监控设施的资产管理工作，按业主要求对所负责维护设备的统计上报工作。</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7、 维护单位未经业主同意不得擅自拆迁委托运行维护管理的设备。维护单位使用业主所管辖的资源时，须报业主批准并按业主相关规定办理相关手续。</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8、 维护单位应保证固定服务热线实行24小时值班。非工作时间将固定服务热线呼转到值班手机中，必要时提供现场服务。</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9、维护单位应保证防城港</w:t>
      </w:r>
      <w:r>
        <w:rPr>
          <w:rFonts w:hint="eastAsia" w:ascii="仿宋_GB2312" w:hAnsi="仿宋_GB2312" w:eastAsia="仿宋_GB2312" w:cs="仿宋_GB2312"/>
          <w:color w:val="000000" w:themeColor="text1"/>
          <w:sz w:val="28"/>
          <w:szCs w:val="28"/>
          <w:highlight w:val="none"/>
          <w:lang w:eastAsia="zh-CN"/>
          <w14:textFill>
            <w14:solidFill>
              <w14:schemeClr w14:val="tx1"/>
            </w14:solidFill>
          </w14:textFill>
        </w:rPr>
        <w:t>东兴</w:t>
      </w:r>
      <w:r>
        <w:rPr>
          <w:rFonts w:hint="eastAsia" w:ascii="仿宋_GB2312" w:hAnsi="仿宋_GB2312" w:eastAsia="仿宋_GB2312" w:cs="仿宋_GB2312"/>
          <w:color w:val="000000" w:themeColor="text1"/>
          <w:sz w:val="28"/>
          <w:szCs w:val="28"/>
          <w:highlight w:val="none"/>
          <w14:textFill>
            <w14:solidFill>
              <w14:schemeClr w14:val="tx1"/>
            </w14:solidFill>
          </w14:textFill>
        </w:rPr>
        <w:t>供电局办公场所、物流仓库、营业大厅等场所监控设施故障响应时间为：工作时间内，</w:t>
      </w:r>
      <w:r>
        <w:rPr>
          <w:rFonts w:hint="eastAsia" w:ascii="仿宋_GB2312" w:hAnsi="仿宋_GB2312" w:eastAsia="仿宋_GB2312" w:cs="仿宋_GB2312"/>
          <w:b/>
          <w:bCs/>
          <w:color w:val="000000" w:themeColor="text1"/>
          <w:sz w:val="28"/>
          <w:szCs w:val="28"/>
          <w:highlight w:val="none"/>
          <w14:textFill>
            <w14:solidFill>
              <w14:schemeClr w14:val="tx1"/>
            </w14:solidFill>
          </w14:textFill>
        </w:rPr>
        <w:t>0.5</w:t>
      </w:r>
      <w:r>
        <w:rPr>
          <w:rFonts w:hint="eastAsia" w:ascii="仿宋_GB2312" w:hAnsi="仿宋_GB2312" w:eastAsia="仿宋_GB2312" w:cs="仿宋_GB2312"/>
          <w:color w:val="000000" w:themeColor="text1"/>
          <w:sz w:val="28"/>
          <w:szCs w:val="28"/>
          <w:highlight w:val="none"/>
          <w14:textFill>
            <w14:solidFill>
              <w14:schemeClr w14:val="tx1"/>
            </w14:solidFill>
          </w14:textFill>
        </w:rPr>
        <w:t>小时内到达局本部现场，</w:t>
      </w:r>
      <w:r>
        <w:rPr>
          <w:rFonts w:hint="eastAsia" w:ascii="仿宋_GB2312" w:hAnsi="仿宋_GB2312" w:eastAsia="仿宋_GB2312" w:cs="仿宋_GB2312"/>
          <w:b/>
          <w:bCs/>
          <w:color w:val="000000" w:themeColor="text1"/>
          <w:sz w:val="28"/>
          <w:szCs w:val="28"/>
          <w:highlight w:val="none"/>
          <w14:textFill>
            <w14:solidFill>
              <w14:schemeClr w14:val="tx1"/>
            </w14:solidFill>
          </w14:textFill>
        </w:rPr>
        <w:t>1</w:t>
      </w:r>
      <w:r>
        <w:rPr>
          <w:rFonts w:hint="eastAsia" w:ascii="仿宋_GB2312" w:hAnsi="仿宋_GB2312" w:eastAsia="仿宋_GB2312" w:cs="仿宋_GB2312"/>
          <w:color w:val="000000" w:themeColor="text1"/>
          <w:sz w:val="28"/>
          <w:szCs w:val="28"/>
          <w:highlight w:val="none"/>
          <w14:textFill>
            <w14:solidFill>
              <w14:schemeClr w14:val="tx1"/>
            </w14:solidFill>
          </w14:textFill>
        </w:rPr>
        <w:t>小时内到达市区现场，</w:t>
      </w:r>
      <w:r>
        <w:rPr>
          <w:rFonts w:hint="eastAsia" w:ascii="仿宋_GB2312" w:hAnsi="仿宋_GB2312" w:eastAsia="仿宋_GB2312" w:cs="仿宋_GB2312"/>
          <w:b/>
          <w:bCs/>
          <w:color w:val="000000" w:themeColor="text1"/>
          <w:sz w:val="28"/>
          <w:szCs w:val="28"/>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28"/>
          <w:szCs w:val="28"/>
          <w:highlight w:val="none"/>
          <w14:textFill>
            <w14:solidFill>
              <w14:schemeClr w14:val="tx1"/>
            </w14:solidFill>
          </w14:textFill>
        </w:rPr>
        <w:t>小时内到达郊县现场。对于一般故障维护时间不超过1个工作日；中等故障维护时间不超过3个工作日；较大的故障维护时间不超过5个工作日；大、中型设备安装、检修或者大型软件系统的安装与调试，原则上不超过10个工作日。损坏设备的送修，原则上不超过设备厂家提供的正常维修周期。（若因天气或不可抗拒的因素影响以及较偏远的地区可酌情增加响应时间）</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10、 做好接入交换机、视频监控系统之间跳线的标示标签、线缆整理及所维护设备保洁工作。</w:t>
      </w:r>
    </w:p>
    <w:p>
      <w:pPr>
        <w:keepNext w:val="0"/>
        <w:keepLines w:val="0"/>
        <w:pageBreakBefore w:val="0"/>
        <w:widowControl w:val="0"/>
        <w:shd w:val="clear" w:fill="FFFFFF" w:themeFill="background1"/>
        <w:kinsoku/>
        <w:wordWrap/>
        <w:overflowPunct/>
        <w:topLinePunct w:val="0"/>
        <w:autoSpaceDE/>
        <w:autoSpaceDN/>
        <w:bidi w:val="0"/>
        <w:adjustRightInd/>
        <w:snapToGrid/>
        <w:ind w:firstLine="560" w:firstLineChars="200"/>
        <w:jc w:val="left"/>
        <w:textAlignment w:val="auto"/>
        <w:outlineLvl w:val="9"/>
        <w:rPr>
          <w:rFonts w:hint="eastAsia" w:ascii="仿宋_GB2312" w:hAnsi="仿宋_GB2312" w:eastAsia="仿宋_GB2312" w:cs="仿宋_GB2312"/>
          <w:color w:val="000000" w:themeColor="text1"/>
          <w:sz w:val="28"/>
          <w:szCs w:val="28"/>
          <w:highlight w:val="none"/>
          <w14:textFill>
            <w14:solidFill>
              <w14:schemeClr w14:val="tx1"/>
            </w14:solidFill>
          </w14:textFill>
        </w:rPr>
      </w:pPr>
      <w:r>
        <w:rPr>
          <w:rFonts w:hint="eastAsia" w:ascii="仿宋_GB2312" w:hAnsi="仿宋_GB2312" w:eastAsia="仿宋_GB2312" w:cs="仿宋_GB2312"/>
          <w:color w:val="000000" w:themeColor="text1"/>
          <w:sz w:val="28"/>
          <w:szCs w:val="28"/>
          <w:highlight w:val="none"/>
          <w14:textFill>
            <w14:solidFill>
              <w14:schemeClr w14:val="tx1"/>
            </w14:solidFill>
          </w14:textFill>
        </w:rPr>
        <w:t>11、 对业主资料安全负责，严禁外泄，或擅自复制、删除客户资料。</w:t>
      </w:r>
    </w:p>
    <w:p>
      <w:pPr>
        <w:keepNext w:val="0"/>
        <w:keepLines w:val="0"/>
        <w:pageBreakBefore w:val="0"/>
        <w:shd w:val="clear" w:fill="FFFFFF" w:themeFill="background1"/>
        <w:kinsoku/>
        <w:wordWrap/>
        <w:overflowPunct/>
        <w:topLinePunct w:val="0"/>
        <w:autoSpaceDE/>
        <w:autoSpaceDN/>
        <w:bidi w:val="0"/>
        <w:adjustRightInd/>
        <w:snapToGrid/>
        <w:outlineLvl w:val="9"/>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color w:val="auto"/>
          <w:sz w:val="28"/>
          <w:szCs w:val="28"/>
          <w:highlight w:val="none"/>
          <w:lang w:eastAsia="zh-CN"/>
        </w:rPr>
        <w:t>附：项目工作范围</w:t>
      </w:r>
    </w:p>
    <w:tbl>
      <w:tblPr>
        <w:tblStyle w:val="3"/>
        <w:tblW w:w="87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19"/>
        <w:gridCol w:w="2504"/>
        <w:gridCol w:w="1933"/>
        <w:gridCol w:w="667"/>
        <w:gridCol w:w="722"/>
        <w:gridCol w:w="22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kern w:val="0"/>
                <w:sz w:val="24"/>
                <w:szCs w:val="24"/>
                <w:highlight w:val="none"/>
                <w:u w:val="none"/>
                <w:lang w:val="en-US" w:eastAsia="zh-CN" w:bidi="ar"/>
              </w:rPr>
              <w:t>序号</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kern w:val="0"/>
                <w:sz w:val="24"/>
                <w:szCs w:val="24"/>
                <w:highlight w:val="none"/>
                <w:u w:val="none"/>
                <w:lang w:val="en-US" w:eastAsia="zh-CN" w:bidi="ar"/>
              </w:rPr>
              <w:t>设备名称</w:t>
            </w:r>
          </w:p>
        </w:tc>
        <w:tc>
          <w:tcPr>
            <w:tcW w:w="193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kern w:val="0"/>
                <w:sz w:val="24"/>
                <w:szCs w:val="24"/>
                <w:highlight w:val="none"/>
                <w:u w:val="none"/>
                <w:lang w:val="en-US" w:eastAsia="zh-CN" w:bidi="ar"/>
              </w:rPr>
              <w:t>设备型号</w:t>
            </w:r>
          </w:p>
        </w:tc>
        <w:tc>
          <w:tcPr>
            <w:tcW w:w="66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kern w:val="0"/>
                <w:sz w:val="24"/>
                <w:szCs w:val="24"/>
                <w:highlight w:val="none"/>
                <w:u w:val="none"/>
                <w:lang w:val="en-US" w:eastAsia="zh-CN" w:bidi="ar"/>
              </w:rPr>
              <w:t>单位</w:t>
            </w:r>
          </w:p>
        </w:tc>
        <w:tc>
          <w:tcPr>
            <w:tcW w:w="72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kern w:val="0"/>
                <w:sz w:val="24"/>
                <w:szCs w:val="24"/>
                <w:highlight w:val="none"/>
                <w:u w:val="none"/>
                <w:lang w:val="en-US" w:eastAsia="zh-CN" w:bidi="ar"/>
              </w:rPr>
              <w:t>数量</w:t>
            </w:r>
          </w:p>
        </w:tc>
        <w:tc>
          <w:tcPr>
            <w:tcW w:w="224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东兴供电局办公大楼监控系统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DS-8832N-R8</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2</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64台网络摄像头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2</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东兴供电局食堂监控系统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DS-7816NB-K2</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6台模拟摄像头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3</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城区供电所办公大楼监控系统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DS-8832N-R8</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25台网络摄像头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0"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4</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城区供电所停车场监控系统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DS-8832N-R8</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13台网络摄像头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5</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城区供电所办公大楼</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DH-NVR4416-16-4KS2</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8台网络摄像头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6</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江平供电所办公大楼</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DH-NVR4416-16-4KS2</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12台网络摄像头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7</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江平所饭堂监控系统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DS-7816NB-K2</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3台网络摄像头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8</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马路营业点监控系统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DS-8832N-R8</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i w:val="0"/>
                <w:color w:val="auto"/>
                <w:kern w:val="0"/>
                <w:sz w:val="24"/>
                <w:szCs w:val="24"/>
                <w:highlight w:val="none"/>
                <w:u w:val="none"/>
                <w:lang w:val="en-US" w:eastAsia="zh-CN" w:bidi="ar"/>
              </w:rPr>
              <w:t>10台网络摄像头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default"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9</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江平工业园仓库监控系统</w:t>
            </w: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default"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DS-7916N-E4</w:t>
            </w: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2"/>
                <w:sz w:val="24"/>
                <w:szCs w:val="24"/>
                <w:highlight w:val="none"/>
                <w:u w:val="none"/>
                <w:lang w:val="en-US" w:eastAsia="zh-CN" w:bidi="ar-SA"/>
              </w:rPr>
            </w:pPr>
            <w:r>
              <w:rPr>
                <w:rFonts w:hint="eastAsia" w:ascii="仿宋_GB2312" w:hAnsi="仿宋_GB2312" w:eastAsia="仿宋_GB2312" w:cs="仿宋_GB2312"/>
                <w:i w:val="0"/>
                <w:color w:val="auto"/>
                <w:kern w:val="0"/>
                <w:sz w:val="24"/>
                <w:szCs w:val="24"/>
                <w:highlight w:val="none"/>
                <w:u w:val="none"/>
                <w:lang w:val="en-US" w:eastAsia="zh-CN" w:bidi="ar"/>
              </w:rPr>
              <w:t>套</w:t>
            </w: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2"/>
                <w:sz w:val="24"/>
                <w:szCs w:val="24"/>
                <w:highlight w:val="none"/>
                <w:u w:val="none"/>
                <w:lang w:val="en-US" w:eastAsia="zh-CN" w:bidi="ar-SA"/>
              </w:rPr>
            </w:pPr>
            <w:r>
              <w:rPr>
                <w:rFonts w:hint="eastAsia" w:ascii="仿宋_GB2312" w:hAnsi="仿宋_GB2312" w:eastAsia="仿宋_GB2312" w:cs="仿宋_GB2312"/>
                <w:i w:val="0"/>
                <w:color w:val="auto"/>
                <w:kern w:val="0"/>
                <w:sz w:val="24"/>
                <w:szCs w:val="24"/>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2"/>
                <w:sz w:val="24"/>
                <w:szCs w:val="24"/>
                <w:highlight w:val="none"/>
                <w:u w:val="none"/>
                <w:lang w:val="en-US" w:eastAsia="zh-CN" w:bidi="ar-SA"/>
              </w:rPr>
            </w:pPr>
            <w:r>
              <w:rPr>
                <w:rFonts w:hint="eastAsia" w:ascii="仿宋_GB2312" w:hAnsi="仿宋_GB2312" w:eastAsia="仿宋_GB2312" w:cs="仿宋_GB2312"/>
                <w:i w:val="0"/>
                <w:color w:val="auto"/>
                <w:kern w:val="0"/>
                <w:sz w:val="24"/>
                <w:szCs w:val="24"/>
                <w:highlight w:val="none"/>
                <w:u w:val="none"/>
                <w:lang w:val="en-US" w:eastAsia="zh-CN" w:bidi="ar"/>
              </w:rPr>
              <w:t>8台网络摄像头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7" w:hRule="atLeast"/>
          <w:jc w:val="center"/>
        </w:trPr>
        <w:tc>
          <w:tcPr>
            <w:tcW w:w="719"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合计</w:t>
            </w:r>
          </w:p>
        </w:tc>
        <w:tc>
          <w:tcPr>
            <w:tcW w:w="250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0"/>
                <w:sz w:val="24"/>
                <w:szCs w:val="24"/>
                <w:highlight w:val="none"/>
                <w:u w:val="none"/>
                <w:lang w:val="en-US" w:eastAsia="zh-CN" w:bidi="ar"/>
              </w:rPr>
            </w:pPr>
          </w:p>
        </w:tc>
        <w:tc>
          <w:tcPr>
            <w:tcW w:w="1933"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0"/>
                <w:sz w:val="24"/>
                <w:szCs w:val="24"/>
                <w:highlight w:val="none"/>
                <w:u w:val="none"/>
                <w:lang w:val="en-US" w:eastAsia="zh-CN" w:bidi="ar"/>
              </w:rPr>
            </w:pPr>
          </w:p>
        </w:tc>
        <w:tc>
          <w:tcPr>
            <w:tcW w:w="72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default"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10</w:t>
            </w:r>
          </w:p>
        </w:tc>
        <w:tc>
          <w:tcPr>
            <w:tcW w:w="2242"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pPr>
              <w:keepNext w:val="0"/>
              <w:keepLines w:val="0"/>
              <w:pageBreakBefore w:val="0"/>
              <w:widowControl/>
              <w:suppressLineNumbers w:val="0"/>
              <w:shd w:val="clear" w:fill="FFFFFF" w:themeFill="background1"/>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仿宋_GB2312" w:hAnsi="仿宋_GB2312" w:eastAsia="仿宋_GB2312" w:cs="仿宋_GB2312"/>
                <w:i w:val="0"/>
                <w:color w:val="auto"/>
                <w:kern w:val="0"/>
                <w:sz w:val="24"/>
                <w:szCs w:val="24"/>
                <w:highlight w:val="none"/>
                <w:u w:val="none"/>
                <w:lang w:val="en-US" w:eastAsia="zh-CN" w:bidi="ar"/>
              </w:rPr>
            </w:pPr>
          </w:p>
        </w:tc>
      </w:tr>
    </w:tbl>
    <w:p>
      <w:pPr>
        <w:jc w:val="left"/>
        <w:rPr>
          <w:rFonts w:hint="eastAsia"/>
          <w:color w:val="auto"/>
          <w:sz w:val="28"/>
          <w:szCs w:val="28"/>
          <w:lang w:val="en-US" w:eastAsia="zh-CN"/>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1958E9"/>
    <w:rsid w:val="00687CCC"/>
    <w:rsid w:val="04756D30"/>
    <w:rsid w:val="09956C8F"/>
    <w:rsid w:val="15451B69"/>
    <w:rsid w:val="1B272408"/>
    <w:rsid w:val="1B313260"/>
    <w:rsid w:val="1CD23A05"/>
    <w:rsid w:val="1D1A3F69"/>
    <w:rsid w:val="1E663E76"/>
    <w:rsid w:val="20CA1937"/>
    <w:rsid w:val="20FD77B5"/>
    <w:rsid w:val="2268787B"/>
    <w:rsid w:val="27A803B2"/>
    <w:rsid w:val="27F65657"/>
    <w:rsid w:val="2D014B2A"/>
    <w:rsid w:val="2D626C81"/>
    <w:rsid w:val="2F4B3CFA"/>
    <w:rsid w:val="31A246EB"/>
    <w:rsid w:val="31DA33B2"/>
    <w:rsid w:val="365B65F3"/>
    <w:rsid w:val="420447A1"/>
    <w:rsid w:val="43D80391"/>
    <w:rsid w:val="43FD6A97"/>
    <w:rsid w:val="4815482F"/>
    <w:rsid w:val="48B26268"/>
    <w:rsid w:val="4F1958E9"/>
    <w:rsid w:val="50B008A1"/>
    <w:rsid w:val="5792174B"/>
    <w:rsid w:val="63237C21"/>
    <w:rsid w:val="658F25F0"/>
    <w:rsid w:val="66AD080A"/>
    <w:rsid w:val="74910C86"/>
    <w:rsid w:val="75744F2C"/>
    <w:rsid w:val="76CF4090"/>
    <w:rsid w:val="77C9355B"/>
    <w:rsid w:val="78210C67"/>
    <w:rsid w:val="79E249A2"/>
    <w:rsid w:val="7A48529D"/>
    <w:rsid w:val="7E613CF4"/>
    <w:rsid w:val="7EFC0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Autospacing="0" w:afterAutospacing="0"/>
      <w:ind w:left="0" w:leftChars="0" w:firstLine="0" w:firstLineChars="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2024-02-22T02:00:00Z</dcterms:created>
  <dc:creator>麦幸</dc:creator>
  <cp:lastModifiedBy>麦幸</cp:lastModifiedBy>
  <dcterms:modified xsi:type="dcterms:W3CDTF">2024-02-28T03:12:49Z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DA8E16A2423F461D815B984563DB6A3E</vt:lpwstr>
  </property>
</Properties>
</file>