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jc w:val="center"/>
        <w:rPr>
          <w:rFonts w:ascii="隶书" w:eastAsia="隶书"/>
          <w:sz w:val="56"/>
          <w:szCs w:val="56"/>
        </w:rPr>
      </w:pPr>
      <w:bookmarkStart w:id="0" w:name="_Toc6059"/>
      <w:bookmarkStart w:id="1" w:name="_Toc1572"/>
    </w:p>
    <w:p>
      <w:pPr>
        <w:pStyle w:val="8"/>
        <w:jc w:val="center"/>
        <w:rPr>
          <w:rFonts w:ascii="隶书" w:eastAsia="隶书"/>
          <w:sz w:val="56"/>
          <w:szCs w:val="56"/>
        </w:rPr>
      </w:pPr>
    </w:p>
    <w:p>
      <w:pPr>
        <w:pStyle w:val="8"/>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隶书" w:eastAsia="黑体"/>
          <w:sz w:val="48"/>
          <w:szCs w:val="48"/>
          <w:lang w:val="en-US" w:eastAsia="zh-CN"/>
        </w:rPr>
      </w:pPr>
      <w:r>
        <w:rPr>
          <w:rFonts w:hint="default" w:ascii="隶书" w:eastAsia="黑体"/>
          <w:sz w:val="48"/>
          <w:szCs w:val="48"/>
          <w:lang w:val="en-US" w:eastAsia="zh-CN"/>
        </w:rPr>
        <w:t>基于环形阵列多束激光的MPP管内壁形貌检测仪</w:t>
      </w:r>
      <w:r>
        <w:rPr>
          <w:rFonts w:hint="eastAsia" w:ascii="隶书" w:eastAsia="黑体"/>
          <w:sz w:val="48"/>
          <w:szCs w:val="48"/>
          <w:lang w:val="en-US" w:eastAsia="zh-CN"/>
        </w:rPr>
        <w:t>研制项目——</w:t>
      </w:r>
      <w:r>
        <w:rPr>
          <w:rFonts w:hint="default" w:ascii="隶书" w:eastAsia="黑体"/>
          <w:sz w:val="48"/>
          <w:szCs w:val="48"/>
          <w:lang w:val="en-US" w:eastAsia="zh-CN"/>
        </w:rPr>
        <w:t>基于环形阵列多束激光的MPP管内壁形貌检测仪</w:t>
      </w:r>
      <w:bookmarkStart w:id="22" w:name="_GoBack"/>
      <w:bookmarkEnd w:id="22"/>
      <w:r>
        <w:rPr>
          <w:rFonts w:hint="eastAsia" w:ascii="隶书" w:eastAsia="黑体"/>
          <w:sz w:val="48"/>
          <w:szCs w:val="48"/>
          <w:lang w:val="en-US" w:eastAsia="zh-CN"/>
        </w:rPr>
        <w:t>加工测试服务</w:t>
      </w:r>
    </w:p>
    <w:p>
      <w:pPr>
        <w:pStyle w:val="8"/>
        <w:jc w:val="center"/>
        <w:rPr>
          <w:rFonts w:ascii="隶书" w:eastAsia="隶书"/>
          <w:sz w:val="48"/>
          <w:szCs w:val="48"/>
        </w:rPr>
      </w:pPr>
    </w:p>
    <w:p>
      <w:pPr>
        <w:pStyle w:val="8"/>
        <w:jc w:val="center"/>
        <w:rPr>
          <w:rFonts w:ascii="隶书" w:eastAsia="隶书"/>
          <w:sz w:val="48"/>
          <w:szCs w:val="48"/>
        </w:rPr>
      </w:pPr>
    </w:p>
    <w:p>
      <w:pPr>
        <w:pStyle w:val="8"/>
        <w:jc w:val="center"/>
        <w:rPr>
          <w:rFonts w:ascii="黑体" w:hAnsi="黑体" w:eastAsia="黑体" w:cs="黑体"/>
          <w:sz w:val="52"/>
          <w:szCs w:val="52"/>
        </w:rPr>
      </w:pPr>
      <w:r>
        <w:rPr>
          <w:rFonts w:hint="eastAsia" w:ascii="黑体" w:hAnsi="黑体" w:eastAsia="黑体" w:cs="黑体"/>
          <w:sz w:val="52"/>
          <w:szCs w:val="52"/>
        </w:rPr>
        <w:t>技术要求书</w:t>
      </w:r>
    </w:p>
    <w:p>
      <w:pPr>
        <w:spacing w:before="156" w:beforeLines="50"/>
        <w:rPr>
          <w:rFonts w:ascii="楷体_GB2312" w:hAnsi="宋体" w:eastAsia="楷体_GB2312"/>
          <w:sz w:val="32"/>
          <w:szCs w:val="32"/>
        </w:rPr>
      </w:pPr>
    </w:p>
    <w:p>
      <w:pPr>
        <w:spacing w:before="156" w:beforeLines="50"/>
        <w:jc w:val="center"/>
        <w:rPr>
          <w:rFonts w:ascii="楷体_GB2312" w:hAnsi="宋体" w:eastAsia="楷体_GB2312"/>
          <w:sz w:val="32"/>
          <w:szCs w:val="32"/>
        </w:rPr>
      </w:pPr>
    </w:p>
    <w:p>
      <w:pPr>
        <w:spacing w:before="156" w:beforeLines="50"/>
        <w:rPr>
          <w:rFonts w:ascii="楷体_GB2312" w:hAnsi="宋体" w:eastAsia="楷体_GB2312"/>
          <w:sz w:val="32"/>
          <w:szCs w:val="32"/>
        </w:rPr>
      </w:pPr>
    </w:p>
    <w:p>
      <w:pPr>
        <w:pStyle w:val="20"/>
        <w:rPr>
          <w:rStyle w:val="22"/>
          <w:rFonts w:ascii="黑体" w:hAnsi="黑体" w:eastAsia="黑体" w:cs="黑体"/>
        </w:rPr>
      </w:pPr>
    </w:p>
    <w:p>
      <w:pPr>
        <w:pStyle w:val="20"/>
        <w:rPr>
          <w:rStyle w:val="22"/>
          <w:rFonts w:ascii="黑体" w:hAnsi="黑体" w:eastAsia="黑体" w:cs="黑体"/>
        </w:rPr>
      </w:pPr>
    </w:p>
    <w:p>
      <w:pPr>
        <w:pStyle w:val="20"/>
        <w:rPr>
          <w:rFonts w:ascii="黑体" w:hAnsi="黑体" w:eastAsia="黑体" w:cs="黑体"/>
        </w:rPr>
        <w:sectPr>
          <w:pgSz w:w="11906" w:h="16838"/>
          <w:pgMar w:top="1440" w:right="1800" w:bottom="1440" w:left="1800" w:header="851" w:footer="992" w:gutter="0"/>
          <w:cols w:space="425" w:num="1"/>
          <w:docGrid w:type="lines" w:linePitch="312" w:charSpace="0"/>
        </w:sectPr>
      </w:pPr>
      <w:r>
        <w:rPr>
          <w:rStyle w:val="22"/>
          <w:rFonts w:hint="eastAsia" w:ascii="黑体" w:hAnsi="黑体" w:eastAsia="黑体" w:cs="黑体"/>
        </w:rPr>
        <w:t>2024年0</w:t>
      </w:r>
      <w:r>
        <w:rPr>
          <w:rStyle w:val="22"/>
          <w:rFonts w:hint="eastAsia" w:ascii="黑体" w:hAnsi="黑体" w:eastAsia="黑体" w:cs="黑体"/>
          <w:lang w:val="en-US" w:eastAsia="zh-CN"/>
        </w:rPr>
        <w:t>4</w:t>
      </w:r>
      <w:r>
        <w:rPr>
          <w:rStyle w:val="22"/>
          <w:rFonts w:hint="eastAsia" w:ascii="黑体" w:hAnsi="黑体" w:eastAsia="黑体" w:cs="黑体"/>
        </w:rPr>
        <w:t>月</w:t>
      </w:r>
    </w:p>
    <w:p>
      <w:pPr>
        <w:snapToGrid w:val="0"/>
        <w:spacing w:line="360" w:lineRule="auto"/>
        <w:jc w:val="center"/>
        <w:rPr>
          <w:rFonts w:ascii="黑体" w:hAnsi="黑体" w:eastAsia="黑体" w:cs="黑体"/>
          <w:bCs/>
          <w:sz w:val="44"/>
          <w:szCs w:val="36"/>
        </w:rPr>
      </w:pPr>
      <w:bookmarkStart w:id="2" w:name="_Toc30850"/>
      <w:r>
        <w:rPr>
          <w:rFonts w:hint="eastAsia" w:ascii="黑体" w:hAnsi="黑体" w:eastAsia="黑体" w:cs="黑体"/>
          <w:bCs/>
          <w:sz w:val="44"/>
          <w:szCs w:val="36"/>
        </w:rPr>
        <w:t>目 录</w:t>
      </w:r>
      <w:bookmarkEnd w:id="0"/>
      <w:bookmarkEnd w:id="1"/>
      <w:bookmarkEnd w:id="2"/>
    </w:p>
    <w:p>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黑体" w:hAnsi="黑体" w:eastAsia="黑体" w:cs="黑体"/>
          <w:sz w:val="22"/>
          <w:szCs w:val="28"/>
        </w:rPr>
      </w:pPr>
      <w:r>
        <w:rPr>
          <w:rFonts w:hint="eastAsia" w:ascii="黑体" w:hAnsi="黑体" w:eastAsia="黑体" w:cs="黑体"/>
          <w:sz w:val="28"/>
          <w:szCs w:val="28"/>
        </w:rPr>
        <w:fldChar w:fldCharType="begin"/>
      </w:r>
      <w:r>
        <w:rPr>
          <w:rFonts w:hint="eastAsia" w:ascii="黑体" w:hAnsi="黑体" w:eastAsia="黑体" w:cs="黑体"/>
          <w:sz w:val="28"/>
          <w:szCs w:val="28"/>
        </w:rPr>
        <w:instrText xml:space="preserve">TOC \o "1-2" \h \u </w:instrText>
      </w:r>
      <w:r>
        <w:rPr>
          <w:rFonts w:hint="eastAsia" w:ascii="黑体" w:hAnsi="黑体" w:eastAsia="黑体" w:cs="黑体"/>
          <w:sz w:val="28"/>
          <w:szCs w:val="28"/>
        </w:rPr>
        <w:fldChar w:fldCharType="separate"/>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HYPERLINK \l _Toc23370 </w:instrText>
      </w:r>
      <w:r>
        <w:rPr>
          <w:rFonts w:hint="eastAsia" w:ascii="黑体" w:hAnsi="黑体" w:eastAsia="黑体" w:cs="黑体"/>
          <w:sz w:val="22"/>
          <w:szCs w:val="28"/>
        </w:rPr>
        <w:fldChar w:fldCharType="separate"/>
      </w:r>
      <w:r>
        <w:rPr>
          <w:rFonts w:hint="eastAsia" w:ascii="黑体" w:hAnsi="黑体" w:eastAsia="黑体" w:cs="黑体"/>
          <w:sz w:val="22"/>
          <w:szCs w:val="28"/>
        </w:rPr>
        <w:t>总 则</w:t>
      </w:r>
      <w:r>
        <w:rPr>
          <w:rFonts w:hint="eastAsia" w:ascii="黑体" w:hAnsi="黑体" w:eastAsia="黑体" w:cs="黑体"/>
          <w:sz w:val="22"/>
          <w:szCs w:val="28"/>
        </w:rPr>
        <w:tab/>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PAGEREF _Toc23370 \h </w:instrText>
      </w:r>
      <w:r>
        <w:rPr>
          <w:rFonts w:hint="eastAsia" w:ascii="黑体" w:hAnsi="黑体" w:eastAsia="黑体" w:cs="黑体"/>
          <w:sz w:val="22"/>
          <w:szCs w:val="28"/>
        </w:rPr>
        <w:fldChar w:fldCharType="separate"/>
      </w:r>
      <w:r>
        <w:rPr>
          <w:rFonts w:hint="eastAsia" w:ascii="黑体" w:hAnsi="黑体" w:eastAsia="黑体" w:cs="黑体"/>
          <w:sz w:val="22"/>
          <w:szCs w:val="28"/>
        </w:rPr>
        <w:t>2</w:t>
      </w:r>
      <w:r>
        <w:rPr>
          <w:rFonts w:hint="eastAsia" w:ascii="黑体" w:hAnsi="黑体" w:eastAsia="黑体" w:cs="黑体"/>
          <w:sz w:val="22"/>
          <w:szCs w:val="28"/>
        </w:rPr>
        <w:fldChar w:fldCharType="end"/>
      </w:r>
      <w:r>
        <w:rPr>
          <w:rFonts w:hint="eastAsia" w:ascii="黑体" w:hAnsi="黑体" w:eastAsia="黑体" w:cs="黑体"/>
          <w:sz w:val="22"/>
          <w:szCs w:val="28"/>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黑体" w:hAnsi="黑体" w:eastAsia="黑体" w:cs="黑体"/>
          <w:sz w:val="22"/>
          <w:szCs w:val="28"/>
        </w:rPr>
      </w:pP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HYPERLINK \l _Toc30150 </w:instrText>
      </w:r>
      <w:r>
        <w:rPr>
          <w:rFonts w:hint="eastAsia" w:ascii="黑体" w:hAnsi="黑体" w:eastAsia="黑体" w:cs="黑体"/>
          <w:sz w:val="22"/>
          <w:szCs w:val="28"/>
        </w:rPr>
        <w:fldChar w:fldCharType="separate"/>
      </w:r>
      <w:r>
        <w:rPr>
          <w:rFonts w:hint="eastAsia" w:ascii="黑体" w:hAnsi="黑体" w:eastAsia="黑体" w:cs="黑体"/>
          <w:sz w:val="22"/>
          <w:szCs w:val="32"/>
        </w:rPr>
        <w:t>1  服务内容及目的</w:t>
      </w:r>
      <w:r>
        <w:rPr>
          <w:rFonts w:hint="eastAsia" w:ascii="黑体" w:hAnsi="黑体" w:eastAsia="黑体" w:cs="黑体"/>
          <w:sz w:val="22"/>
          <w:szCs w:val="28"/>
        </w:rPr>
        <w:tab/>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PAGEREF _Toc30150 \h </w:instrText>
      </w:r>
      <w:r>
        <w:rPr>
          <w:rFonts w:hint="eastAsia" w:ascii="黑体" w:hAnsi="黑体" w:eastAsia="黑体" w:cs="黑体"/>
          <w:sz w:val="22"/>
          <w:szCs w:val="28"/>
        </w:rPr>
        <w:fldChar w:fldCharType="separate"/>
      </w:r>
      <w:r>
        <w:rPr>
          <w:rFonts w:hint="eastAsia" w:ascii="黑体" w:hAnsi="黑体" w:eastAsia="黑体" w:cs="黑体"/>
          <w:sz w:val="22"/>
          <w:szCs w:val="28"/>
        </w:rPr>
        <w:t>3</w:t>
      </w:r>
      <w:r>
        <w:rPr>
          <w:rFonts w:hint="eastAsia" w:ascii="黑体" w:hAnsi="黑体" w:eastAsia="黑体" w:cs="黑体"/>
          <w:sz w:val="22"/>
          <w:szCs w:val="28"/>
        </w:rPr>
        <w:fldChar w:fldCharType="end"/>
      </w:r>
      <w:r>
        <w:rPr>
          <w:rFonts w:hint="eastAsia" w:ascii="黑体" w:hAnsi="黑体" w:eastAsia="黑体" w:cs="黑体"/>
          <w:sz w:val="22"/>
          <w:szCs w:val="28"/>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黑体" w:hAnsi="黑体" w:eastAsia="黑体" w:cs="黑体"/>
          <w:sz w:val="22"/>
          <w:szCs w:val="28"/>
        </w:rPr>
      </w:pP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HYPERLINK \l _Toc9899 </w:instrText>
      </w:r>
      <w:r>
        <w:rPr>
          <w:rFonts w:hint="eastAsia" w:ascii="黑体" w:hAnsi="黑体" w:eastAsia="黑体" w:cs="黑体"/>
          <w:sz w:val="22"/>
          <w:szCs w:val="28"/>
        </w:rPr>
        <w:fldChar w:fldCharType="separate"/>
      </w:r>
      <w:r>
        <w:rPr>
          <w:rFonts w:hint="eastAsia" w:ascii="黑体" w:hAnsi="黑体" w:eastAsia="黑体" w:cs="黑体"/>
          <w:sz w:val="22"/>
          <w:szCs w:val="32"/>
        </w:rPr>
        <w:t xml:space="preserve">2  </w:t>
      </w:r>
      <w:r>
        <w:rPr>
          <w:rFonts w:hint="eastAsia" w:ascii="黑体" w:hAnsi="黑体" w:eastAsia="黑体" w:cs="黑体"/>
          <w:sz w:val="22"/>
          <w:szCs w:val="32"/>
          <w:lang w:val="en-US" w:eastAsia="zh-CN"/>
        </w:rPr>
        <w:t>服务范围</w:t>
      </w:r>
      <w:r>
        <w:rPr>
          <w:rFonts w:hint="eastAsia" w:ascii="黑体" w:hAnsi="黑体" w:eastAsia="黑体" w:cs="黑体"/>
          <w:sz w:val="22"/>
          <w:szCs w:val="28"/>
        </w:rPr>
        <w:tab/>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PAGEREF _Toc9899 \h </w:instrText>
      </w:r>
      <w:r>
        <w:rPr>
          <w:rFonts w:hint="eastAsia" w:ascii="黑体" w:hAnsi="黑体" w:eastAsia="黑体" w:cs="黑体"/>
          <w:sz w:val="22"/>
          <w:szCs w:val="28"/>
        </w:rPr>
        <w:fldChar w:fldCharType="separate"/>
      </w:r>
      <w:r>
        <w:rPr>
          <w:rFonts w:hint="eastAsia" w:ascii="黑体" w:hAnsi="黑体" w:eastAsia="黑体" w:cs="黑体"/>
          <w:sz w:val="22"/>
          <w:szCs w:val="28"/>
        </w:rPr>
        <w:t>3</w:t>
      </w:r>
      <w:r>
        <w:rPr>
          <w:rFonts w:hint="eastAsia" w:ascii="黑体" w:hAnsi="黑体" w:eastAsia="黑体" w:cs="黑体"/>
          <w:sz w:val="22"/>
          <w:szCs w:val="28"/>
        </w:rPr>
        <w:fldChar w:fldCharType="end"/>
      </w:r>
      <w:r>
        <w:rPr>
          <w:rFonts w:hint="eastAsia" w:ascii="黑体" w:hAnsi="黑体" w:eastAsia="黑体" w:cs="黑体"/>
          <w:sz w:val="22"/>
          <w:szCs w:val="28"/>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黑体" w:hAnsi="黑体" w:eastAsia="黑体" w:cs="黑体"/>
          <w:sz w:val="22"/>
          <w:szCs w:val="28"/>
        </w:rPr>
      </w:pP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HYPERLINK \l _Toc32155 </w:instrText>
      </w:r>
      <w:r>
        <w:rPr>
          <w:rFonts w:hint="eastAsia" w:ascii="黑体" w:hAnsi="黑体" w:eastAsia="黑体" w:cs="黑体"/>
          <w:sz w:val="22"/>
          <w:szCs w:val="28"/>
        </w:rPr>
        <w:fldChar w:fldCharType="separate"/>
      </w:r>
      <w:r>
        <w:rPr>
          <w:rFonts w:hint="eastAsia" w:ascii="黑体" w:hAnsi="黑体" w:eastAsia="黑体" w:cs="黑体"/>
          <w:sz w:val="22"/>
          <w:szCs w:val="32"/>
        </w:rPr>
        <w:t>3  成果交付与验收</w:t>
      </w:r>
      <w:r>
        <w:rPr>
          <w:rFonts w:hint="eastAsia" w:ascii="黑体" w:hAnsi="黑体" w:eastAsia="黑体" w:cs="黑体"/>
          <w:sz w:val="22"/>
          <w:szCs w:val="28"/>
        </w:rPr>
        <w:tab/>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PAGEREF _Toc32155 \h </w:instrText>
      </w:r>
      <w:r>
        <w:rPr>
          <w:rFonts w:hint="eastAsia" w:ascii="黑体" w:hAnsi="黑体" w:eastAsia="黑体" w:cs="黑体"/>
          <w:sz w:val="22"/>
          <w:szCs w:val="28"/>
        </w:rPr>
        <w:fldChar w:fldCharType="separate"/>
      </w:r>
      <w:r>
        <w:rPr>
          <w:rFonts w:hint="eastAsia" w:ascii="黑体" w:hAnsi="黑体" w:eastAsia="黑体" w:cs="黑体"/>
          <w:sz w:val="22"/>
          <w:szCs w:val="28"/>
        </w:rPr>
        <w:t>3</w:t>
      </w:r>
      <w:r>
        <w:rPr>
          <w:rFonts w:hint="eastAsia" w:ascii="黑体" w:hAnsi="黑体" w:eastAsia="黑体" w:cs="黑体"/>
          <w:sz w:val="22"/>
          <w:szCs w:val="28"/>
        </w:rPr>
        <w:fldChar w:fldCharType="end"/>
      </w:r>
      <w:r>
        <w:rPr>
          <w:rFonts w:hint="eastAsia" w:ascii="黑体" w:hAnsi="黑体" w:eastAsia="黑体" w:cs="黑体"/>
          <w:sz w:val="22"/>
          <w:szCs w:val="28"/>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pacing w:line="360" w:lineRule="auto"/>
        <w:textAlignment w:val="auto"/>
        <w:rPr>
          <w:rFonts w:hint="eastAsia" w:ascii="黑体" w:hAnsi="黑体" w:eastAsia="黑体" w:cs="黑体"/>
          <w:sz w:val="22"/>
          <w:szCs w:val="28"/>
        </w:rPr>
      </w:pP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HYPERLINK \l _Toc15325 </w:instrText>
      </w:r>
      <w:r>
        <w:rPr>
          <w:rFonts w:hint="eastAsia" w:ascii="黑体" w:hAnsi="黑体" w:eastAsia="黑体" w:cs="黑体"/>
          <w:sz w:val="22"/>
          <w:szCs w:val="28"/>
        </w:rPr>
        <w:fldChar w:fldCharType="separate"/>
      </w:r>
      <w:r>
        <w:rPr>
          <w:rFonts w:hint="eastAsia" w:ascii="黑体" w:hAnsi="黑体" w:eastAsia="黑体" w:cs="黑体"/>
          <w:sz w:val="22"/>
          <w:szCs w:val="32"/>
        </w:rPr>
        <w:t xml:space="preserve">4  </w:t>
      </w:r>
      <w:r>
        <w:rPr>
          <w:rFonts w:hint="eastAsia" w:ascii="黑体" w:hAnsi="黑体" w:eastAsia="黑体" w:cs="黑体"/>
          <w:sz w:val="22"/>
          <w:szCs w:val="32"/>
          <w:lang w:val="en-US" w:eastAsia="zh-CN"/>
        </w:rPr>
        <w:t>技术服务</w:t>
      </w:r>
      <w:r>
        <w:rPr>
          <w:rFonts w:hint="eastAsia" w:ascii="黑体" w:hAnsi="黑体" w:eastAsia="黑体" w:cs="黑体"/>
          <w:sz w:val="22"/>
          <w:szCs w:val="32"/>
        </w:rPr>
        <w:t>要求</w:t>
      </w:r>
      <w:r>
        <w:rPr>
          <w:rFonts w:hint="eastAsia" w:ascii="黑体" w:hAnsi="黑体" w:eastAsia="黑体" w:cs="黑体"/>
          <w:sz w:val="22"/>
          <w:szCs w:val="28"/>
        </w:rPr>
        <w:tab/>
      </w:r>
      <w:r>
        <w:rPr>
          <w:rFonts w:hint="eastAsia" w:ascii="黑体" w:hAnsi="黑体" w:eastAsia="黑体" w:cs="黑体"/>
          <w:sz w:val="22"/>
          <w:szCs w:val="28"/>
        </w:rPr>
        <w:fldChar w:fldCharType="begin"/>
      </w:r>
      <w:r>
        <w:rPr>
          <w:rFonts w:hint="eastAsia" w:ascii="黑体" w:hAnsi="黑体" w:eastAsia="黑体" w:cs="黑体"/>
          <w:sz w:val="22"/>
          <w:szCs w:val="28"/>
        </w:rPr>
        <w:instrText xml:space="preserve"> PAGEREF _Toc15325 \h </w:instrText>
      </w:r>
      <w:r>
        <w:rPr>
          <w:rFonts w:hint="eastAsia" w:ascii="黑体" w:hAnsi="黑体" w:eastAsia="黑体" w:cs="黑体"/>
          <w:sz w:val="22"/>
          <w:szCs w:val="28"/>
        </w:rPr>
        <w:fldChar w:fldCharType="separate"/>
      </w:r>
      <w:r>
        <w:rPr>
          <w:rFonts w:hint="eastAsia" w:ascii="黑体" w:hAnsi="黑体" w:eastAsia="黑体" w:cs="黑体"/>
          <w:sz w:val="22"/>
          <w:szCs w:val="28"/>
        </w:rPr>
        <w:t>3</w:t>
      </w:r>
      <w:r>
        <w:rPr>
          <w:rFonts w:hint="eastAsia" w:ascii="黑体" w:hAnsi="黑体" w:eastAsia="黑体" w:cs="黑体"/>
          <w:sz w:val="22"/>
          <w:szCs w:val="28"/>
        </w:rPr>
        <w:fldChar w:fldCharType="end"/>
      </w:r>
      <w:r>
        <w:rPr>
          <w:rFonts w:hint="eastAsia" w:ascii="黑体" w:hAnsi="黑体" w:eastAsia="黑体" w:cs="黑体"/>
          <w:sz w:val="22"/>
          <w:szCs w:val="28"/>
        </w:rPr>
        <w:fldChar w:fldCharType="end"/>
      </w:r>
    </w:p>
    <w:p>
      <w:pPr>
        <w:pStyle w:val="13"/>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黑体" w:hAnsi="黑体" w:eastAsia="黑体" w:cs="黑体"/>
          <w:sz w:val="22"/>
          <w:szCs w:val="22"/>
        </w:rPr>
      </w:pPr>
      <w:r>
        <w:rPr>
          <w:rFonts w:hint="eastAsia" w:ascii="黑体" w:hAnsi="黑体" w:eastAsia="黑体" w:cs="黑体"/>
          <w:sz w:val="22"/>
          <w:szCs w:val="22"/>
        </w:rPr>
        <w:fldChar w:fldCharType="begin"/>
      </w:r>
      <w:r>
        <w:rPr>
          <w:rFonts w:hint="eastAsia" w:ascii="黑体" w:hAnsi="黑体" w:eastAsia="黑体" w:cs="黑体"/>
          <w:sz w:val="22"/>
          <w:szCs w:val="22"/>
        </w:rPr>
        <w:instrText xml:space="preserve"> HYPERLINK \l _Toc30737 </w:instrText>
      </w:r>
      <w:r>
        <w:rPr>
          <w:rFonts w:hint="eastAsia" w:ascii="黑体" w:hAnsi="黑体" w:eastAsia="黑体" w:cs="黑体"/>
          <w:sz w:val="22"/>
          <w:szCs w:val="22"/>
        </w:rPr>
        <w:fldChar w:fldCharType="separate"/>
      </w:r>
      <w:r>
        <w:rPr>
          <w:rFonts w:hint="eastAsia" w:ascii="黑体" w:hAnsi="黑体" w:eastAsia="黑体" w:cs="黑体"/>
          <w:bCs/>
          <w:sz w:val="22"/>
          <w:szCs w:val="22"/>
          <w:lang w:val="en-US" w:eastAsia="zh-CN"/>
        </w:rPr>
        <w:t>4</w:t>
      </w:r>
      <w:r>
        <w:rPr>
          <w:rFonts w:hint="eastAsia" w:ascii="黑体" w:hAnsi="黑体" w:eastAsia="黑体" w:cs="黑体"/>
          <w:bCs/>
          <w:sz w:val="22"/>
          <w:szCs w:val="22"/>
        </w:rPr>
        <w:t>.1 资质要求</w:t>
      </w:r>
      <w:r>
        <w:rPr>
          <w:rFonts w:hint="eastAsia" w:ascii="黑体" w:hAnsi="黑体" w:eastAsia="黑体" w:cs="黑体"/>
          <w:sz w:val="22"/>
          <w:szCs w:val="22"/>
        </w:rPr>
        <w:tab/>
      </w:r>
      <w:r>
        <w:rPr>
          <w:rFonts w:hint="eastAsia" w:ascii="黑体" w:hAnsi="黑体" w:eastAsia="黑体" w:cs="黑体"/>
          <w:sz w:val="22"/>
          <w:szCs w:val="22"/>
        </w:rPr>
        <w:fldChar w:fldCharType="begin"/>
      </w:r>
      <w:r>
        <w:rPr>
          <w:rFonts w:hint="eastAsia" w:ascii="黑体" w:hAnsi="黑体" w:eastAsia="黑体" w:cs="黑体"/>
          <w:sz w:val="22"/>
          <w:szCs w:val="22"/>
        </w:rPr>
        <w:instrText xml:space="preserve"> PAGEREF _Toc30737 \h </w:instrText>
      </w:r>
      <w:r>
        <w:rPr>
          <w:rFonts w:hint="eastAsia" w:ascii="黑体" w:hAnsi="黑体" w:eastAsia="黑体" w:cs="黑体"/>
          <w:sz w:val="22"/>
          <w:szCs w:val="22"/>
        </w:rPr>
        <w:fldChar w:fldCharType="separate"/>
      </w:r>
      <w:r>
        <w:rPr>
          <w:rFonts w:hint="eastAsia" w:ascii="黑体" w:hAnsi="黑体" w:eastAsia="黑体" w:cs="黑体"/>
          <w:sz w:val="22"/>
          <w:szCs w:val="22"/>
        </w:rPr>
        <w:t>3</w:t>
      </w:r>
      <w:r>
        <w:rPr>
          <w:rFonts w:hint="eastAsia" w:ascii="黑体" w:hAnsi="黑体" w:eastAsia="黑体" w:cs="黑体"/>
          <w:sz w:val="22"/>
          <w:szCs w:val="22"/>
        </w:rPr>
        <w:fldChar w:fldCharType="end"/>
      </w:r>
      <w:r>
        <w:rPr>
          <w:rFonts w:hint="eastAsia" w:ascii="黑体" w:hAnsi="黑体" w:eastAsia="黑体" w:cs="黑体"/>
          <w:sz w:val="22"/>
          <w:szCs w:val="22"/>
        </w:rPr>
        <w:fldChar w:fldCharType="end"/>
      </w:r>
    </w:p>
    <w:p>
      <w:pPr>
        <w:pStyle w:val="13"/>
        <w:keepNext w:val="0"/>
        <w:keepLines w:val="0"/>
        <w:pageBreakBefore w:val="0"/>
        <w:widowControl w:val="0"/>
        <w:tabs>
          <w:tab w:val="right" w:leader="dot" w:pos="8306"/>
          <w:tab w:val="clear" w:pos="8302"/>
        </w:tabs>
        <w:kinsoku/>
        <w:wordWrap/>
        <w:overflowPunct/>
        <w:topLinePunct w:val="0"/>
        <w:autoSpaceDE/>
        <w:autoSpaceDN/>
        <w:bidi w:val="0"/>
        <w:adjustRightInd/>
        <w:spacing w:line="360" w:lineRule="auto"/>
        <w:textAlignment w:val="auto"/>
        <w:rPr>
          <w:rFonts w:hint="eastAsia" w:ascii="黑体" w:hAnsi="黑体" w:eastAsia="黑体" w:cs="黑体"/>
          <w:sz w:val="22"/>
          <w:szCs w:val="22"/>
        </w:rPr>
      </w:pPr>
      <w:r>
        <w:rPr>
          <w:rFonts w:hint="eastAsia" w:ascii="黑体" w:hAnsi="黑体" w:eastAsia="黑体" w:cs="黑体"/>
          <w:sz w:val="22"/>
          <w:szCs w:val="22"/>
        </w:rPr>
        <w:fldChar w:fldCharType="begin"/>
      </w:r>
      <w:r>
        <w:rPr>
          <w:rFonts w:hint="eastAsia" w:ascii="黑体" w:hAnsi="黑体" w:eastAsia="黑体" w:cs="黑体"/>
          <w:sz w:val="22"/>
          <w:szCs w:val="22"/>
        </w:rPr>
        <w:instrText xml:space="preserve"> HYPERLINK \l _Toc24059 </w:instrText>
      </w:r>
      <w:r>
        <w:rPr>
          <w:rFonts w:hint="eastAsia" w:ascii="黑体" w:hAnsi="黑体" w:eastAsia="黑体" w:cs="黑体"/>
          <w:sz w:val="22"/>
          <w:szCs w:val="22"/>
        </w:rPr>
        <w:fldChar w:fldCharType="separate"/>
      </w:r>
      <w:r>
        <w:rPr>
          <w:rFonts w:hint="eastAsia" w:ascii="黑体" w:hAnsi="黑体" w:eastAsia="黑体" w:cs="黑体"/>
          <w:bCs/>
          <w:sz w:val="22"/>
          <w:szCs w:val="22"/>
          <w:lang w:val="en-US" w:eastAsia="zh-CN"/>
        </w:rPr>
        <w:t>4.2 其他要求</w:t>
      </w:r>
      <w:r>
        <w:rPr>
          <w:rFonts w:hint="eastAsia" w:ascii="黑体" w:hAnsi="黑体" w:eastAsia="黑体" w:cs="黑体"/>
          <w:sz w:val="22"/>
          <w:szCs w:val="22"/>
        </w:rPr>
        <w:tab/>
      </w:r>
      <w:r>
        <w:rPr>
          <w:rFonts w:hint="eastAsia" w:ascii="黑体" w:hAnsi="黑体" w:eastAsia="黑体" w:cs="黑体"/>
          <w:sz w:val="22"/>
          <w:szCs w:val="22"/>
        </w:rPr>
        <w:fldChar w:fldCharType="begin"/>
      </w:r>
      <w:r>
        <w:rPr>
          <w:rFonts w:hint="eastAsia" w:ascii="黑体" w:hAnsi="黑体" w:eastAsia="黑体" w:cs="黑体"/>
          <w:sz w:val="22"/>
          <w:szCs w:val="22"/>
        </w:rPr>
        <w:instrText xml:space="preserve"> PAGEREF _Toc24059 \h </w:instrText>
      </w:r>
      <w:r>
        <w:rPr>
          <w:rFonts w:hint="eastAsia" w:ascii="黑体" w:hAnsi="黑体" w:eastAsia="黑体" w:cs="黑体"/>
          <w:sz w:val="22"/>
          <w:szCs w:val="22"/>
        </w:rPr>
        <w:fldChar w:fldCharType="separate"/>
      </w:r>
      <w:r>
        <w:rPr>
          <w:rFonts w:hint="eastAsia" w:ascii="黑体" w:hAnsi="黑体" w:eastAsia="黑体" w:cs="黑体"/>
          <w:sz w:val="22"/>
          <w:szCs w:val="22"/>
        </w:rPr>
        <w:t>4</w:t>
      </w:r>
      <w:r>
        <w:rPr>
          <w:rFonts w:hint="eastAsia" w:ascii="黑体" w:hAnsi="黑体" w:eastAsia="黑体" w:cs="黑体"/>
          <w:sz w:val="22"/>
          <w:szCs w:val="22"/>
        </w:rPr>
        <w:fldChar w:fldCharType="end"/>
      </w:r>
      <w:r>
        <w:rPr>
          <w:rFonts w:hint="eastAsia" w:ascii="黑体" w:hAnsi="黑体" w:eastAsia="黑体" w:cs="黑体"/>
          <w:sz w:val="22"/>
          <w:szCs w:val="22"/>
        </w:rPr>
        <w:fldChar w:fldCharType="end"/>
      </w:r>
    </w:p>
    <w:p>
      <w:pPr>
        <w:pStyle w:val="12"/>
        <w:keepNext w:val="0"/>
        <w:keepLines w:val="0"/>
        <w:pageBreakBefore w:val="0"/>
        <w:widowControl w:val="0"/>
        <w:tabs>
          <w:tab w:val="right" w:leader="dot" w:pos="8306"/>
        </w:tabs>
        <w:kinsoku/>
        <w:wordWrap/>
        <w:overflowPunct/>
        <w:topLinePunct w:val="0"/>
        <w:autoSpaceDE/>
        <w:autoSpaceDN/>
        <w:bidi w:val="0"/>
        <w:adjustRightInd/>
        <w:snapToGrid w:val="0"/>
        <w:spacing w:line="360" w:lineRule="auto"/>
        <w:textAlignment w:val="auto"/>
        <w:rPr>
          <w:rFonts w:ascii="黑体" w:hAnsi="黑体" w:eastAsia="黑体" w:cs="黑体"/>
          <w:b/>
          <w:sz w:val="24"/>
        </w:rPr>
      </w:pPr>
      <w:r>
        <w:rPr>
          <w:rFonts w:hint="eastAsia" w:ascii="黑体" w:hAnsi="黑体" w:eastAsia="黑体" w:cs="黑体"/>
          <w:sz w:val="22"/>
          <w:szCs w:val="28"/>
        </w:rPr>
        <w:fldChar w:fldCharType="end"/>
      </w:r>
    </w:p>
    <w:p>
      <w:pPr>
        <w:rPr>
          <w:rFonts w:ascii="宋体" w:hAnsi="宋体"/>
          <w:b/>
          <w:sz w:val="30"/>
        </w:rPr>
      </w:pPr>
      <w:r>
        <w:rPr>
          <w:rFonts w:ascii="宋体" w:hAnsi="宋体"/>
          <w:b/>
          <w:sz w:val="30"/>
        </w:rPr>
        <w:br w:type="page"/>
      </w:r>
    </w:p>
    <w:p>
      <w:pPr>
        <w:spacing w:line="480" w:lineRule="auto"/>
        <w:jc w:val="center"/>
        <w:outlineLvl w:val="0"/>
        <w:rPr>
          <w:rFonts w:ascii="宋体" w:hAnsi="宋体"/>
          <w:b/>
          <w:sz w:val="32"/>
        </w:rPr>
      </w:pPr>
      <w:bookmarkStart w:id="3" w:name="_Toc19589"/>
      <w:bookmarkStart w:id="4" w:name="_Toc266713645"/>
      <w:bookmarkStart w:id="5" w:name="_Toc17586"/>
      <w:bookmarkStart w:id="6" w:name="_Toc161832193"/>
      <w:bookmarkStart w:id="7" w:name="_Toc23370"/>
      <w:bookmarkStart w:id="8" w:name="_Toc32374"/>
      <w:r>
        <w:rPr>
          <w:rFonts w:hint="eastAsia" w:ascii="宋体" w:hAnsi="宋体"/>
          <w:b/>
          <w:sz w:val="32"/>
        </w:rPr>
        <w:t>总 则</w:t>
      </w:r>
      <w:bookmarkEnd w:id="3"/>
      <w:bookmarkEnd w:id="4"/>
      <w:bookmarkEnd w:id="5"/>
      <w:bookmarkEnd w:id="6"/>
      <w:bookmarkEnd w:id="7"/>
      <w:bookmarkEnd w:id="8"/>
    </w:p>
    <w:p>
      <w:pPr>
        <w:numPr>
          <w:ilvl w:val="0"/>
          <w:numId w:val="2"/>
        </w:numPr>
        <w:spacing w:line="360" w:lineRule="auto"/>
        <w:rPr>
          <w:rFonts w:ascii="宋体" w:hAnsi="宋体"/>
          <w:bCs/>
          <w:sz w:val="24"/>
        </w:rPr>
      </w:pPr>
      <w:r>
        <w:rPr>
          <w:rFonts w:hint="eastAsia" w:ascii="宋体" w:hAnsi="宋体"/>
          <w:bCs/>
          <w:sz w:val="24"/>
        </w:rPr>
        <w:t>本文件为该零星采购项目的技术要求书。</w:t>
      </w:r>
    </w:p>
    <w:p>
      <w:pPr>
        <w:numPr>
          <w:ilvl w:val="0"/>
          <w:numId w:val="2"/>
        </w:numPr>
        <w:spacing w:line="360" w:lineRule="auto"/>
        <w:rPr>
          <w:rFonts w:ascii="宋体" w:hAnsi="宋体"/>
          <w:bCs/>
          <w:sz w:val="24"/>
          <w:szCs w:val="22"/>
        </w:rPr>
      </w:pPr>
      <w:r>
        <w:rPr>
          <w:rFonts w:hint="eastAsia" w:ascii="宋体" w:hAnsi="宋体"/>
          <w:bCs/>
          <w:sz w:val="24"/>
          <w:szCs w:val="22"/>
        </w:rPr>
        <w:t>采购服务提供方</w:t>
      </w:r>
      <w:r>
        <w:rPr>
          <w:rFonts w:hint="eastAsia"/>
          <w:sz w:val="24"/>
        </w:rPr>
        <w:t>需要提供满足</w:t>
      </w:r>
      <w:r>
        <w:rPr>
          <w:rFonts w:hint="eastAsia" w:ascii="宋体" w:hAnsi="宋体"/>
          <w:bCs/>
          <w:sz w:val="24"/>
          <w:szCs w:val="22"/>
        </w:rPr>
        <w:t>本技术要求书制定目标</w:t>
      </w:r>
      <w:r>
        <w:rPr>
          <w:rFonts w:hint="eastAsia"/>
          <w:sz w:val="24"/>
        </w:rPr>
        <w:t>（</w:t>
      </w:r>
      <w:r>
        <w:rPr>
          <w:rFonts w:hint="eastAsia" w:ascii="宋体" w:hAnsi="宋体"/>
          <w:bCs/>
          <w:sz w:val="24"/>
          <w:szCs w:val="22"/>
        </w:rPr>
        <w:t>技术参数和图纸</w:t>
      </w:r>
      <w:r>
        <w:rPr>
          <w:rFonts w:hint="eastAsia"/>
          <w:sz w:val="24"/>
        </w:rPr>
        <w:t>）</w:t>
      </w:r>
      <w:r>
        <w:rPr>
          <w:rFonts w:hint="eastAsia" w:ascii="宋体" w:hAnsi="宋体"/>
          <w:bCs/>
          <w:sz w:val="24"/>
          <w:szCs w:val="22"/>
        </w:rPr>
        <w:t>的</w:t>
      </w:r>
      <w:r>
        <w:rPr>
          <w:rFonts w:hint="eastAsia"/>
          <w:sz w:val="24"/>
        </w:rPr>
        <w:t>加工测试服务，以及在项目进行中为达成既定目标提出的其他加工测试需求。</w:t>
      </w:r>
    </w:p>
    <w:p>
      <w:pPr>
        <w:numPr>
          <w:ilvl w:val="0"/>
          <w:numId w:val="2"/>
        </w:numPr>
        <w:spacing w:line="360" w:lineRule="auto"/>
        <w:rPr>
          <w:rFonts w:ascii="宋体" w:hAnsi="宋体"/>
          <w:bCs/>
          <w:sz w:val="24"/>
          <w:szCs w:val="22"/>
        </w:rPr>
      </w:pPr>
      <w:r>
        <w:rPr>
          <w:rFonts w:hint="eastAsia" w:ascii="宋体" w:hAnsi="宋体"/>
          <w:bCs/>
          <w:sz w:val="24"/>
          <w:szCs w:val="22"/>
        </w:rPr>
        <w:t>本技术要求书未尽事宜，由双方协商确定。</w:t>
      </w:r>
    </w:p>
    <w:p>
      <w:pPr>
        <w:pStyle w:val="23"/>
        <w:spacing w:before="312"/>
        <w:rPr>
          <w:szCs w:val="22"/>
        </w:rPr>
      </w:pPr>
      <w:r>
        <w:rPr>
          <w:rFonts w:hint="eastAsia"/>
          <w:szCs w:val="22"/>
        </w:rPr>
        <w:br w:type="page"/>
      </w:r>
    </w:p>
    <w:p>
      <w:pPr>
        <w:pStyle w:val="23"/>
        <w:spacing w:before="312"/>
        <w:outlineLvl w:val="0"/>
        <w:rPr>
          <w:rFonts w:asciiTheme="minorEastAsia" w:hAnsiTheme="minorEastAsia" w:eastAsiaTheme="minorEastAsia" w:cstheme="minorEastAsia"/>
          <w:bCs/>
          <w:color w:val="C00000"/>
        </w:rPr>
      </w:pPr>
      <w:bookmarkStart w:id="9" w:name="_Toc30150"/>
      <w:bookmarkStart w:id="10" w:name="_Toc161832194"/>
      <w:r>
        <w:rPr>
          <w:rFonts w:ascii="黑体" w:hAnsi="黑体" w:eastAsia="黑体" w:cs="黑体"/>
          <w:sz w:val="28"/>
          <w:szCs w:val="28"/>
        </w:rPr>
        <w:t>1</w:t>
      </w:r>
      <w:r>
        <w:rPr>
          <w:rFonts w:hint="eastAsia" w:ascii="黑体" w:hAnsi="黑体" w:eastAsia="黑体" w:cs="黑体"/>
          <w:sz w:val="28"/>
          <w:szCs w:val="28"/>
        </w:rPr>
        <w:t xml:space="preserve">  服务内容及目的</w:t>
      </w:r>
      <w:bookmarkEnd w:id="9"/>
      <w:bookmarkEnd w:id="1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rPr>
      </w:pPr>
      <w:bookmarkStart w:id="11" w:name="_Toc161832195"/>
      <w:r>
        <w:rPr>
          <w:rFonts w:hint="eastAsia" w:asciiTheme="minorEastAsia" w:hAnsiTheme="minorEastAsia" w:eastAsiaTheme="minorEastAsia" w:cstheme="minorEastAsia"/>
          <w:color w:val="000000"/>
          <w:sz w:val="24"/>
        </w:rPr>
        <w:t>塑胶管是高压单芯电缆常见的外包保护管，在城市道路应用广泛，常见材质为MPP、HDPE、PVC等，不像金属管道，塑胶材料内壁因缺乏导波媒介、吸光等原因，无法实现超声导波、激光反射等精准检测。目前除利用穿管器检查是否疏通，尚无其他有效便捷的检查手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本项目针对塑胶电缆保护管的材质特性，提出一种基于环形阵列多束激光的MPP管内壁形貌检测技术，</w:t>
      </w:r>
      <w:r>
        <w:rPr>
          <w:rFonts w:hint="eastAsia" w:asciiTheme="minorEastAsia" w:hAnsiTheme="minorEastAsia" w:eastAsiaTheme="minorEastAsia" w:cstheme="minorEastAsia"/>
          <w:color w:val="000000"/>
          <w:sz w:val="24"/>
          <w:lang w:val="en-US" w:eastAsia="zh-CN"/>
        </w:rPr>
        <w:t>加工</w:t>
      </w:r>
      <w:r>
        <w:rPr>
          <w:rFonts w:hint="eastAsia" w:asciiTheme="minorEastAsia" w:hAnsiTheme="minorEastAsia" w:eastAsiaTheme="minorEastAsia" w:cstheme="minorEastAsia"/>
          <w:color w:val="000000"/>
          <w:sz w:val="24"/>
        </w:rPr>
        <w:t>便携式电缆管内壁检测仪器，完成产品检测检验及测试，对产品进行试验与推广使用。</w:t>
      </w:r>
    </w:p>
    <w:p>
      <w:pPr>
        <w:pStyle w:val="23"/>
        <w:spacing w:before="312"/>
        <w:outlineLvl w:val="0"/>
        <w:rPr>
          <w:rFonts w:hint="eastAsia" w:ascii="黑体" w:hAnsi="黑体" w:eastAsia="黑体" w:cs="黑体"/>
          <w:sz w:val="28"/>
          <w:szCs w:val="28"/>
          <w:lang w:val="en-US" w:eastAsia="zh-CN"/>
        </w:rPr>
      </w:pPr>
      <w:bookmarkStart w:id="12" w:name="_Toc9899"/>
      <w:r>
        <w:rPr>
          <w:rFonts w:ascii="黑体" w:hAnsi="黑体" w:eastAsia="黑体" w:cs="黑体"/>
          <w:sz w:val="28"/>
          <w:szCs w:val="28"/>
        </w:rPr>
        <w:t>2</w:t>
      </w:r>
      <w:r>
        <w:rPr>
          <w:rFonts w:hint="eastAsia" w:ascii="黑体" w:hAnsi="黑体" w:eastAsia="黑体" w:cs="黑体"/>
          <w:sz w:val="28"/>
          <w:szCs w:val="28"/>
        </w:rPr>
        <w:t xml:space="preserve">  </w:t>
      </w:r>
      <w:bookmarkEnd w:id="11"/>
      <w:r>
        <w:rPr>
          <w:rFonts w:hint="eastAsia" w:ascii="黑体" w:hAnsi="黑体" w:eastAsia="黑体" w:cs="黑体"/>
          <w:sz w:val="28"/>
          <w:szCs w:val="28"/>
          <w:lang w:val="en-US" w:eastAsia="zh-CN"/>
        </w:rPr>
        <w:t>服务范围</w:t>
      </w:r>
      <w:bookmarkEnd w:id="12"/>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乙方应根据甲方要求</w:t>
      </w:r>
      <w:r>
        <w:rPr>
          <w:rFonts w:hint="eastAsia" w:asciiTheme="minorEastAsia" w:hAnsiTheme="minorEastAsia" w:eastAsiaTheme="minorEastAsia" w:cstheme="minorEastAsia"/>
          <w:color w:val="000000"/>
          <w:sz w:val="24"/>
        </w:rPr>
        <w:t>开展MPP管内壁形貌检测</w:t>
      </w:r>
      <w:r>
        <w:rPr>
          <w:rFonts w:hint="eastAsia" w:asciiTheme="minorEastAsia" w:hAnsiTheme="minorEastAsia" w:eastAsiaTheme="minorEastAsia" w:cstheme="minorEastAsia"/>
          <w:color w:val="000000"/>
          <w:sz w:val="24"/>
          <w:lang w:val="en-US" w:eastAsia="zh-CN"/>
        </w:rPr>
        <w:t>仪器的加工</w:t>
      </w:r>
      <w:r>
        <w:rPr>
          <w:rFonts w:hint="eastAsia" w:asciiTheme="minorEastAsia" w:hAnsiTheme="minorEastAsia" w:eastAsiaTheme="minorEastAsia" w:cstheme="minorEastAsia"/>
          <w:color w:val="000000"/>
          <w:sz w:val="24"/>
        </w:rPr>
        <w:t>，</w:t>
      </w:r>
      <w:r>
        <w:rPr>
          <w:rFonts w:hint="eastAsia" w:asciiTheme="minorEastAsia" w:hAnsiTheme="minorEastAsia" w:eastAsiaTheme="minorEastAsia" w:cstheme="minorEastAsia"/>
          <w:color w:val="000000"/>
          <w:sz w:val="24"/>
          <w:lang w:val="en-US" w:eastAsia="zh-CN"/>
        </w:rPr>
        <w:t>并对仪器使用效果进行检测</w:t>
      </w:r>
      <w:r>
        <w:rPr>
          <w:rFonts w:hint="eastAsia" w:asciiTheme="minorEastAsia" w:hAnsiTheme="minorEastAsia" w:eastAsiaTheme="minorEastAsia" w:cstheme="minorEastAsia"/>
          <w:color w:val="000000"/>
          <w:sz w:val="24"/>
        </w:rPr>
        <w:t>，</w:t>
      </w:r>
      <w:r>
        <w:rPr>
          <w:rFonts w:hint="eastAsia" w:asciiTheme="minorEastAsia" w:hAnsiTheme="minorEastAsia" w:eastAsiaTheme="minorEastAsia" w:cstheme="minorEastAsia"/>
          <w:color w:val="000000"/>
          <w:sz w:val="24"/>
          <w:lang w:val="en-US" w:eastAsia="zh-CN"/>
        </w:rPr>
        <w:t>可实现电缆</w:t>
      </w:r>
      <w:r>
        <w:rPr>
          <w:rFonts w:hint="eastAsia" w:asciiTheme="minorEastAsia" w:hAnsiTheme="minorEastAsia" w:eastAsiaTheme="minorEastAsia" w:cstheme="minorEastAsia"/>
          <w:color w:val="000000"/>
          <w:sz w:val="24"/>
        </w:rPr>
        <w:t>管内壁形貌</w:t>
      </w:r>
      <w:r>
        <w:rPr>
          <w:rFonts w:hint="eastAsia" w:asciiTheme="minorEastAsia" w:hAnsiTheme="minorEastAsia" w:eastAsiaTheme="minorEastAsia" w:cstheme="minorEastAsia"/>
          <w:color w:val="000000"/>
          <w:sz w:val="24"/>
          <w:lang w:val="en-US" w:eastAsia="zh-CN"/>
        </w:rPr>
        <w:t>的</w:t>
      </w:r>
      <w:r>
        <w:rPr>
          <w:rFonts w:hint="eastAsia" w:asciiTheme="minorEastAsia" w:hAnsiTheme="minorEastAsia" w:eastAsiaTheme="minorEastAsia" w:cstheme="minorEastAsia"/>
          <w:color w:val="000000"/>
          <w:sz w:val="24"/>
        </w:rPr>
        <w:t>有效</w:t>
      </w:r>
      <w:r>
        <w:rPr>
          <w:rFonts w:hint="eastAsia" w:asciiTheme="minorEastAsia" w:hAnsiTheme="minorEastAsia" w:eastAsiaTheme="minorEastAsia" w:cstheme="minorEastAsia"/>
          <w:color w:val="000000"/>
          <w:sz w:val="24"/>
          <w:lang w:val="en-US" w:eastAsia="zh-CN"/>
        </w:rPr>
        <w:t>检测</w:t>
      </w:r>
      <w:r>
        <w:rPr>
          <w:rFonts w:hint="eastAsia" w:asciiTheme="minorEastAsia" w:hAnsiTheme="minorEastAsia" w:eastAsiaTheme="minorEastAsia" w:cstheme="minorEastAsia"/>
          <w:color w:val="000000"/>
          <w:sz w:val="24"/>
        </w:rPr>
        <w:t>。</w:t>
      </w:r>
    </w:p>
    <w:p>
      <w:pPr>
        <w:pStyle w:val="23"/>
        <w:spacing w:before="312"/>
        <w:outlineLvl w:val="0"/>
        <w:rPr>
          <w:rFonts w:ascii="黑体" w:hAnsi="黑体" w:eastAsia="黑体" w:cs="黑体"/>
          <w:sz w:val="28"/>
          <w:szCs w:val="28"/>
        </w:rPr>
      </w:pPr>
      <w:bookmarkStart w:id="13" w:name="_Toc266713650"/>
      <w:bookmarkStart w:id="14" w:name="_Toc161832196"/>
      <w:bookmarkStart w:id="15" w:name="_Toc32155"/>
      <w:r>
        <w:rPr>
          <w:rFonts w:ascii="黑体" w:hAnsi="黑体" w:eastAsia="黑体" w:cs="黑体"/>
          <w:sz w:val="28"/>
          <w:szCs w:val="28"/>
        </w:rPr>
        <w:t>3</w:t>
      </w:r>
      <w:r>
        <w:rPr>
          <w:rFonts w:hint="eastAsia" w:ascii="黑体" w:hAnsi="黑体" w:eastAsia="黑体" w:cs="黑体"/>
          <w:sz w:val="28"/>
          <w:szCs w:val="28"/>
        </w:rPr>
        <w:t xml:space="preserve">  </w:t>
      </w:r>
      <w:bookmarkEnd w:id="13"/>
      <w:r>
        <w:rPr>
          <w:rFonts w:hint="eastAsia" w:ascii="黑体" w:hAnsi="黑体" w:eastAsia="黑体" w:cs="黑体"/>
          <w:sz w:val="28"/>
          <w:szCs w:val="28"/>
        </w:rPr>
        <w:t>成果交付与验收</w:t>
      </w:r>
      <w:bookmarkEnd w:id="14"/>
      <w:bookmarkEnd w:id="15"/>
    </w:p>
    <w:p>
      <w:pPr>
        <w:spacing w:line="360" w:lineRule="auto"/>
        <w:ind w:firstLine="480" w:firstLineChars="200"/>
        <w:rPr>
          <w:rFonts w:hint="eastAsia" w:ascii="黑体" w:hAnsi="黑体" w:eastAsia="黑体" w:cs="黑体"/>
          <w:bCs/>
          <w:sz w:val="24"/>
        </w:rPr>
      </w:pPr>
      <w:bookmarkStart w:id="16" w:name="_Toc161832197"/>
      <w:r>
        <w:rPr>
          <w:rFonts w:hint="eastAsia" w:asciiTheme="minorEastAsia" w:hAnsiTheme="minorEastAsia" w:eastAsiaTheme="minorEastAsia" w:cstheme="minorEastAsia"/>
          <w:color w:val="000000"/>
          <w:sz w:val="24"/>
        </w:rPr>
        <w:t>本服务甲方享有所制作装置及测试加工过程数据的所有权。未经甲方许可，乙方不得使用或向第三方透露测试加工过程的全部数据及所制作装置的本体和相关信息。乙方需于2024年9月30日前交付符合</w:t>
      </w:r>
      <w:r>
        <w:rPr>
          <w:rFonts w:hint="eastAsia" w:asciiTheme="minorEastAsia" w:hAnsiTheme="minorEastAsia" w:eastAsiaTheme="minorEastAsia" w:cstheme="minorEastAsia"/>
          <w:color w:val="000000"/>
          <w:sz w:val="24"/>
          <w:lang w:val="en-US" w:eastAsia="zh-CN"/>
        </w:rPr>
        <w:t>甲方</w:t>
      </w:r>
      <w:r>
        <w:rPr>
          <w:rFonts w:hint="eastAsia" w:asciiTheme="minorEastAsia" w:hAnsiTheme="minorEastAsia" w:eastAsiaTheme="minorEastAsia" w:cstheme="minorEastAsia"/>
          <w:color w:val="000000"/>
          <w:sz w:val="24"/>
        </w:rPr>
        <w:t>要求的MPP管内壁形貌检测</w:t>
      </w:r>
      <w:r>
        <w:rPr>
          <w:rFonts w:hint="eastAsia" w:asciiTheme="minorEastAsia" w:hAnsiTheme="minorEastAsia" w:eastAsiaTheme="minorEastAsia" w:cstheme="minorEastAsia"/>
          <w:color w:val="000000"/>
          <w:sz w:val="24"/>
          <w:lang w:val="en-US" w:eastAsia="zh-CN"/>
        </w:rPr>
        <w:t>仪1套</w:t>
      </w:r>
      <w:r>
        <w:rPr>
          <w:rFonts w:hint="eastAsia" w:asciiTheme="minorEastAsia" w:hAnsiTheme="minorEastAsia" w:eastAsiaTheme="minorEastAsia" w:cstheme="minorEastAsia"/>
          <w:color w:val="000000"/>
          <w:sz w:val="24"/>
        </w:rPr>
        <w:t>，并通过甲方验收。</w:t>
      </w:r>
    </w:p>
    <w:bookmarkEnd w:id="16"/>
    <w:p>
      <w:pPr>
        <w:pStyle w:val="23"/>
        <w:spacing w:before="312"/>
        <w:outlineLvl w:val="0"/>
        <w:rPr>
          <w:rFonts w:hint="eastAsia" w:ascii="黑体" w:hAnsi="黑体" w:eastAsia="黑体" w:cs="黑体"/>
          <w:sz w:val="28"/>
          <w:szCs w:val="28"/>
        </w:rPr>
      </w:pPr>
      <w:bookmarkStart w:id="17" w:name="_Toc15325"/>
      <w:bookmarkStart w:id="18" w:name="_Toc161832200"/>
      <w:r>
        <w:rPr>
          <w:rFonts w:ascii="黑体" w:hAnsi="黑体" w:eastAsia="黑体" w:cs="黑体"/>
          <w:sz w:val="28"/>
          <w:szCs w:val="28"/>
        </w:rPr>
        <w:t>4</w:t>
      </w:r>
      <w:r>
        <w:rPr>
          <w:rFonts w:hint="eastAsia" w:ascii="黑体" w:hAnsi="黑体" w:eastAsia="黑体" w:cs="黑体"/>
          <w:sz w:val="28"/>
          <w:szCs w:val="28"/>
        </w:rPr>
        <w:t xml:space="preserve">  </w:t>
      </w:r>
      <w:r>
        <w:rPr>
          <w:rFonts w:hint="eastAsia" w:ascii="黑体" w:hAnsi="黑体" w:eastAsia="黑体" w:cs="黑体"/>
          <w:sz w:val="28"/>
          <w:szCs w:val="28"/>
          <w:lang w:val="en-US" w:eastAsia="zh-CN"/>
        </w:rPr>
        <w:t>技术服务</w:t>
      </w:r>
      <w:r>
        <w:rPr>
          <w:rFonts w:hint="eastAsia" w:ascii="黑体" w:hAnsi="黑体" w:eastAsia="黑体" w:cs="黑体"/>
          <w:sz w:val="28"/>
          <w:szCs w:val="28"/>
        </w:rPr>
        <w:t>要求</w:t>
      </w:r>
      <w:bookmarkEnd w:id="17"/>
      <w:bookmarkEnd w:id="18"/>
    </w:p>
    <w:p>
      <w:pPr>
        <w:spacing w:line="360" w:lineRule="auto"/>
        <w:outlineLvl w:val="1"/>
        <w:rPr>
          <w:rFonts w:ascii="黑体" w:hAnsi="黑体" w:eastAsia="黑体" w:cs="黑体"/>
          <w:bCs/>
          <w:sz w:val="24"/>
        </w:rPr>
      </w:pPr>
      <w:bookmarkStart w:id="19" w:name="_Toc30737"/>
      <w:bookmarkStart w:id="20" w:name="_Toc1749"/>
      <w:r>
        <w:rPr>
          <w:rFonts w:hint="eastAsia" w:ascii="黑体" w:hAnsi="黑体" w:eastAsia="黑体" w:cs="黑体"/>
          <w:bCs/>
          <w:sz w:val="24"/>
          <w:lang w:val="en-US" w:eastAsia="zh-CN"/>
        </w:rPr>
        <w:t>4</w:t>
      </w:r>
      <w:r>
        <w:rPr>
          <w:rFonts w:hint="eastAsia" w:ascii="黑体" w:hAnsi="黑体" w:eastAsia="黑体" w:cs="黑体"/>
          <w:bCs/>
          <w:sz w:val="24"/>
        </w:rPr>
        <w:t>.1 资质要求</w:t>
      </w:r>
      <w:bookmarkEnd w:id="19"/>
      <w:bookmarkEnd w:id="20"/>
    </w:p>
    <w:p>
      <w:pPr>
        <w:spacing w:line="360" w:lineRule="auto"/>
        <w:ind w:firstLine="480" w:firstLineChars="200"/>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投标人为中华人民共和国境内注册合法运作的法人或其他组织，并提供登记设立的证明文件（如营业执照或事业法人登记证或执业许可证等）。法人需具有独立承担民事责任和独立履行合同的能力；其他组织需具有独立履行合同的能力。</w:t>
      </w:r>
    </w:p>
    <w:p>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2）投标人没有在中国南方电网有限责任公司、广东电网有限责任公司及广东电网有限责任公司广州供电局暂停投标资格、取消投标资格、不接受投标、市场禁入，且未解除的。</w:t>
      </w:r>
    </w:p>
    <w:p>
      <w:pPr>
        <w:spacing w:line="360" w:lineRule="auto"/>
        <w:ind w:firstLine="480" w:firstLineChars="200"/>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3）投标人必须按照南方电网公司要求，在供应链统一服务平台（www.bidding.csg.cn）上完成供应商登记注册，并通过审核。</w:t>
      </w:r>
    </w:p>
    <w:p>
      <w:pPr>
        <w:spacing w:line="360" w:lineRule="auto"/>
        <w:ind w:firstLine="480" w:firstLineChars="200"/>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lang w:val="en-US" w:eastAsia="zh-CN"/>
        </w:rPr>
        <w:t>4）营业范围包含电力电缆产品、电缆测量装置、系统开发、智能检测装置和部件等相关业务。</w:t>
      </w:r>
    </w:p>
    <w:p>
      <w:pPr>
        <w:spacing w:line="360" w:lineRule="auto"/>
        <w:outlineLvl w:val="1"/>
        <w:rPr>
          <w:rFonts w:hint="default" w:ascii="黑体" w:hAnsi="黑体" w:eastAsia="黑体" w:cs="黑体"/>
          <w:bCs/>
          <w:sz w:val="24"/>
          <w:lang w:val="en-US" w:eastAsia="zh-CN"/>
        </w:rPr>
      </w:pPr>
      <w:bookmarkStart w:id="21" w:name="_Toc24059"/>
      <w:r>
        <w:rPr>
          <w:rFonts w:hint="eastAsia" w:ascii="黑体" w:hAnsi="黑体" w:eastAsia="黑体" w:cs="黑体"/>
          <w:bCs/>
          <w:sz w:val="24"/>
          <w:lang w:val="en-US" w:eastAsia="zh-CN"/>
        </w:rPr>
        <w:t>4.2 其他要求</w:t>
      </w:r>
      <w:bookmarkEnd w:id="21"/>
    </w:p>
    <w:p>
      <w:pPr>
        <w:spacing w:line="360" w:lineRule="auto"/>
        <w:ind w:firstLine="480" w:firstLineChars="200"/>
        <w:rPr>
          <w:rFonts w:asciiTheme="minorEastAsia" w:hAnsiTheme="minorEastAsia" w:eastAsiaTheme="minorEastAsia" w:cstheme="minorEastAsia"/>
          <w:color w:val="000000"/>
          <w:sz w:val="24"/>
        </w:rPr>
      </w:pPr>
      <w:r>
        <w:rPr>
          <w:rFonts w:ascii="宋体" w:hAnsi="宋体" w:eastAsia="宋体" w:cs="宋体"/>
          <w:sz w:val="24"/>
          <w:szCs w:val="24"/>
        </w:rPr>
        <w:t>报价下浮率大于10%的需提供成本分析报告（成本分析报告需充分说明单价和费用的组成、降低成本的合理措施及在其他项目中应用过的经验，未提供成本分析报告视为原则性不响应采购文件要求。)。</w:t>
      </w: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2C290B"/>
    <w:multiLevelType w:val="singleLevel"/>
    <w:tmpl w:val="D12C290B"/>
    <w:lvl w:ilvl="0" w:tentative="0">
      <w:start w:val="1"/>
      <w:numFmt w:val="decimal"/>
      <w:pStyle w:val="18"/>
      <w:lvlText w:val="%1."/>
      <w:lvlJc w:val="left"/>
      <w:pPr>
        <w:ind w:left="425" w:hanging="425"/>
      </w:pPr>
      <w:rPr>
        <w:rFonts w:hint="default"/>
      </w:rPr>
    </w:lvl>
  </w:abstractNum>
  <w:abstractNum w:abstractNumId="1">
    <w:nsid w:val="5E537055"/>
    <w:multiLevelType w:val="singleLevel"/>
    <w:tmpl w:val="5E537055"/>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UwZDZjMGQ5NTkyNWI3N2MzODFmZmU0Y2U5Yzg5NWUifQ=="/>
  </w:docVars>
  <w:rsids>
    <w:rsidRoot w:val="56112EA9"/>
    <w:rsid w:val="0000270B"/>
    <w:rsid w:val="00063188"/>
    <w:rsid w:val="00113C97"/>
    <w:rsid w:val="00156123"/>
    <w:rsid w:val="0018128B"/>
    <w:rsid w:val="00265B88"/>
    <w:rsid w:val="002B69BC"/>
    <w:rsid w:val="003E0E7E"/>
    <w:rsid w:val="003E2B1B"/>
    <w:rsid w:val="0045760C"/>
    <w:rsid w:val="006444FE"/>
    <w:rsid w:val="00695983"/>
    <w:rsid w:val="006D47D2"/>
    <w:rsid w:val="00796FA4"/>
    <w:rsid w:val="007B0D5A"/>
    <w:rsid w:val="007B6A1A"/>
    <w:rsid w:val="008F319A"/>
    <w:rsid w:val="00920102"/>
    <w:rsid w:val="00A20B78"/>
    <w:rsid w:val="00B66E81"/>
    <w:rsid w:val="00E82FB1"/>
    <w:rsid w:val="00EF3934"/>
    <w:rsid w:val="00F54233"/>
    <w:rsid w:val="00F70D2D"/>
    <w:rsid w:val="00F86AF1"/>
    <w:rsid w:val="0179697A"/>
    <w:rsid w:val="027C11FC"/>
    <w:rsid w:val="0295401A"/>
    <w:rsid w:val="0303051E"/>
    <w:rsid w:val="034E11A4"/>
    <w:rsid w:val="047B7BC4"/>
    <w:rsid w:val="04BF0B83"/>
    <w:rsid w:val="04FE4EAD"/>
    <w:rsid w:val="05312146"/>
    <w:rsid w:val="05330E8B"/>
    <w:rsid w:val="056D4E14"/>
    <w:rsid w:val="05D957EC"/>
    <w:rsid w:val="05FD7391"/>
    <w:rsid w:val="07B83A18"/>
    <w:rsid w:val="07DC3C63"/>
    <w:rsid w:val="08115868"/>
    <w:rsid w:val="0900633E"/>
    <w:rsid w:val="0970751E"/>
    <w:rsid w:val="09F078C2"/>
    <w:rsid w:val="0A9773AF"/>
    <w:rsid w:val="0B715FA9"/>
    <w:rsid w:val="0BD1033B"/>
    <w:rsid w:val="0BFD7548"/>
    <w:rsid w:val="0C8C1EEF"/>
    <w:rsid w:val="0D0C14ED"/>
    <w:rsid w:val="0D6039E5"/>
    <w:rsid w:val="0DDE0C6E"/>
    <w:rsid w:val="0F573D98"/>
    <w:rsid w:val="0FBF064C"/>
    <w:rsid w:val="10011F66"/>
    <w:rsid w:val="10972384"/>
    <w:rsid w:val="110F2EEB"/>
    <w:rsid w:val="11402C86"/>
    <w:rsid w:val="11AD6919"/>
    <w:rsid w:val="133733ED"/>
    <w:rsid w:val="13566E57"/>
    <w:rsid w:val="14421D4B"/>
    <w:rsid w:val="147F0C66"/>
    <w:rsid w:val="14A83346"/>
    <w:rsid w:val="1558413F"/>
    <w:rsid w:val="155E4129"/>
    <w:rsid w:val="15B259A5"/>
    <w:rsid w:val="160351CB"/>
    <w:rsid w:val="16F77748"/>
    <w:rsid w:val="172B52C7"/>
    <w:rsid w:val="17610576"/>
    <w:rsid w:val="19614B79"/>
    <w:rsid w:val="1A316175"/>
    <w:rsid w:val="1A6070F7"/>
    <w:rsid w:val="1A830B36"/>
    <w:rsid w:val="1ADD4B0E"/>
    <w:rsid w:val="1BF021DF"/>
    <w:rsid w:val="1BFA3C82"/>
    <w:rsid w:val="1C420957"/>
    <w:rsid w:val="1C672B50"/>
    <w:rsid w:val="1CCE54EB"/>
    <w:rsid w:val="1D7B5A38"/>
    <w:rsid w:val="1DA01B05"/>
    <w:rsid w:val="1DFC3E5E"/>
    <w:rsid w:val="1E502385"/>
    <w:rsid w:val="1EA43205"/>
    <w:rsid w:val="1FBD1E67"/>
    <w:rsid w:val="1FD46916"/>
    <w:rsid w:val="20D855DF"/>
    <w:rsid w:val="22015C0D"/>
    <w:rsid w:val="234277A0"/>
    <w:rsid w:val="234B187D"/>
    <w:rsid w:val="23774E19"/>
    <w:rsid w:val="23817433"/>
    <w:rsid w:val="23FC7BFC"/>
    <w:rsid w:val="24C94BCA"/>
    <w:rsid w:val="24EA7C79"/>
    <w:rsid w:val="250F564D"/>
    <w:rsid w:val="252B1EB7"/>
    <w:rsid w:val="256870E0"/>
    <w:rsid w:val="25E42BF8"/>
    <w:rsid w:val="265249D6"/>
    <w:rsid w:val="275D5D26"/>
    <w:rsid w:val="275F7D29"/>
    <w:rsid w:val="28403FE5"/>
    <w:rsid w:val="28BE48E2"/>
    <w:rsid w:val="29695A4F"/>
    <w:rsid w:val="2A0B622C"/>
    <w:rsid w:val="2A441357"/>
    <w:rsid w:val="2AFA0631"/>
    <w:rsid w:val="2B6721B0"/>
    <w:rsid w:val="2C191EA0"/>
    <w:rsid w:val="2C6E0BE4"/>
    <w:rsid w:val="2CA3124A"/>
    <w:rsid w:val="2CCC7166"/>
    <w:rsid w:val="2CD035C7"/>
    <w:rsid w:val="2CE51BB8"/>
    <w:rsid w:val="2D8B5047"/>
    <w:rsid w:val="2D8F39A1"/>
    <w:rsid w:val="2DAC4578"/>
    <w:rsid w:val="2DB36870"/>
    <w:rsid w:val="2DEA6350"/>
    <w:rsid w:val="2E260032"/>
    <w:rsid w:val="2E380045"/>
    <w:rsid w:val="2E743CC0"/>
    <w:rsid w:val="2EFA1D2E"/>
    <w:rsid w:val="2F2E6BFF"/>
    <w:rsid w:val="2FC241F2"/>
    <w:rsid w:val="2FEF2882"/>
    <w:rsid w:val="30045C2F"/>
    <w:rsid w:val="308129DD"/>
    <w:rsid w:val="30DF2B6C"/>
    <w:rsid w:val="313E1E7A"/>
    <w:rsid w:val="330E4E8B"/>
    <w:rsid w:val="33161353"/>
    <w:rsid w:val="334E3954"/>
    <w:rsid w:val="335E270E"/>
    <w:rsid w:val="34255CC8"/>
    <w:rsid w:val="35023A98"/>
    <w:rsid w:val="358A1AD4"/>
    <w:rsid w:val="358B06A1"/>
    <w:rsid w:val="35E41FA9"/>
    <w:rsid w:val="360B40D3"/>
    <w:rsid w:val="3661221B"/>
    <w:rsid w:val="379963C7"/>
    <w:rsid w:val="37A433E0"/>
    <w:rsid w:val="37AE0477"/>
    <w:rsid w:val="38004B22"/>
    <w:rsid w:val="39140E3A"/>
    <w:rsid w:val="398C2739"/>
    <w:rsid w:val="39E974DB"/>
    <w:rsid w:val="3C3045D4"/>
    <w:rsid w:val="3C4C5078"/>
    <w:rsid w:val="3CD5251C"/>
    <w:rsid w:val="3DC862F7"/>
    <w:rsid w:val="3DDE3626"/>
    <w:rsid w:val="3E28408B"/>
    <w:rsid w:val="401C5798"/>
    <w:rsid w:val="40794199"/>
    <w:rsid w:val="408A19B3"/>
    <w:rsid w:val="40CF0453"/>
    <w:rsid w:val="40F0643B"/>
    <w:rsid w:val="41414714"/>
    <w:rsid w:val="416875B9"/>
    <w:rsid w:val="419C13AE"/>
    <w:rsid w:val="41A73FEA"/>
    <w:rsid w:val="41B40E40"/>
    <w:rsid w:val="425C406C"/>
    <w:rsid w:val="42DF02D2"/>
    <w:rsid w:val="42EB7EE4"/>
    <w:rsid w:val="44C917FC"/>
    <w:rsid w:val="45AD67D6"/>
    <w:rsid w:val="45B918A8"/>
    <w:rsid w:val="45CF1EF0"/>
    <w:rsid w:val="45E20A8C"/>
    <w:rsid w:val="469E66E7"/>
    <w:rsid w:val="47097B32"/>
    <w:rsid w:val="47382C50"/>
    <w:rsid w:val="473A0E5B"/>
    <w:rsid w:val="476617B8"/>
    <w:rsid w:val="481765A3"/>
    <w:rsid w:val="48205CF0"/>
    <w:rsid w:val="48AE5D4E"/>
    <w:rsid w:val="49162EBF"/>
    <w:rsid w:val="4A4B4604"/>
    <w:rsid w:val="4A566A25"/>
    <w:rsid w:val="4A6F6CDC"/>
    <w:rsid w:val="4A7A1254"/>
    <w:rsid w:val="4AA16AD0"/>
    <w:rsid w:val="4B18258B"/>
    <w:rsid w:val="4B2A3103"/>
    <w:rsid w:val="4B3522B4"/>
    <w:rsid w:val="4B5E6BA8"/>
    <w:rsid w:val="4C2C5E41"/>
    <w:rsid w:val="4C3F54C3"/>
    <w:rsid w:val="4CE147A6"/>
    <w:rsid w:val="4CEE40EF"/>
    <w:rsid w:val="4DBF3FC8"/>
    <w:rsid w:val="4E287A4C"/>
    <w:rsid w:val="4F382032"/>
    <w:rsid w:val="50E83C80"/>
    <w:rsid w:val="50E84976"/>
    <w:rsid w:val="514B0964"/>
    <w:rsid w:val="52400ADE"/>
    <w:rsid w:val="52AB3BAD"/>
    <w:rsid w:val="52D27864"/>
    <w:rsid w:val="536B3F5C"/>
    <w:rsid w:val="53CD308F"/>
    <w:rsid w:val="54C17E31"/>
    <w:rsid w:val="54E75E4E"/>
    <w:rsid w:val="54EC5F00"/>
    <w:rsid w:val="55BB08CE"/>
    <w:rsid w:val="56112EA9"/>
    <w:rsid w:val="56634F6B"/>
    <w:rsid w:val="56794219"/>
    <w:rsid w:val="56FE5647"/>
    <w:rsid w:val="57193130"/>
    <w:rsid w:val="572004CE"/>
    <w:rsid w:val="576E3E36"/>
    <w:rsid w:val="57BC5768"/>
    <w:rsid w:val="57D62605"/>
    <w:rsid w:val="59796259"/>
    <w:rsid w:val="59BD7DED"/>
    <w:rsid w:val="5A2F47C4"/>
    <w:rsid w:val="5AA75543"/>
    <w:rsid w:val="5ABE0936"/>
    <w:rsid w:val="5AE252E1"/>
    <w:rsid w:val="5CBC1717"/>
    <w:rsid w:val="5D196F37"/>
    <w:rsid w:val="5D560B25"/>
    <w:rsid w:val="5E0B23A4"/>
    <w:rsid w:val="5E311346"/>
    <w:rsid w:val="5E7F2B1D"/>
    <w:rsid w:val="5E9479C8"/>
    <w:rsid w:val="5EE0081C"/>
    <w:rsid w:val="5EFF55AD"/>
    <w:rsid w:val="5FDF7500"/>
    <w:rsid w:val="5FFA163D"/>
    <w:rsid w:val="60446F8A"/>
    <w:rsid w:val="60A8111F"/>
    <w:rsid w:val="60B802FB"/>
    <w:rsid w:val="61633BDA"/>
    <w:rsid w:val="61B23647"/>
    <w:rsid w:val="61E33B45"/>
    <w:rsid w:val="61FC0E51"/>
    <w:rsid w:val="625A39FB"/>
    <w:rsid w:val="63C85B4C"/>
    <w:rsid w:val="63FE5340"/>
    <w:rsid w:val="64132F2C"/>
    <w:rsid w:val="649D39A3"/>
    <w:rsid w:val="64F92069"/>
    <w:rsid w:val="650664D0"/>
    <w:rsid w:val="652A6814"/>
    <w:rsid w:val="65355760"/>
    <w:rsid w:val="65B750B7"/>
    <w:rsid w:val="665F7107"/>
    <w:rsid w:val="673113AB"/>
    <w:rsid w:val="67593ED7"/>
    <w:rsid w:val="678C7059"/>
    <w:rsid w:val="68AC152E"/>
    <w:rsid w:val="68C83A2C"/>
    <w:rsid w:val="695323C7"/>
    <w:rsid w:val="69EA7D86"/>
    <w:rsid w:val="6B023115"/>
    <w:rsid w:val="6D401C96"/>
    <w:rsid w:val="6E06100F"/>
    <w:rsid w:val="6E5B1FD7"/>
    <w:rsid w:val="707B2347"/>
    <w:rsid w:val="708F1B04"/>
    <w:rsid w:val="70E237AF"/>
    <w:rsid w:val="710C1A65"/>
    <w:rsid w:val="71FF19B7"/>
    <w:rsid w:val="7242438A"/>
    <w:rsid w:val="72993C87"/>
    <w:rsid w:val="731458B8"/>
    <w:rsid w:val="73FA6E86"/>
    <w:rsid w:val="74210936"/>
    <w:rsid w:val="74572EAA"/>
    <w:rsid w:val="74E106B7"/>
    <w:rsid w:val="75700D85"/>
    <w:rsid w:val="75715F41"/>
    <w:rsid w:val="76497732"/>
    <w:rsid w:val="76890F73"/>
    <w:rsid w:val="770F4753"/>
    <w:rsid w:val="77FD169B"/>
    <w:rsid w:val="795E2CE3"/>
    <w:rsid w:val="79EB43CD"/>
    <w:rsid w:val="7A126AE1"/>
    <w:rsid w:val="7ABE2378"/>
    <w:rsid w:val="7AFB3926"/>
    <w:rsid w:val="7BA41111"/>
    <w:rsid w:val="7BFC3589"/>
    <w:rsid w:val="7C185614"/>
    <w:rsid w:val="7C9E4F3D"/>
    <w:rsid w:val="7CD02D3B"/>
    <w:rsid w:val="7D2B397D"/>
    <w:rsid w:val="7D6E6D76"/>
    <w:rsid w:val="7D996018"/>
    <w:rsid w:val="7DB409D9"/>
    <w:rsid w:val="7DB56E68"/>
    <w:rsid w:val="7E352FE9"/>
    <w:rsid w:val="7E576650"/>
    <w:rsid w:val="7EB61EE5"/>
    <w:rsid w:val="7FCE0606"/>
    <w:rsid w:val="7FF12EA3"/>
    <w:rsid w:val="7FF132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unhideWhenUsed/>
    <w:qFormat/>
    <w:uiPriority w:val="0"/>
    <w:pPr>
      <w:keepNext/>
      <w:keepLines/>
      <w:tabs>
        <w:tab w:val="left" w:pos="720"/>
      </w:tabs>
      <w:adjustRightInd w:val="0"/>
      <w:spacing w:line="320" w:lineRule="atLeast"/>
      <w:ind w:left="720" w:hanging="720"/>
      <w:outlineLvl w:val="1"/>
    </w:pPr>
    <w:rPr>
      <w:rFonts w:ascii="黑体" w:hAnsi="Arial" w:eastAsia="黑体" w:cs="宋体"/>
      <w:kern w:val="0"/>
      <w:sz w:val="28"/>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Body Text"/>
    <w:basedOn w:val="1"/>
    <w:next w:val="7"/>
    <w:unhideWhenUsed/>
    <w:qFormat/>
    <w:uiPriority w:val="99"/>
    <w:pPr>
      <w:spacing w:after="120"/>
    </w:pPr>
  </w:style>
  <w:style w:type="paragraph" w:styleId="7">
    <w:name w:val="Title"/>
    <w:basedOn w:val="1"/>
    <w:next w:val="1"/>
    <w:qFormat/>
    <w:uiPriority w:val="0"/>
    <w:pPr>
      <w:spacing w:before="240" w:after="60"/>
      <w:jc w:val="center"/>
      <w:outlineLvl w:val="0"/>
    </w:pPr>
    <w:rPr>
      <w:rFonts w:ascii="Cambria" w:hAnsi="Cambria"/>
      <w:b/>
      <w:bCs/>
      <w:sz w:val="32"/>
      <w:szCs w:val="32"/>
    </w:rPr>
  </w:style>
  <w:style w:type="paragraph" w:styleId="8">
    <w:name w:val="Plain Text"/>
    <w:basedOn w:val="1"/>
    <w:qFormat/>
    <w:uiPriority w:val="0"/>
    <w:rPr>
      <w:rFonts w:ascii="宋体" w:hAnsi="Courier New" w:cs="Courier New"/>
      <w:szCs w:val="21"/>
    </w:rPr>
  </w:style>
  <w:style w:type="paragraph" w:styleId="9">
    <w:name w:val="Balloon Text"/>
    <w:basedOn w:val="1"/>
    <w:link w:val="29"/>
    <w:qFormat/>
    <w:uiPriority w:val="0"/>
    <w:rPr>
      <w:sz w:val="18"/>
      <w:szCs w:val="18"/>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2">
    <w:name w:val="toc 1"/>
    <w:basedOn w:val="1"/>
    <w:next w:val="1"/>
    <w:qFormat/>
    <w:uiPriority w:val="39"/>
  </w:style>
  <w:style w:type="paragraph" w:styleId="13">
    <w:name w:val="toc 2"/>
    <w:basedOn w:val="1"/>
    <w:next w:val="1"/>
    <w:qFormat/>
    <w:uiPriority w:val="39"/>
    <w:pPr>
      <w:tabs>
        <w:tab w:val="right" w:leader="dot" w:pos="8302"/>
      </w:tabs>
      <w:snapToGrid w:val="0"/>
      <w:spacing w:line="360" w:lineRule="auto"/>
      <w:ind w:left="525" w:hanging="4"/>
    </w:pPr>
    <w:rPr>
      <w:sz w:val="24"/>
      <w:szCs w:val="20"/>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qFormat/>
    <w:uiPriority w:val="99"/>
  </w:style>
  <w:style w:type="paragraph" w:customStyle="1" w:styleId="18">
    <w:name w:val="标题1"/>
    <w:basedOn w:val="3"/>
    <w:next w:val="1"/>
    <w:qFormat/>
    <w:uiPriority w:val="0"/>
    <w:pPr>
      <w:numPr>
        <w:ilvl w:val="0"/>
        <w:numId w:val="1"/>
      </w:numPr>
    </w:pPr>
    <w:rPr>
      <w:rFonts w:hAnsi="黑体"/>
    </w:rPr>
  </w:style>
  <w:style w:type="paragraph" w:customStyle="1" w:styleId="19">
    <w:name w:val="首页项目名称"/>
    <w:link w:val="21"/>
    <w:qFormat/>
    <w:uiPriority w:val="0"/>
    <w:pPr>
      <w:jc w:val="center"/>
    </w:pPr>
    <w:rPr>
      <w:rFonts w:ascii="Times New Roman" w:hAnsi="Times New Roman" w:eastAsia="隶书" w:cs="Times New Roman"/>
      <w:sz w:val="52"/>
      <w:lang w:val="en-US" w:eastAsia="zh-CN" w:bidi="ar-SA"/>
    </w:rPr>
  </w:style>
  <w:style w:type="paragraph" w:customStyle="1" w:styleId="20">
    <w:name w:val="首页日期"/>
    <w:basedOn w:val="1"/>
    <w:link w:val="22"/>
    <w:qFormat/>
    <w:uiPriority w:val="0"/>
    <w:pPr>
      <w:jc w:val="center"/>
    </w:pPr>
    <w:rPr>
      <w:rFonts w:eastAsia="楷体"/>
      <w:sz w:val="32"/>
    </w:rPr>
  </w:style>
  <w:style w:type="character" w:customStyle="1" w:styleId="21">
    <w:name w:val="首页项目名称 Char"/>
    <w:link w:val="19"/>
    <w:qFormat/>
    <w:uiPriority w:val="0"/>
    <w:rPr>
      <w:rFonts w:ascii="Times New Roman" w:hAnsi="Times New Roman" w:eastAsia="隶书"/>
      <w:sz w:val="52"/>
    </w:rPr>
  </w:style>
  <w:style w:type="character" w:customStyle="1" w:styleId="22">
    <w:name w:val="首页日期 Char"/>
    <w:link w:val="20"/>
    <w:qFormat/>
    <w:uiPriority w:val="0"/>
    <w:rPr>
      <w:rFonts w:ascii="Times New Roman" w:hAnsi="Times New Roman" w:eastAsia="楷体"/>
      <w:sz w:val="32"/>
    </w:rPr>
  </w:style>
  <w:style w:type="paragraph" w:customStyle="1" w:styleId="23">
    <w:name w:val="一标题"/>
    <w:link w:val="24"/>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24">
    <w:name w:val="一标题 Char"/>
    <w:link w:val="23"/>
    <w:qFormat/>
    <w:uiPriority w:val="0"/>
    <w:rPr>
      <w:rFonts w:ascii="宋体" w:hAnsi="宋体" w:eastAsia="宋体" w:cs="Times New Roman"/>
      <w:b/>
      <w:sz w:val="24"/>
    </w:rPr>
  </w:style>
  <w:style w:type="paragraph" w:customStyle="1" w:styleId="25">
    <w:name w:val="_Style 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26">
    <w:name w:val="font21"/>
    <w:basedOn w:val="16"/>
    <w:qFormat/>
    <w:uiPriority w:val="0"/>
    <w:rPr>
      <w:rFonts w:hint="eastAsia" w:ascii="微软雅黑" w:hAnsi="微软雅黑" w:eastAsia="微软雅黑" w:cs="微软雅黑"/>
      <w:color w:val="000000"/>
      <w:sz w:val="20"/>
      <w:szCs w:val="20"/>
      <w:u w:val="none"/>
    </w:rPr>
  </w:style>
  <w:style w:type="character" w:customStyle="1" w:styleId="27">
    <w:name w:val="font31"/>
    <w:basedOn w:val="16"/>
    <w:qFormat/>
    <w:uiPriority w:val="0"/>
    <w:rPr>
      <w:rFonts w:hint="eastAsia" w:ascii="微软雅黑" w:hAnsi="微软雅黑" w:eastAsia="微软雅黑" w:cs="微软雅黑"/>
      <w:b/>
      <w:bCs/>
      <w:color w:val="FF0000"/>
      <w:sz w:val="20"/>
      <w:szCs w:val="20"/>
      <w:u w:val="none"/>
    </w:rPr>
  </w:style>
  <w:style w:type="character" w:customStyle="1" w:styleId="28">
    <w:name w:val="font41"/>
    <w:basedOn w:val="16"/>
    <w:qFormat/>
    <w:uiPriority w:val="0"/>
    <w:rPr>
      <w:rFonts w:hint="eastAsia" w:ascii="微软雅黑" w:hAnsi="微软雅黑" w:eastAsia="微软雅黑" w:cs="微软雅黑"/>
      <w:b/>
      <w:bCs/>
      <w:color w:val="000000"/>
      <w:sz w:val="20"/>
      <w:szCs w:val="20"/>
      <w:u w:val="none"/>
    </w:rPr>
  </w:style>
  <w:style w:type="character" w:customStyle="1" w:styleId="29">
    <w:name w:val="批注框文本 字符"/>
    <w:basedOn w:val="16"/>
    <w:link w:val="9"/>
    <w:qFormat/>
    <w:uiPriority w:val="0"/>
    <w:rPr>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BA071-8291-4FBF-B739-8E68DEDFDA79}">
  <ds:schemaRefs/>
</ds:datastoreItem>
</file>

<file path=docProps/app.xml><?xml version="1.0" encoding="utf-8"?>
<Properties xmlns="http://schemas.openxmlformats.org/officeDocument/2006/extended-properties" xmlns:vt="http://schemas.openxmlformats.org/officeDocument/2006/docPropsVTypes">
  <Template>Normal.dotm</Template>
  <Pages>5</Pages>
  <Words>301</Words>
  <Characters>1722</Characters>
  <Lines>14</Lines>
  <Paragraphs>4</Paragraphs>
  <TotalTime>0</TotalTime>
  <ScaleCrop>false</ScaleCrop>
  <LinksUpToDate>false</LinksUpToDate>
  <CharactersWithSpaces>2019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2024-03-20T05:13:00Z</dcterms:created>
  <dc:creator>shenpeiyi</dc:creator>
  <cp:lastModifiedBy>王岩</cp:lastModifiedBy>
  <dcterms:modified xsi:type="dcterms:W3CDTF">2024-04-10T10:01:29Z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115E9B5F602B4570BA720EFA9730AB44</vt:lpwstr>
  </property>
</Properties>
</file>