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624" w:beforeLines="200" w:line="0" w:lineRule="atLeast"/>
        <w:jc w:val="center"/>
        <w:rPr>
          <w:rFonts w:ascii="仿宋_GB2312" w:hAnsi="仿宋_GB2312" w:eastAsia="仿宋_GB2312" w:cs="仿宋_GB2312"/>
          <w:b/>
          <w:sz w:val="48"/>
          <w:szCs w:val="21"/>
        </w:rPr>
      </w:pPr>
      <w:bookmarkStart w:id="0" w:name="_Toc131133981"/>
      <w:bookmarkStart w:id="1" w:name="_Toc131134327"/>
      <w:bookmarkStart w:id="2" w:name="_Toc131134226"/>
      <w:bookmarkStart w:id="3" w:name="_Toc183578143"/>
      <w:bookmarkStart w:id="4" w:name="_Toc131168595"/>
      <w:bookmarkStart w:id="5" w:name="_Toc114028927"/>
      <w:r>
        <w:rPr>
          <w:rFonts w:hint="eastAsia" w:ascii="黑体" w:hAnsi="黑体" w:eastAsia="黑体"/>
          <w:b/>
          <w:bCs/>
          <w:sz w:val="36"/>
          <w:szCs w:val="36"/>
          <w:u w:val="single"/>
        </w:rPr>
        <w:t>数字电网科技公司2024年摄像机核心板材料零星采购项目</w:t>
      </w:r>
      <w:r>
        <w:rPr>
          <w:rFonts w:hint="eastAsia" w:ascii="仿宋_GB2312" w:hAnsi="仿宋_GB2312" w:eastAsia="仿宋_GB2312" w:cs="仿宋_GB2312"/>
          <w:b/>
          <w:sz w:val="48"/>
          <w:szCs w:val="21"/>
        </w:rPr>
        <w:t xml:space="preserve"> </w:t>
      </w:r>
    </w:p>
    <w:p>
      <w:pPr>
        <w:spacing w:before="624" w:beforeLines="200" w:line="0" w:lineRule="atLeast"/>
        <w:jc w:val="center"/>
        <w:outlineLvl w:val="9"/>
        <w:rPr>
          <w:rFonts w:ascii="仿宋_GB2312" w:hAnsi="仿宋_GB2312" w:eastAsia="仿宋_GB2312" w:cs="仿宋_GB2312"/>
          <w:b/>
          <w:sz w:val="48"/>
          <w:szCs w:val="21"/>
        </w:rPr>
      </w:pPr>
      <w:bookmarkStart w:id="6" w:name="_Toc6124"/>
      <w:bookmarkStart w:id="7" w:name="_Toc2621"/>
      <w:bookmarkStart w:id="8" w:name="_Toc127289271"/>
      <w:bookmarkStart w:id="9" w:name="_Toc26117"/>
      <w:bookmarkStart w:id="10" w:name="_Toc21562"/>
      <w:bookmarkStart w:id="11" w:name="_Toc124534206"/>
      <w:bookmarkStart w:id="12" w:name="_Toc28031"/>
      <w:bookmarkStart w:id="13" w:name="_Toc122702569"/>
      <w:bookmarkStart w:id="14" w:name="_Toc21712"/>
      <w:bookmarkStart w:id="15" w:name="_Toc12389"/>
      <w:bookmarkStart w:id="16" w:name="_Toc1546"/>
      <w:bookmarkStart w:id="17" w:name="_Toc124496990"/>
      <w:r>
        <w:rPr>
          <w:rFonts w:hint="eastAsia" w:ascii="仿宋_GB2312" w:hAnsi="仿宋_GB2312" w:eastAsia="仿宋_GB2312" w:cs="仿宋_GB2312"/>
          <w:b/>
          <w:sz w:val="48"/>
          <w:szCs w:val="21"/>
        </w:rPr>
        <w:t>技术规范书</w:t>
      </w:r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>
      <w:pPr>
        <w:pStyle w:val="2"/>
        <w:ind w:firstLine="480"/>
        <w:outlineLvl w:val="9"/>
      </w:pPr>
    </w:p>
    <w:p>
      <w:pPr>
        <w:pStyle w:val="3"/>
        <w:outlineLvl w:val="9"/>
      </w:pPr>
    </w:p>
    <w:p>
      <w:pPr>
        <w:outlineLvl w:val="9"/>
      </w:pPr>
    </w:p>
    <w:p>
      <w:pPr>
        <w:pStyle w:val="2"/>
        <w:outlineLvl w:val="9"/>
      </w:pPr>
    </w:p>
    <w:p>
      <w:pPr>
        <w:pStyle w:val="3"/>
        <w:outlineLvl w:val="9"/>
      </w:pPr>
    </w:p>
    <w:p/>
    <w:p>
      <w:pPr>
        <w:pStyle w:val="2"/>
      </w:pPr>
    </w:p>
    <w:p>
      <w:pPr>
        <w:pStyle w:val="3"/>
      </w:pPr>
    </w:p>
    <w:p/>
    <w:p>
      <w:pPr>
        <w:pStyle w:val="2"/>
        <w:rPr>
          <w:rFonts w:hint="eastAsia" w:eastAsia="宋体"/>
          <w:lang w:val="en-US" w:eastAsia="zh-CN"/>
        </w:rPr>
      </w:pPr>
    </w:p>
    <w:p>
      <w:pPr>
        <w:outlineLvl w:val="9"/>
      </w:pPr>
    </w:p>
    <w:p>
      <w:pPr>
        <w:pStyle w:val="2"/>
        <w:outlineLvl w:val="9"/>
      </w:pPr>
    </w:p>
    <w:p>
      <w:pPr>
        <w:pStyle w:val="3"/>
        <w:outlineLvl w:val="9"/>
      </w:pPr>
    </w:p>
    <w:p>
      <w:pPr>
        <w:pStyle w:val="2"/>
        <w:ind w:left="0" w:leftChars="0" w:firstLine="0" w:firstLineChars="0"/>
        <w:jc w:val="both"/>
        <w:outlineLvl w:val="9"/>
      </w:pPr>
    </w:p>
    <w:p>
      <w:pPr>
        <w:spacing w:before="624" w:beforeLines="200" w:line="0" w:lineRule="atLeast"/>
        <w:jc w:val="center"/>
        <w:outlineLvl w:val="9"/>
        <w:rPr>
          <w:rFonts w:ascii="仿宋_GB2312" w:hAnsi="仿宋_GB2312" w:eastAsia="仿宋_GB2312" w:cs="仿宋_GB2312"/>
          <w:b/>
          <w:sz w:val="36"/>
        </w:rPr>
      </w:pPr>
      <w:bookmarkStart w:id="18" w:name="_Toc20233"/>
      <w:bookmarkStart w:id="19" w:name="_Toc6890"/>
      <w:bookmarkStart w:id="20" w:name="_Toc17545"/>
      <w:bookmarkStart w:id="21" w:name="_Toc620"/>
      <w:r>
        <w:rPr>
          <w:rFonts w:hint="eastAsia" w:ascii="仿宋_GB2312" w:hAnsi="仿宋_GB2312" w:eastAsia="仿宋_GB2312" w:cs="仿宋_GB2312"/>
          <w:b/>
          <w:sz w:val="36"/>
        </w:rPr>
        <w:t>南方电网数字电网科技（广东）有限公司</w:t>
      </w:r>
      <w:r>
        <w:rPr>
          <w:rFonts w:ascii="宋体" w:hAnsi="宋体" w:cs="宋体"/>
          <w:sz w:val="24"/>
        </w:rPr>
        <w:t> </w:t>
      </w:r>
      <w:bookmarkEnd w:id="18"/>
      <w:bookmarkEnd w:id="19"/>
      <w:bookmarkEnd w:id="20"/>
      <w:bookmarkEnd w:id="21"/>
    </w:p>
    <w:p>
      <w:pPr>
        <w:spacing w:line="360" w:lineRule="auto"/>
        <w:jc w:val="center"/>
        <w:rPr>
          <w:rFonts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6"/>
        </w:rPr>
        <w:t>202</w:t>
      </w:r>
      <w:r>
        <w:rPr>
          <w:rFonts w:hint="eastAsia" w:ascii="仿宋_GB2312" w:hAnsi="仿宋_GB2312" w:eastAsia="仿宋_GB2312" w:cs="仿宋_GB2312"/>
          <w:b/>
          <w:sz w:val="36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b/>
          <w:sz w:val="36"/>
        </w:rPr>
        <w:t>年0</w:t>
      </w:r>
      <w:r>
        <w:rPr>
          <w:rFonts w:hint="eastAsia" w:ascii="仿宋_GB2312" w:hAnsi="仿宋_GB2312" w:eastAsia="仿宋_GB2312" w:cs="仿宋_GB2312"/>
          <w:b/>
          <w:sz w:val="36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b/>
          <w:sz w:val="36"/>
        </w:rPr>
        <w:t xml:space="preserve">月  </w:t>
      </w:r>
      <w:bookmarkEnd w:id="0"/>
      <w:bookmarkEnd w:id="1"/>
      <w:bookmarkEnd w:id="2"/>
      <w:bookmarkEnd w:id="3"/>
      <w:bookmarkEnd w:id="4"/>
      <w:bookmarkEnd w:id="5"/>
      <w:r>
        <w:rPr>
          <w:rFonts w:hint="eastAsia" w:ascii="仿宋_GB2312" w:hAnsi="仿宋_GB2312" w:eastAsia="仿宋_GB2312" w:cs="仿宋_GB2312"/>
          <w:b/>
          <w:sz w:val="36"/>
        </w:rPr>
        <w:br w:type="page"/>
      </w:r>
      <w:bookmarkStart w:id="22" w:name="_Toc7472"/>
      <w:r>
        <w:rPr>
          <w:rFonts w:hint="eastAsia" w:ascii="仿宋_GB2312" w:hAnsi="仿宋_GB2312" w:eastAsia="仿宋_GB2312" w:cs="仿宋_GB2312"/>
          <w:b/>
          <w:sz w:val="32"/>
          <w:szCs w:val="32"/>
        </w:rPr>
        <w:t>目 录</w:t>
      </w:r>
      <w:bookmarkEnd w:id="22"/>
    </w:p>
    <w:p>
      <w:pPr>
        <w:pStyle w:val="13"/>
        <w:tabs>
          <w:tab w:val="right" w:leader="dot" w:pos="8312"/>
        </w:tabs>
      </w:pPr>
      <w:r>
        <w:rPr>
          <w:rFonts w:hint="eastAsia" w:asciiTheme="minorEastAsia" w:hAnsiTheme="minorEastAsia" w:eastAsiaTheme="minorEastAsia" w:cstheme="minorEastAsia"/>
          <w:b/>
          <w:bCs/>
          <w:caps/>
          <w:sz w:val="28"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/>
          <w:bCs/>
          <w:caps/>
          <w:sz w:val="28"/>
          <w:szCs w:val="28"/>
        </w:rPr>
        <w:instrText xml:space="preserve">TOC \o "1-2" \h \u </w:instrText>
      </w:r>
      <w:r>
        <w:rPr>
          <w:rFonts w:hint="eastAsia" w:asciiTheme="minorEastAsia" w:hAnsiTheme="minorEastAsia" w:eastAsiaTheme="minorEastAsia" w:cstheme="minorEastAsia"/>
          <w:b/>
          <w:bCs/>
          <w:caps/>
          <w:sz w:val="28"/>
          <w:szCs w:val="28"/>
        </w:rPr>
        <w:fldChar w:fldCharType="separate"/>
      </w:r>
      <w:r>
        <w:rPr>
          <w:rFonts w:hint="eastAsia" w:asciiTheme="minorEastAsia" w:hAnsiTheme="minorEastAsia" w:eastAsiaTheme="minorEastAsia" w:cstheme="minorEastAsia"/>
          <w:bCs/>
          <w:caps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Cs/>
          <w:caps/>
          <w:szCs w:val="28"/>
        </w:rPr>
        <w:instrText xml:space="preserve"> HYPERLINK \l _Toc7472 </w:instrText>
      </w:r>
      <w:r>
        <w:rPr>
          <w:rFonts w:hint="eastAsia" w:asciiTheme="minorEastAsia" w:hAnsiTheme="minorEastAsia" w:eastAsiaTheme="minorEastAsia" w:cstheme="minorEastAsia"/>
          <w:bCs/>
          <w:caps/>
          <w:szCs w:val="28"/>
        </w:rPr>
        <w:fldChar w:fldCharType="separate"/>
      </w:r>
      <w:r>
        <w:rPr>
          <w:rFonts w:hint="eastAsia" w:ascii="仿宋_GB2312" w:hAnsi="仿宋_GB2312" w:eastAsia="仿宋_GB2312" w:cs="仿宋_GB2312"/>
          <w:szCs w:val="32"/>
        </w:rPr>
        <w:t>目 录</w:t>
      </w:r>
      <w:r>
        <w:tab/>
      </w:r>
      <w:r>
        <w:fldChar w:fldCharType="begin"/>
      </w:r>
      <w:r>
        <w:instrText xml:space="preserve"> PAGEREF _Toc7472 \h </w:instrText>
      </w:r>
      <w:r>
        <w:fldChar w:fldCharType="separate"/>
      </w:r>
      <w:r>
        <w:t>iii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bCs/>
          <w:caps/>
          <w:szCs w:val="28"/>
        </w:rPr>
        <w:fldChar w:fldCharType="end"/>
      </w:r>
    </w:p>
    <w:p>
      <w:pPr>
        <w:pStyle w:val="13"/>
        <w:tabs>
          <w:tab w:val="right" w:leader="dot" w:pos="8312"/>
        </w:tabs>
      </w:pP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instrText xml:space="preserve"> HYPERLINK \l _Toc27969 </w:instrText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separate"/>
      </w:r>
      <w:r>
        <w:rPr>
          <w:rFonts w:hint="default" w:ascii="Times New Roman" w:hAnsi="Times New Roman" w:eastAsia="宋体" w:cs="仿宋_GB2312"/>
          <w:bCs/>
          <w:i w:val="0"/>
          <w:spacing w:val="-12"/>
          <w:szCs w:val="44"/>
        </w:rPr>
        <w:t xml:space="preserve">1. </w:t>
      </w:r>
      <w:r>
        <w:rPr>
          <w:rFonts w:hint="eastAsia" w:eastAsia="仿宋_GB2312" w:cs="仿宋_GB2312"/>
        </w:rPr>
        <w:t>总则</w:t>
      </w:r>
      <w:r>
        <w:tab/>
      </w:r>
      <w:r>
        <w:fldChar w:fldCharType="begin"/>
      </w:r>
      <w:r>
        <w:instrText xml:space="preserve"> PAGEREF _Toc27969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end"/>
      </w:r>
    </w:p>
    <w:p>
      <w:pPr>
        <w:pStyle w:val="14"/>
        <w:tabs>
          <w:tab w:val="right" w:leader="dot" w:pos="8312"/>
        </w:tabs>
      </w:pP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instrText xml:space="preserve"> HYPERLINK \l _Toc19233 </w:instrText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separate"/>
      </w:r>
      <w:r>
        <w:rPr>
          <w:rFonts w:hint="default" w:ascii="Times New Roman" w:hAnsi="Times New Roman" w:eastAsia="宋体" w:cs="仿宋_GB2312"/>
          <w:szCs w:val="24"/>
        </w:rPr>
        <w:t xml:space="preserve">1.1. </w:t>
      </w:r>
      <w:r>
        <w:rPr>
          <w:rFonts w:hint="eastAsia" w:cs="仿宋_GB2312"/>
        </w:rPr>
        <w:t>概述</w:t>
      </w:r>
      <w:r>
        <w:tab/>
      </w:r>
      <w:r>
        <w:fldChar w:fldCharType="begin"/>
      </w:r>
      <w:r>
        <w:instrText xml:space="preserve"> PAGEREF _Toc19233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end"/>
      </w:r>
    </w:p>
    <w:p>
      <w:pPr>
        <w:pStyle w:val="14"/>
        <w:tabs>
          <w:tab w:val="right" w:leader="dot" w:pos="8312"/>
        </w:tabs>
      </w:pP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instrText xml:space="preserve"> HYPERLINK \l _Toc18951 </w:instrText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separate"/>
      </w:r>
      <w:r>
        <w:rPr>
          <w:rFonts w:hint="default" w:ascii="Times New Roman" w:hAnsi="Times New Roman" w:eastAsia="宋体" w:cs="仿宋_GB2312"/>
          <w:szCs w:val="24"/>
        </w:rPr>
        <w:t xml:space="preserve">1.2. </w:t>
      </w:r>
      <w:r>
        <w:rPr>
          <w:rFonts w:hint="eastAsia" w:cs="仿宋_GB2312"/>
          <w:bCs/>
          <w:highlight w:val="none"/>
          <w:lang w:val="en-US" w:eastAsia="zh-CN"/>
        </w:rPr>
        <w:t>采购</w:t>
      </w:r>
      <w:r>
        <w:rPr>
          <w:rFonts w:hint="eastAsia" w:cs="仿宋_GB2312"/>
          <w:bCs/>
          <w:highlight w:val="none"/>
        </w:rPr>
        <w:t>范围</w:t>
      </w:r>
      <w:r>
        <w:tab/>
      </w:r>
      <w:r>
        <w:fldChar w:fldCharType="begin"/>
      </w:r>
      <w:r>
        <w:instrText xml:space="preserve"> PAGEREF _Toc18951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end"/>
      </w:r>
    </w:p>
    <w:p>
      <w:pPr>
        <w:pStyle w:val="14"/>
        <w:tabs>
          <w:tab w:val="right" w:leader="dot" w:pos="8312"/>
        </w:tabs>
      </w:pP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instrText xml:space="preserve"> HYPERLINK \l _Toc8663 </w:instrText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separate"/>
      </w:r>
      <w:r>
        <w:rPr>
          <w:rFonts w:hint="default" w:ascii="Times New Roman" w:hAnsi="Times New Roman" w:eastAsia="宋体" w:cs="仿宋_GB2312"/>
          <w:szCs w:val="24"/>
        </w:rPr>
        <w:t xml:space="preserve">1.3. </w:t>
      </w:r>
      <w:r>
        <w:rPr>
          <w:rFonts w:hint="eastAsia" w:cs="仿宋_GB2312"/>
          <w:lang w:val="en-US" w:eastAsia="zh-CN"/>
        </w:rPr>
        <w:t>项目</w:t>
      </w:r>
      <w:r>
        <w:rPr>
          <w:rFonts w:hint="eastAsia" w:cs="仿宋_GB2312"/>
        </w:rPr>
        <w:t>保证</w:t>
      </w:r>
      <w:r>
        <w:tab/>
      </w:r>
      <w:r>
        <w:fldChar w:fldCharType="begin"/>
      </w:r>
      <w:r>
        <w:instrText xml:space="preserve"> PAGEREF _Toc8663 \h </w:instrText>
      </w:r>
      <w:r>
        <w:fldChar w:fldCharType="separate"/>
      </w:r>
      <w:r>
        <w:t>2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end"/>
      </w:r>
    </w:p>
    <w:p>
      <w:pPr>
        <w:pStyle w:val="14"/>
        <w:tabs>
          <w:tab w:val="right" w:leader="dot" w:pos="8312"/>
        </w:tabs>
      </w:pP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instrText xml:space="preserve"> HYPERLINK \l _Toc26961 </w:instrText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separate"/>
      </w:r>
      <w:r>
        <w:rPr>
          <w:rFonts w:hint="default" w:ascii="Times New Roman" w:hAnsi="Times New Roman" w:eastAsia="宋体" w:cs="仿宋_GB2312"/>
          <w:szCs w:val="24"/>
        </w:rPr>
        <w:t xml:space="preserve">1.4. </w:t>
      </w:r>
      <w:r>
        <w:rPr>
          <w:rFonts w:hint="eastAsia" w:cs="仿宋_GB2312"/>
        </w:rPr>
        <w:t>依据标准及规范</w:t>
      </w:r>
      <w:r>
        <w:tab/>
      </w:r>
      <w:r>
        <w:fldChar w:fldCharType="begin"/>
      </w:r>
      <w:r>
        <w:instrText xml:space="preserve"> PAGEREF _Toc26961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end"/>
      </w:r>
    </w:p>
    <w:p>
      <w:pPr>
        <w:pStyle w:val="13"/>
        <w:tabs>
          <w:tab w:val="right" w:leader="dot" w:pos="8312"/>
        </w:tabs>
      </w:pP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instrText xml:space="preserve"> HYPERLINK \l _Toc4627 </w:instrText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separate"/>
      </w:r>
      <w:r>
        <w:rPr>
          <w:rFonts w:hint="default" w:ascii="Times New Roman" w:hAnsi="Times New Roman" w:eastAsia="宋体" w:cs="仿宋_GB2312"/>
          <w:bCs/>
          <w:i w:val="0"/>
          <w:spacing w:val="-12"/>
          <w:szCs w:val="44"/>
        </w:rPr>
        <w:t xml:space="preserve">2. </w:t>
      </w:r>
      <w:r>
        <w:rPr>
          <w:rFonts w:hint="eastAsia" w:eastAsia="仿宋_GB2312" w:cs="仿宋_GB2312"/>
        </w:rPr>
        <w:t>项目内容</w:t>
      </w:r>
      <w:r>
        <w:tab/>
      </w:r>
      <w:r>
        <w:fldChar w:fldCharType="begin"/>
      </w:r>
      <w:r>
        <w:instrText xml:space="preserve"> PAGEREF _Toc4627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end"/>
      </w:r>
    </w:p>
    <w:p>
      <w:pPr>
        <w:pStyle w:val="14"/>
        <w:tabs>
          <w:tab w:val="right" w:leader="dot" w:pos="8312"/>
        </w:tabs>
      </w:pP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instrText xml:space="preserve"> HYPERLINK \l _Toc5739 </w:instrText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separate"/>
      </w:r>
      <w:r>
        <w:rPr>
          <w:rFonts w:hint="default" w:ascii="Times New Roman" w:hAnsi="Times New Roman" w:eastAsia="宋体" w:cs="仿宋_GB2312"/>
          <w:szCs w:val="24"/>
        </w:rPr>
        <w:t xml:space="preserve">2.1. </w:t>
      </w:r>
      <w:r>
        <w:rPr>
          <w:rFonts w:hint="eastAsia" w:cs="仿宋_GB2312"/>
        </w:rPr>
        <w:t>项目背景</w:t>
      </w:r>
      <w:r>
        <w:tab/>
      </w:r>
      <w:r>
        <w:fldChar w:fldCharType="begin"/>
      </w:r>
      <w:r>
        <w:instrText xml:space="preserve"> PAGEREF _Toc5739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end"/>
      </w:r>
    </w:p>
    <w:p>
      <w:pPr>
        <w:pStyle w:val="14"/>
        <w:tabs>
          <w:tab w:val="right" w:leader="dot" w:pos="8312"/>
        </w:tabs>
      </w:pP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instrText xml:space="preserve"> HYPERLINK \l _Toc22782 </w:instrText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separate"/>
      </w:r>
      <w:r>
        <w:rPr>
          <w:rFonts w:hint="default" w:ascii="Times New Roman" w:hAnsi="Times New Roman" w:eastAsia="宋体" w:cs="仿宋_GB2312"/>
          <w:szCs w:val="24"/>
        </w:rPr>
        <w:t xml:space="preserve">2.2. </w:t>
      </w:r>
      <w:r>
        <w:rPr>
          <w:rFonts w:hint="eastAsia" w:cs="仿宋_GB2312"/>
          <w:lang w:val="en-US" w:eastAsia="zh-CN"/>
        </w:rPr>
        <w:t>资质</w:t>
      </w:r>
      <w:r>
        <w:rPr>
          <w:rFonts w:hint="eastAsia" w:cs="仿宋_GB2312"/>
        </w:rPr>
        <w:t>要求</w:t>
      </w:r>
      <w:r>
        <w:tab/>
      </w:r>
      <w:r>
        <w:fldChar w:fldCharType="begin"/>
      </w:r>
      <w:r>
        <w:instrText xml:space="preserve"> PAGEREF _Toc22782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end"/>
      </w:r>
    </w:p>
    <w:p>
      <w:pPr>
        <w:pStyle w:val="14"/>
        <w:tabs>
          <w:tab w:val="right" w:leader="dot" w:pos="8312"/>
        </w:tabs>
      </w:pP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instrText xml:space="preserve"> HYPERLINK \l _Toc32 </w:instrText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separate"/>
      </w:r>
      <w:r>
        <w:rPr>
          <w:rFonts w:hint="default" w:ascii="Times New Roman" w:hAnsi="Times New Roman" w:eastAsia="宋体" w:cs="仿宋_GB2312"/>
          <w:szCs w:val="24"/>
        </w:rPr>
        <w:t xml:space="preserve">2.3. </w:t>
      </w:r>
      <w:r>
        <w:rPr>
          <w:rFonts w:hint="eastAsia" w:cs="仿宋_GB2312"/>
          <w:lang w:val="en-US" w:eastAsia="zh-CN"/>
        </w:rPr>
        <w:t>技术要求</w:t>
      </w:r>
      <w:r>
        <w:tab/>
      </w:r>
      <w:r>
        <w:fldChar w:fldCharType="begin"/>
      </w:r>
      <w:r>
        <w:instrText xml:space="preserve"> PAGEREF _Toc32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end"/>
      </w:r>
    </w:p>
    <w:p>
      <w:pPr>
        <w:pStyle w:val="13"/>
        <w:tabs>
          <w:tab w:val="right" w:leader="dot" w:pos="8312"/>
        </w:tabs>
      </w:pP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instrText xml:space="preserve"> HYPERLINK \l _Toc25876 </w:instrText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separate"/>
      </w:r>
      <w:r>
        <w:rPr>
          <w:rFonts w:hint="default" w:ascii="Times New Roman" w:hAnsi="Times New Roman" w:eastAsia="宋体" w:cs="仿宋_GB2312"/>
          <w:bCs/>
          <w:i w:val="0"/>
          <w:spacing w:val="-12"/>
          <w:szCs w:val="44"/>
        </w:rPr>
        <w:t xml:space="preserve">3. </w:t>
      </w:r>
      <w:r>
        <w:rPr>
          <w:rFonts w:hint="eastAsia" w:eastAsia="仿宋_GB2312" w:cs="仿宋_GB2312"/>
        </w:rPr>
        <w:t>质量及服务方式要求</w:t>
      </w:r>
      <w:r>
        <w:tab/>
      </w:r>
      <w:r>
        <w:fldChar w:fldCharType="begin"/>
      </w:r>
      <w:r>
        <w:instrText xml:space="preserve"> PAGEREF _Toc25876 \h </w:instrText>
      </w:r>
      <w:r>
        <w:fldChar w:fldCharType="separate"/>
      </w:r>
      <w:r>
        <w:t>5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end"/>
      </w:r>
    </w:p>
    <w:p>
      <w:pPr>
        <w:pStyle w:val="14"/>
        <w:tabs>
          <w:tab w:val="right" w:leader="dot" w:pos="8312"/>
        </w:tabs>
      </w:pP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instrText xml:space="preserve"> HYPERLINK \l _Toc29278 </w:instrText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separate"/>
      </w:r>
      <w:r>
        <w:rPr>
          <w:rFonts w:hint="eastAsia"/>
          <w:lang w:val="en-US" w:eastAsia="zh-CN"/>
        </w:rPr>
        <w:t>3.1</w:t>
      </w:r>
      <w:r>
        <w:rPr>
          <w:rFonts w:hint="eastAsia"/>
        </w:rPr>
        <w:t>质量保证</w:t>
      </w:r>
      <w:r>
        <w:tab/>
      </w:r>
      <w:r>
        <w:fldChar w:fldCharType="begin"/>
      </w:r>
      <w:r>
        <w:instrText xml:space="preserve"> PAGEREF _Toc29278 \h </w:instrText>
      </w:r>
      <w:r>
        <w:fldChar w:fldCharType="separate"/>
      </w:r>
      <w:r>
        <w:t>5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end"/>
      </w:r>
    </w:p>
    <w:p>
      <w:pPr>
        <w:pStyle w:val="14"/>
        <w:tabs>
          <w:tab w:val="right" w:leader="dot" w:pos="8312"/>
        </w:tabs>
      </w:pP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instrText xml:space="preserve"> HYPERLINK \l _Toc29826 </w:instrText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separate"/>
      </w:r>
      <w:r>
        <w:rPr>
          <w:rFonts w:hint="eastAsia"/>
          <w:lang w:val="en-US" w:eastAsia="zh-CN"/>
        </w:rPr>
        <w:t>3.2</w:t>
      </w:r>
      <w:r>
        <w:rPr>
          <w:rFonts w:hint="eastAsia"/>
        </w:rPr>
        <w:t>售后服务</w:t>
      </w:r>
      <w:r>
        <w:tab/>
      </w:r>
      <w:r>
        <w:fldChar w:fldCharType="begin"/>
      </w:r>
      <w:r>
        <w:instrText xml:space="preserve"> PAGEREF _Toc29826 \h </w:instrText>
      </w:r>
      <w:r>
        <w:fldChar w:fldCharType="separate"/>
      </w:r>
      <w:r>
        <w:t>6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end"/>
      </w:r>
    </w:p>
    <w:p>
      <w:pPr>
        <w:pStyle w:val="13"/>
        <w:tabs>
          <w:tab w:val="right" w:leader="dot" w:pos="8312"/>
        </w:tabs>
      </w:pP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instrText xml:space="preserve"> HYPERLINK \l _Toc5314 </w:instrText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separate"/>
      </w:r>
      <w:r>
        <w:rPr>
          <w:rFonts w:hint="default" w:ascii="Times New Roman" w:hAnsi="Times New Roman" w:eastAsia="宋体"/>
          <w:bCs/>
          <w:i w:val="0"/>
          <w:spacing w:val="-12"/>
          <w:szCs w:val="44"/>
        </w:rPr>
        <w:t xml:space="preserve">4. </w:t>
      </w:r>
      <w:r>
        <w:rPr>
          <w:rFonts w:hint="eastAsia" w:ascii="仿宋" w:hAnsi="仿宋" w:eastAsia="仿宋"/>
        </w:rPr>
        <w:t>安全保密要求</w:t>
      </w:r>
      <w:r>
        <w:tab/>
      </w:r>
      <w:r>
        <w:fldChar w:fldCharType="begin"/>
      </w:r>
      <w:r>
        <w:instrText xml:space="preserve"> PAGEREF _Toc5314 \h </w:instrText>
      </w:r>
      <w:r>
        <w:fldChar w:fldCharType="separate"/>
      </w:r>
      <w:r>
        <w:t>7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end"/>
      </w:r>
    </w:p>
    <w:p>
      <w:pPr>
        <w:pStyle w:val="27"/>
        <w:tabs>
          <w:tab w:val="left" w:pos="420"/>
          <w:tab w:val="right" w:leader="dot" w:pos="8302"/>
        </w:tabs>
        <w:spacing w:line="360" w:lineRule="auto"/>
        <w:rPr>
          <w:rFonts w:ascii="仿宋_GB2312" w:hAnsi="仿宋_GB2312" w:eastAsia="仿宋_GB2312" w:cs="仿宋_GB2312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end"/>
      </w:r>
    </w:p>
    <w:p>
      <w:pPr>
        <w:spacing w:line="360" w:lineRule="auto"/>
        <w:rPr>
          <w:rFonts w:ascii="仿宋_GB2312" w:hAnsi="仿宋_GB2312" w:eastAsia="仿宋_GB2312" w:cs="仿宋_GB2312"/>
          <w:sz w:val="24"/>
        </w:rPr>
      </w:pPr>
    </w:p>
    <w:p>
      <w:pPr>
        <w:spacing w:line="360" w:lineRule="auto"/>
        <w:rPr>
          <w:rFonts w:ascii="仿宋_GB2312" w:hAnsi="仿宋_GB2312" w:eastAsia="仿宋_GB2312" w:cs="仿宋_GB2312"/>
          <w:sz w:val="24"/>
        </w:rPr>
        <w:sectPr>
          <w:footerReference r:id="rId3" w:type="default"/>
          <w:pgSz w:w="11906" w:h="16838"/>
          <w:pgMar w:top="1440" w:right="1797" w:bottom="1440" w:left="1797" w:header="851" w:footer="992" w:gutter="0"/>
          <w:pgNumType w:fmt="lowerRoman" w:start="1"/>
          <w:cols w:space="720" w:num="1"/>
          <w:docGrid w:type="lines" w:linePitch="312" w:charSpace="0"/>
        </w:sectPr>
      </w:pPr>
    </w:p>
    <w:p>
      <w:pPr>
        <w:pStyle w:val="4"/>
        <w:rPr>
          <w:rFonts w:eastAsia="仿宋_GB2312" w:cs="仿宋_GB2312"/>
        </w:rPr>
      </w:pPr>
      <w:bookmarkStart w:id="23" w:name="_Toc192340308"/>
      <w:bookmarkEnd w:id="23"/>
      <w:bookmarkStart w:id="24" w:name="_Toc192340307"/>
      <w:bookmarkEnd w:id="24"/>
      <w:bookmarkStart w:id="25" w:name="_Toc2861"/>
      <w:bookmarkStart w:id="26" w:name="_Toc27969"/>
      <w:bookmarkStart w:id="27" w:name="_Toc8192"/>
      <w:bookmarkStart w:id="28" w:name="_Toc10542"/>
      <w:bookmarkStart w:id="29" w:name="_Toc27137"/>
      <w:bookmarkStart w:id="30" w:name="_Toc4967"/>
      <w:bookmarkStart w:id="31" w:name="_Toc17766"/>
      <w:bookmarkStart w:id="32" w:name="_Toc27374"/>
      <w:bookmarkStart w:id="33" w:name="_Toc198288426"/>
      <w:bookmarkStart w:id="34" w:name="_Toc3246"/>
      <w:bookmarkStart w:id="35" w:name="_Toc147371417"/>
      <w:r>
        <w:rPr>
          <w:rFonts w:hint="eastAsia" w:eastAsia="仿宋_GB2312" w:cs="仿宋_GB2312"/>
        </w:rPr>
        <w:t>总则</w:t>
      </w:r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</w:p>
    <w:p>
      <w:pPr>
        <w:pStyle w:val="5"/>
        <w:rPr>
          <w:rFonts w:cs="仿宋_GB2312"/>
        </w:rPr>
      </w:pPr>
      <w:bookmarkStart w:id="36" w:name="_Toc5598"/>
      <w:bookmarkStart w:id="37" w:name="_Toc28067"/>
      <w:bookmarkStart w:id="38" w:name="_Toc23290"/>
      <w:bookmarkStart w:id="39" w:name="_Toc296516184"/>
      <w:bookmarkStart w:id="40" w:name="_Toc24317"/>
      <w:bookmarkStart w:id="41" w:name="_Toc31589"/>
      <w:bookmarkStart w:id="42" w:name="_Toc25167"/>
      <w:bookmarkStart w:id="43" w:name="_Toc19233"/>
      <w:bookmarkStart w:id="44" w:name="_Toc270544309"/>
      <w:bookmarkStart w:id="45" w:name="_Toc9898"/>
      <w:bookmarkStart w:id="46" w:name="_Toc18895"/>
      <w:r>
        <w:rPr>
          <w:rFonts w:hint="eastAsia" w:cs="仿宋_GB2312"/>
        </w:rPr>
        <w:t>概述</w:t>
      </w:r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</w:p>
    <w:p>
      <w:pPr>
        <w:pStyle w:val="7"/>
        <w:numPr>
          <w:ilvl w:val="0"/>
          <w:numId w:val="3"/>
        </w:numPr>
        <w:tabs>
          <w:tab w:val="left" w:pos="900"/>
        </w:tabs>
        <w:spacing w:line="360" w:lineRule="auto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本文件适用于南方电网数字电网科技（广东）有限公司</w:t>
      </w:r>
      <w:r>
        <w:rPr>
          <w:rFonts w:ascii="宋体" w:hAnsi="宋体" w:cs="宋体"/>
          <w:szCs w:val="24"/>
        </w:rPr>
        <w:t> </w:t>
      </w:r>
      <w:r>
        <w:rPr>
          <w:rFonts w:hint="eastAsia" w:ascii="仿宋_GB2312" w:hAnsi="仿宋_GB2312" w:eastAsia="仿宋_GB2312" w:cs="仿宋_GB2312"/>
          <w:sz w:val="28"/>
          <w:szCs w:val="28"/>
        </w:rPr>
        <w:t>（以下简称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）数字电网科技公司2024年摄像机核心板材料零星采购项目，</w:t>
      </w:r>
      <w:r>
        <w:rPr>
          <w:rFonts w:hint="eastAsia" w:ascii="仿宋_GB2312" w:hAnsi="仿宋_GB2312" w:eastAsia="仿宋_GB2312" w:cs="仿宋_GB2312"/>
          <w:sz w:val="28"/>
          <w:szCs w:val="28"/>
        </w:rPr>
        <w:t>本文件的最终解释权归南方电网数字电网科技（广东）有限公司。</w:t>
      </w:r>
    </w:p>
    <w:p>
      <w:pPr>
        <w:pStyle w:val="7"/>
        <w:numPr>
          <w:ilvl w:val="0"/>
          <w:numId w:val="3"/>
        </w:numPr>
        <w:tabs>
          <w:tab w:val="left" w:pos="900"/>
        </w:tabs>
        <w:spacing w:line="360" w:lineRule="auto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可以就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认为的遗漏项目提请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注意，并详细说明理由。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将就此进行澄清。</w:t>
      </w:r>
    </w:p>
    <w:p>
      <w:pPr>
        <w:pStyle w:val="7"/>
        <w:numPr>
          <w:ilvl w:val="0"/>
          <w:numId w:val="3"/>
        </w:numPr>
        <w:tabs>
          <w:tab w:val="left" w:pos="900"/>
        </w:tabs>
        <w:spacing w:line="360" w:lineRule="auto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应保证所提供的所有</w:t>
      </w:r>
      <w:bookmarkStart w:id="149" w:name="_GoBack"/>
      <w:bookmarkEnd w:id="149"/>
      <w:r>
        <w:rPr>
          <w:rFonts w:hint="eastAsia" w:ascii="仿宋_GB2312" w:hAnsi="仿宋_GB2312" w:eastAsia="仿宋_GB2312" w:cs="仿宋_GB2312"/>
          <w:sz w:val="28"/>
          <w:szCs w:val="28"/>
        </w:rPr>
        <w:t>资料真实、完整、准确无误，否则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将有权取消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的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资格，</w:t>
      </w:r>
      <w:r>
        <w:rPr>
          <w:rFonts w:hint="eastAsia" w:ascii="仿宋_GB2312" w:hAnsi="仿宋_GB2312" w:eastAsia="仿宋_GB2312" w:cs="仿宋_GB2312"/>
          <w:sz w:val="28"/>
          <w:szCs w:val="28"/>
        </w:rPr>
        <w:t>由此产生的一切后果由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承担。</w:t>
      </w:r>
    </w:p>
    <w:p>
      <w:pPr>
        <w:pStyle w:val="7"/>
        <w:numPr>
          <w:ilvl w:val="0"/>
          <w:numId w:val="3"/>
        </w:numPr>
        <w:tabs>
          <w:tab w:val="left" w:pos="900"/>
        </w:tabs>
        <w:spacing w:line="360" w:lineRule="auto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在任何时候保留和拥有对本技术规范书的解释权。</w:t>
      </w:r>
    </w:p>
    <w:p>
      <w:pPr>
        <w:pStyle w:val="7"/>
        <w:numPr>
          <w:ilvl w:val="0"/>
          <w:numId w:val="3"/>
        </w:numPr>
        <w:tabs>
          <w:tab w:val="left" w:pos="900"/>
        </w:tabs>
        <w:spacing w:line="360" w:lineRule="auto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未经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同意，不得以任何形式向第三方公开本技术规范书。</w:t>
      </w:r>
    </w:p>
    <w:p>
      <w:pPr>
        <w:pStyle w:val="7"/>
        <w:numPr>
          <w:ilvl w:val="0"/>
          <w:numId w:val="3"/>
        </w:numPr>
        <w:tabs>
          <w:tab w:val="left" w:pos="900"/>
        </w:tabs>
        <w:spacing w:line="360" w:lineRule="auto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本技术规范书解释权属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所有。</w:t>
      </w:r>
    </w:p>
    <w:p>
      <w:pPr>
        <w:pStyle w:val="7"/>
        <w:numPr>
          <w:ilvl w:val="0"/>
          <w:numId w:val="3"/>
        </w:numPr>
        <w:tabs>
          <w:tab w:val="left" w:pos="900"/>
        </w:tabs>
        <w:spacing w:line="36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充分理解本项目的项目背景、项目目标等，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提供符合本技术规范书要求的摄像机核心板材料，并完成出厂制造、装配、试验、运输、包装、保管。</w:t>
      </w:r>
    </w:p>
    <w:p>
      <w:pPr>
        <w:pStyle w:val="28"/>
        <w:numPr>
          <w:ilvl w:val="0"/>
          <w:numId w:val="0"/>
        </w:numPr>
        <w:spacing w:line="360" w:lineRule="auto"/>
        <w:ind w:left="480" w:leftChars="0"/>
        <w:rPr>
          <w:rFonts w:ascii="仿宋_GB2312" w:hAnsi="仿宋_GB2312" w:eastAsia="仿宋_GB2312" w:cs="仿宋_GB2312"/>
          <w:sz w:val="28"/>
          <w:szCs w:val="28"/>
        </w:rPr>
      </w:pPr>
    </w:p>
    <w:p>
      <w:pPr>
        <w:pStyle w:val="5"/>
        <w:rPr>
          <w:rFonts w:cs="仿宋_GB2312"/>
        </w:rPr>
      </w:pPr>
      <w:bookmarkStart w:id="47" w:name="_Toc18951"/>
      <w:bookmarkStart w:id="48" w:name="_Toc270544311"/>
      <w:bookmarkStart w:id="49" w:name="_Toc3933"/>
      <w:bookmarkStart w:id="50" w:name="_Toc17569"/>
      <w:bookmarkStart w:id="51" w:name="_Toc113682936"/>
      <w:bookmarkStart w:id="52" w:name="_Toc12937"/>
      <w:bookmarkStart w:id="53" w:name="_Toc10272"/>
      <w:bookmarkStart w:id="54" w:name="_Toc31046"/>
      <w:bookmarkStart w:id="55" w:name="_Toc30309"/>
      <w:bookmarkStart w:id="56" w:name="_Toc296516186"/>
      <w:bookmarkStart w:id="57" w:name="_Toc286929894"/>
      <w:bookmarkStart w:id="58" w:name="_Toc32685"/>
      <w:bookmarkStart w:id="59" w:name="_Toc105396785"/>
      <w:bookmarkStart w:id="60" w:name="_Toc288466921"/>
      <w:bookmarkStart w:id="61" w:name="_Toc956"/>
      <w:bookmarkStart w:id="62" w:name="_Toc285723380"/>
      <w:r>
        <w:rPr>
          <w:rFonts w:hint="eastAsia" w:cs="仿宋_GB2312"/>
          <w:b/>
          <w:bCs/>
          <w:highlight w:val="none"/>
          <w:lang w:val="en-US" w:eastAsia="zh-CN"/>
        </w:rPr>
        <w:t>采购</w:t>
      </w:r>
      <w:r>
        <w:rPr>
          <w:rFonts w:hint="eastAsia" w:cs="仿宋_GB2312"/>
          <w:b/>
          <w:bCs/>
          <w:highlight w:val="none"/>
        </w:rPr>
        <w:t>范围</w:t>
      </w:r>
      <w:bookmarkEnd w:id="47"/>
    </w:p>
    <w:p>
      <w:pPr>
        <w:pStyle w:val="26"/>
        <w:ind w:firstLine="56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bookmarkStart w:id="63" w:name="TXT_964B32BB4C6549149317C7DF75C889F5_1"/>
      <w:r>
        <w:rPr>
          <w:rFonts w:hint="eastAsia" w:ascii="仿宋_GB2312" w:hAnsi="仿宋_GB2312" w:eastAsia="仿宋_GB2312" w:cs="仿宋_GB2312"/>
          <w:sz w:val="28"/>
          <w:szCs w:val="28"/>
        </w:rPr>
        <w:t>本规范规定了南方电网数字电网科技（广东）有限公司电鸿摄像机核心板材料的通信、功能、安全等技术要求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。</w:t>
      </w:r>
    </w:p>
    <w:p>
      <w:pPr>
        <w:pStyle w:val="26"/>
        <w:ind w:firstLine="560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为满足摄像机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操作系统</w:t>
      </w:r>
      <w:r>
        <w:rPr>
          <w:rFonts w:hint="eastAsia" w:ascii="仿宋_GB2312" w:hAnsi="仿宋_GB2312" w:eastAsia="仿宋_GB2312" w:cs="仿宋_GB2312"/>
          <w:sz w:val="28"/>
          <w:szCs w:val="28"/>
        </w:rPr>
        <w:t>适配需求，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拟</w:t>
      </w:r>
      <w:r>
        <w:rPr>
          <w:rFonts w:hint="eastAsia" w:ascii="仿宋_GB2312" w:hAnsi="仿宋_GB2312" w:eastAsia="仿宋_GB2312" w:cs="仿宋_GB2312"/>
          <w:sz w:val="28"/>
          <w:szCs w:val="28"/>
        </w:rPr>
        <w:t>采购一批摄像机核心板材料，用于研发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及</w:t>
      </w:r>
      <w:r>
        <w:rPr>
          <w:rFonts w:hint="eastAsia" w:ascii="仿宋_GB2312" w:hAnsi="仿宋_GB2312" w:eastAsia="仿宋_GB2312" w:cs="仿宋_GB2312"/>
          <w:sz w:val="28"/>
          <w:szCs w:val="28"/>
        </w:rPr>
        <w:t>测试验证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。</w:t>
      </w:r>
    </w:p>
    <w:p>
      <w:pPr>
        <w:pStyle w:val="26"/>
        <w:ind w:firstLine="56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应按本规范书的要求提供全新的、合格的摄像机核心板材料。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sz w:val="28"/>
          <w:szCs w:val="28"/>
        </w:rPr>
        <w:t>方所提供的组件或附件如需向第三方外购时，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sz w:val="28"/>
          <w:szCs w:val="28"/>
        </w:rPr>
        <w:t>方应对质量向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28"/>
          <w:szCs w:val="28"/>
        </w:rPr>
        <w:t>方负责，并提供相应出厂和验收证明。</w:t>
      </w:r>
    </w:p>
    <w:p>
      <w:pPr>
        <w:pStyle w:val="26"/>
        <w:ind w:firstLine="56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28"/>
          <w:szCs w:val="28"/>
        </w:rPr>
        <w:t>范围</w:t>
      </w:r>
      <w:bookmarkStart w:id="64" w:name="_Toc282433715"/>
      <w:bookmarkStart w:id="65" w:name="_Toc283011667"/>
      <w:bookmarkStart w:id="66" w:name="_Toc283142589"/>
      <w:r>
        <w:rPr>
          <w:rFonts w:hint="eastAsia" w:ascii="仿宋_GB2312" w:hAnsi="仿宋_GB2312" w:eastAsia="仿宋_GB2312" w:cs="仿宋_GB2312"/>
          <w:sz w:val="28"/>
          <w:szCs w:val="28"/>
        </w:rPr>
        <w:t>一览表</w:t>
      </w:r>
      <w:bookmarkEnd w:id="64"/>
      <w:bookmarkEnd w:id="65"/>
      <w:bookmarkEnd w:id="66"/>
    </w:p>
    <w:p>
      <w:pPr>
        <w:pStyle w:val="26"/>
        <w:ind w:left="0" w:leftChars="0" w:firstLine="0" w:firstLineChars="0"/>
        <w:jc w:val="center"/>
        <w:rPr>
          <w:rFonts w:hint="eastAsia" w:ascii="仿宋_GB2312" w:hAnsi="仿宋_GB2312" w:eastAsia="仿宋_GB2312" w:cs="仿宋_GB2312"/>
          <w:sz w:val="24"/>
          <w:szCs w:val="24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Hans"/>
        </w:rPr>
        <w:t>采购范围一览表</w:t>
      </w:r>
    </w:p>
    <w:tbl>
      <w:tblPr>
        <w:tblStyle w:val="18"/>
        <w:tblW w:w="754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8"/>
        <w:gridCol w:w="4159"/>
        <w:gridCol w:w="1158"/>
        <w:gridCol w:w="115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Hans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4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Hans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  <w:t>材料名称</w:t>
            </w:r>
          </w:p>
        </w:tc>
        <w:tc>
          <w:tcPr>
            <w:tcW w:w="1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Hans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  <w:t>单位</w:t>
            </w:r>
          </w:p>
        </w:tc>
        <w:tc>
          <w:tcPr>
            <w:tcW w:w="1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  <w:t>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4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  <w:t>摄像机核心板</w:t>
            </w:r>
          </w:p>
        </w:tc>
        <w:tc>
          <w:tcPr>
            <w:tcW w:w="1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  <w:t>套</w:t>
            </w:r>
          </w:p>
        </w:tc>
        <w:tc>
          <w:tcPr>
            <w:tcW w:w="1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  <w:t>100</w:t>
            </w:r>
          </w:p>
        </w:tc>
      </w:tr>
    </w:tbl>
    <w:p>
      <w:pPr>
        <w:pStyle w:val="26"/>
        <w:ind w:firstLine="560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</w:p>
    <w:p>
      <w:pPr>
        <w:pStyle w:val="26"/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需具备检测能力的详细检测项见</w:t>
      </w:r>
      <w:bookmarkEnd w:id="63"/>
      <w:r>
        <w:rPr>
          <w:rFonts w:hint="eastAsia" w:ascii="仿宋_GB2312" w:hAnsi="仿宋_GB2312" w:eastAsia="仿宋_GB2312" w:cs="仿宋_GB2312"/>
          <w:sz w:val="28"/>
          <w:szCs w:val="28"/>
        </w:rPr>
        <w:t>附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件1</w:t>
      </w:r>
      <w:r>
        <w:rPr>
          <w:rFonts w:ascii="仿宋_GB2312" w:hAnsi="仿宋_GB2312" w:eastAsia="仿宋_GB2312" w:cs="仿宋_GB2312"/>
          <w:sz w:val="28"/>
          <w:szCs w:val="28"/>
        </w:rPr>
        <w:t>。</w:t>
      </w:r>
    </w:p>
    <w:p>
      <w:pPr>
        <w:pStyle w:val="5"/>
        <w:rPr>
          <w:rFonts w:cs="仿宋_GB2312"/>
        </w:rPr>
      </w:pPr>
      <w:bookmarkStart w:id="67" w:name="_Toc8663"/>
      <w:r>
        <w:rPr>
          <w:rFonts w:hint="eastAsia" w:cs="仿宋_GB2312"/>
          <w:lang w:val="en-US" w:eastAsia="zh-CN"/>
        </w:rPr>
        <w:t>项目</w:t>
      </w:r>
      <w:r>
        <w:rPr>
          <w:rFonts w:hint="eastAsia" w:cs="仿宋_GB2312"/>
        </w:rPr>
        <w:t>保证</w:t>
      </w:r>
      <w:bookmarkEnd w:id="67"/>
      <w:r>
        <w:rPr>
          <w:rFonts w:hint="eastAsia" w:cs="仿宋_GB2312"/>
        </w:rPr>
        <w:t xml:space="preserve"> </w:t>
      </w:r>
    </w:p>
    <w:p>
      <w:pPr>
        <w:pStyle w:val="26"/>
        <w:ind w:firstLine="562"/>
        <w:rPr>
          <w:rFonts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 xml:space="preserve">（1）组织保证 </w:t>
      </w:r>
    </w:p>
    <w:p>
      <w:pPr>
        <w:pStyle w:val="26"/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)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sz w:val="28"/>
          <w:szCs w:val="28"/>
        </w:rPr>
        <w:t>方必须向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28"/>
          <w:szCs w:val="28"/>
        </w:rPr>
        <w:t>方保证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项目实施</w:t>
      </w:r>
      <w:r>
        <w:rPr>
          <w:rFonts w:hint="eastAsia" w:ascii="仿宋_GB2312" w:hAnsi="仿宋_GB2312" w:eastAsia="仿宋_GB2312" w:cs="仿宋_GB2312"/>
          <w:sz w:val="28"/>
          <w:szCs w:val="28"/>
        </w:rPr>
        <w:t>人员组织的稳定性，在本项目结束前，参加本项目的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商务、材料交付、技术支持</w:t>
      </w:r>
      <w:r>
        <w:rPr>
          <w:rFonts w:hint="eastAsia" w:ascii="仿宋_GB2312" w:hAnsi="仿宋_GB2312" w:eastAsia="仿宋_GB2312" w:cs="仿宋_GB2312"/>
          <w:sz w:val="28"/>
          <w:szCs w:val="28"/>
        </w:rPr>
        <w:t>人员变动必须取得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28"/>
          <w:szCs w:val="28"/>
        </w:rPr>
        <w:t>方同意。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28"/>
          <w:szCs w:val="28"/>
        </w:rPr>
        <w:t>方有权要求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方更换项目组中工作能力不足的工程师。 </w:t>
      </w:r>
    </w:p>
    <w:p>
      <w:pPr>
        <w:pStyle w:val="26"/>
        <w:ind w:firstLine="562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（2）质量保证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</w:t>
      </w:r>
    </w:p>
    <w:p>
      <w:pPr>
        <w:pStyle w:val="26"/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响应方必须保证所交付核心板材料质量合格，外观无明显缺陷，零部件无异常、连接可靠，所有接口、功能正常可用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。 </w:t>
      </w:r>
    </w:p>
    <w:p>
      <w:pPr>
        <w:pStyle w:val="26"/>
        <w:ind w:firstLine="562"/>
        <w:rPr>
          <w:rFonts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 xml:space="preserve">（3）进度保证 </w:t>
      </w:r>
    </w:p>
    <w:p>
      <w:pPr>
        <w:pStyle w:val="26"/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本项目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要求所采购材料最终交付日期不晚于4月30日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。 </w:t>
      </w:r>
    </w:p>
    <w:bookmarkEnd w:id="35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p>
      <w:pPr>
        <w:pStyle w:val="5"/>
        <w:rPr>
          <w:rFonts w:cs="仿宋_GB2312"/>
        </w:rPr>
      </w:pPr>
      <w:bookmarkStart w:id="68" w:name="_Toc26961"/>
      <w:r>
        <w:rPr>
          <w:rFonts w:hint="eastAsia" w:cs="仿宋_GB2312"/>
        </w:rPr>
        <w:t>依据标准及规范</w:t>
      </w:r>
      <w:bookmarkEnd w:id="68"/>
      <w:r>
        <w:rPr>
          <w:rFonts w:hint="eastAsia" w:cs="仿宋_GB2312"/>
        </w:rPr>
        <w:t xml:space="preserve"> </w:t>
      </w:r>
    </w:p>
    <w:p>
      <w:pPr>
        <w:pStyle w:val="26"/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sz w:val="28"/>
          <w:szCs w:val="28"/>
        </w:rPr>
        <w:t>方应严格依据国家或国际有关标准进行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材料生产、检测、包装、运输</w:t>
      </w:r>
      <w:r>
        <w:rPr>
          <w:rFonts w:hint="eastAsia" w:ascii="仿宋_GB2312" w:hAnsi="仿宋_GB2312" w:eastAsia="仿宋_GB2312" w:cs="仿宋_GB2312"/>
          <w:sz w:val="28"/>
          <w:szCs w:val="28"/>
        </w:rPr>
        <w:t>；</w:t>
      </w:r>
    </w:p>
    <w:p>
      <w:pPr>
        <w:pStyle w:val="4"/>
        <w:rPr>
          <w:rFonts w:eastAsia="仿宋_GB2312" w:cs="仿宋_GB2312"/>
        </w:rPr>
      </w:pPr>
      <w:bookmarkStart w:id="69" w:name="_Toc12739"/>
      <w:bookmarkStart w:id="70" w:name="_Toc25169"/>
      <w:bookmarkStart w:id="71" w:name="_Toc5747"/>
      <w:bookmarkStart w:id="72" w:name="_Toc13986"/>
      <w:bookmarkStart w:id="73" w:name="_Toc31220"/>
      <w:bookmarkStart w:id="74" w:name="_Toc23511"/>
      <w:bookmarkStart w:id="75" w:name="_Toc4627"/>
      <w:bookmarkStart w:id="76" w:name="_Toc3512"/>
      <w:bookmarkStart w:id="77" w:name="_Toc16638"/>
      <w:r>
        <w:rPr>
          <w:rFonts w:hint="eastAsia" w:eastAsia="仿宋_GB2312" w:cs="仿宋_GB2312"/>
        </w:rPr>
        <w:t>项目内容</w:t>
      </w:r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</w:p>
    <w:p>
      <w:pPr>
        <w:pStyle w:val="5"/>
        <w:rPr>
          <w:rFonts w:cs="仿宋_GB2312"/>
        </w:rPr>
      </w:pPr>
      <w:bookmarkStart w:id="78" w:name="_Toc26124"/>
      <w:bookmarkStart w:id="79" w:name="_Toc32273"/>
      <w:bookmarkStart w:id="80" w:name="_Toc12257"/>
      <w:bookmarkStart w:id="81" w:name="_Toc26011"/>
      <w:bookmarkStart w:id="82" w:name="_Toc735"/>
      <w:bookmarkStart w:id="83" w:name="_Toc10714"/>
      <w:bookmarkStart w:id="84" w:name="_Toc5739"/>
      <w:bookmarkStart w:id="85" w:name="_Toc29634"/>
      <w:bookmarkStart w:id="86" w:name="_Toc17189"/>
      <w:r>
        <w:rPr>
          <w:rFonts w:hint="eastAsia" w:cs="仿宋_GB2312"/>
        </w:rPr>
        <w:t>项目背景</w:t>
      </w:r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</w:p>
    <w:p>
      <w:pPr>
        <w:spacing w:line="360" w:lineRule="auto"/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为满足摄像机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操作系统</w:t>
      </w:r>
      <w:r>
        <w:rPr>
          <w:rFonts w:hint="eastAsia" w:ascii="仿宋_GB2312" w:hAnsi="仿宋_GB2312" w:eastAsia="仿宋_GB2312" w:cs="仿宋_GB2312"/>
          <w:sz w:val="28"/>
          <w:szCs w:val="28"/>
        </w:rPr>
        <w:t>适配需求，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拟</w:t>
      </w:r>
      <w:r>
        <w:rPr>
          <w:rFonts w:hint="eastAsia" w:ascii="仿宋_GB2312" w:hAnsi="仿宋_GB2312" w:eastAsia="仿宋_GB2312" w:cs="仿宋_GB2312"/>
          <w:sz w:val="28"/>
          <w:szCs w:val="28"/>
        </w:rPr>
        <w:t>采购一批摄像机核心板材料，用于研发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及</w:t>
      </w:r>
      <w:r>
        <w:rPr>
          <w:rFonts w:hint="eastAsia" w:ascii="仿宋_GB2312" w:hAnsi="仿宋_GB2312" w:eastAsia="仿宋_GB2312" w:cs="仿宋_GB2312"/>
          <w:sz w:val="28"/>
          <w:szCs w:val="28"/>
        </w:rPr>
        <w:t>测试验证。</w:t>
      </w:r>
    </w:p>
    <w:p>
      <w:pPr>
        <w:pStyle w:val="5"/>
        <w:rPr>
          <w:rFonts w:cs="仿宋_GB2312"/>
        </w:rPr>
      </w:pPr>
      <w:bookmarkStart w:id="87" w:name="_Toc14113"/>
      <w:bookmarkStart w:id="88" w:name="_Toc30164"/>
      <w:bookmarkStart w:id="89" w:name="_Toc12669"/>
      <w:bookmarkStart w:id="90" w:name="_Toc12418"/>
      <w:bookmarkStart w:id="91" w:name="_Toc11966"/>
      <w:bookmarkStart w:id="92" w:name="_Toc22782"/>
      <w:bookmarkStart w:id="93" w:name="_Toc27856"/>
      <w:bookmarkStart w:id="94" w:name="_Toc11470"/>
      <w:bookmarkStart w:id="95" w:name="_Toc25153"/>
      <w:bookmarkStart w:id="96" w:name="_Toc31437"/>
      <w:bookmarkStart w:id="97" w:name="_Toc7017"/>
      <w:bookmarkStart w:id="98" w:name="_Toc14303"/>
      <w:bookmarkStart w:id="99" w:name="_Toc24477"/>
      <w:bookmarkStart w:id="100" w:name="_Toc30858"/>
      <w:bookmarkStart w:id="101" w:name="_Toc3531"/>
      <w:bookmarkStart w:id="102" w:name="_Toc561"/>
      <w:bookmarkStart w:id="103" w:name="_Toc17046"/>
      <w:bookmarkStart w:id="104" w:name="_Toc26770"/>
      <w:bookmarkStart w:id="105" w:name="_Toc198288469"/>
      <w:bookmarkStart w:id="106" w:name="_Toc197719624"/>
      <w:r>
        <w:rPr>
          <w:rFonts w:hint="eastAsia" w:cs="仿宋_GB2312"/>
          <w:lang w:val="en-US" w:eastAsia="zh-CN"/>
        </w:rPr>
        <w:t>资质</w:t>
      </w:r>
      <w:r>
        <w:rPr>
          <w:rFonts w:hint="eastAsia" w:cs="仿宋_GB2312"/>
        </w:rPr>
        <w:t>要求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</w:p>
    <w:p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须具有下列资质：</w:t>
      </w:r>
    </w:p>
    <w:p>
      <w:pPr>
        <w:spacing w:line="360" w:lineRule="auto"/>
        <w:ind w:left="559" w:leftChars="266" w:firstLine="0" w:firstLineChars="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（1）</w:t>
      </w:r>
      <w:r>
        <w:rPr>
          <w:rFonts w:hint="eastAsia" w:ascii="仿宋_GB2312" w:hAnsi="仿宋_GB2312" w:eastAsia="仿宋_GB2312" w:cs="仿宋_GB2312"/>
          <w:sz w:val="28"/>
          <w:szCs w:val="28"/>
        </w:rPr>
        <w:t>具备ISO9000、14000体系认证证书</w:t>
      </w:r>
      <w:r>
        <w:rPr>
          <w:rFonts w:hint="eastAsia" w:ascii="仿宋_GB2312" w:hAnsi="仿宋_GB2312" w:eastAsia="仿宋_GB2312" w:cs="仿宋_GB2312"/>
          <w:sz w:val="28"/>
          <w:szCs w:val="28"/>
        </w:rPr>
        <w:br w:type="textWrapping"/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2）</w:t>
      </w:r>
      <w:r>
        <w:rPr>
          <w:rFonts w:hint="eastAsia" w:ascii="仿宋_GB2312" w:hAnsi="仿宋_GB2312" w:eastAsia="仿宋_GB2312" w:cs="仿宋_GB2312"/>
          <w:sz w:val="28"/>
          <w:szCs w:val="28"/>
        </w:rPr>
        <w:t>核心板材料生产工厂具备信息管理工具（如：SAP\MES系统软件）</w:t>
      </w:r>
    </w:p>
    <w:p>
      <w:pPr>
        <w:pStyle w:val="5"/>
        <w:rPr>
          <w:rFonts w:cs="仿宋_GB2312"/>
        </w:rPr>
      </w:pPr>
      <w:bookmarkStart w:id="107" w:name="_Toc32"/>
      <w:r>
        <w:rPr>
          <w:rFonts w:hint="eastAsia" w:cs="仿宋_GB2312"/>
          <w:lang w:val="en-US" w:eastAsia="zh-CN"/>
        </w:rPr>
        <w:t>技术要求</w:t>
      </w:r>
      <w:bookmarkEnd w:id="107"/>
    </w:p>
    <w:p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核心板材料硬件参数要求如下：</w:t>
      </w:r>
    </w:p>
    <w:p>
      <w:pPr>
        <w:pStyle w:val="26"/>
        <w:ind w:left="0" w:leftChars="0" w:firstLine="0" w:firstLineChars="0"/>
        <w:jc w:val="center"/>
        <w:rPr>
          <w:rFonts w:hint="default" w:ascii="Times New Roman" w:hAnsi="Times New Roman" w:eastAsia="宋体" w:cs="仿宋_GB2312"/>
          <w:lang w:val="en-US" w:eastAsia="zh-CN"/>
        </w:rPr>
      </w:pPr>
      <w:r>
        <w:rPr>
          <w:rFonts w:hint="eastAsia" w:ascii="Times New Roman" w:hAnsi="Times New Roman" w:eastAsia="宋体" w:cs="仿宋_GB2312"/>
          <w:lang w:val="en-US" w:eastAsia="zh-CN"/>
        </w:rPr>
        <w:t>表 核心板材料硬件参数表</w:t>
      </w:r>
    </w:p>
    <w:tbl>
      <w:tblPr>
        <w:tblStyle w:val="18"/>
        <w:tblW w:w="8070" w:type="dxa"/>
        <w:tblInd w:w="27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3"/>
        <w:gridCol w:w="698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10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CPU</w:t>
            </w:r>
          </w:p>
        </w:tc>
        <w:tc>
          <w:tcPr>
            <w:tcW w:w="6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Hi3519DV500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双核ARM Cortex A55@1000MHz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2.5Tops INT8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内存</w:t>
            </w:r>
          </w:p>
        </w:tc>
        <w:tc>
          <w:tcPr>
            <w:tcW w:w="6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DDR4,512*16bits,2666Mbps,2pcs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存储</w:t>
            </w:r>
          </w:p>
        </w:tc>
        <w:tc>
          <w:tcPr>
            <w:tcW w:w="6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eMMC5.1 8GB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10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视频编解码</w:t>
            </w:r>
          </w:p>
        </w:tc>
        <w:tc>
          <w:tcPr>
            <w:tcW w:w="6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H.264/H.265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H.264/H.265编解码最大分辨率为6144*6144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3840*2160@30fps(编码)+1920*1080@30fps(编码)+720*480@30fps(编码)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3840*2160@30fps(编码)+720*480@30fps(编码)+1920*1080@30fps(解码)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3840*2160@30fps(解码)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10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图片解码</w:t>
            </w:r>
          </w:p>
        </w:tc>
        <w:tc>
          <w:tcPr>
            <w:tcW w:w="6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JPEG编解码最大分辨率16384x16384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JPEG最大性能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−编码：3840*2160@60fps(YUV420)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−解码：3840*2160@30fps(YUV420)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0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硬件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接口</w:t>
            </w:r>
          </w:p>
        </w:tc>
        <w:tc>
          <w:tcPr>
            <w:tcW w:w="6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视频输入接口支持8-Laneimagesensor串行输入，支持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MIPI/LVDS/Sub-LVDS/HiSPi多种接口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支持2x4-Lane或4x2-Lane等多种组合，最高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支持4路sensor输入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视频输出接口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支持一路BT.1120或BT.656接口输出，其中BT.1120最高性能1920x1080@60fps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支持6/8bit串行或16/18/24bitRGB并行输出，最高频率74.25MHz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支持4-LaneMipiDSI/CSI接口输出，最高1.8Gbps/lane，性能3840x2160@30fps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音频接口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内置Audiocodec，支持16bit双路差分语音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输入和双路单端语音输出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支持1路I2S接口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个千兆以太网接口；−支持RGMII、RMII两种接口模式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 个 SDIO3.0 接口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个 USB3.0/USB2.0 接口； USB Host/Device可切换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RTC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 通道 LSADC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多个 UART、I2C、SPI、PWM、GPIO 接口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尺寸</w:t>
            </w:r>
          </w:p>
        </w:tc>
        <w:tc>
          <w:tcPr>
            <w:tcW w:w="6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≤55*55mm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连接器</w:t>
            </w:r>
          </w:p>
        </w:tc>
        <w:tc>
          <w:tcPr>
            <w:tcW w:w="6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间距0.6mm的2*50/100Pin的BTB连接器，型号FX8C-100P-SV(92)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功耗</w:t>
            </w:r>
          </w:p>
        </w:tc>
        <w:tc>
          <w:tcPr>
            <w:tcW w:w="6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≤4.5W</w:t>
            </w:r>
          </w:p>
        </w:tc>
      </w:tr>
    </w:tbl>
    <w:p>
      <w:pPr>
        <w:pStyle w:val="26"/>
        <w:ind w:left="0" w:leftChars="0" w:firstLine="0" w:firstLineChars="0"/>
        <w:rPr>
          <w:rFonts w:hint="eastAsia" w:cs="仿宋_GB2312"/>
          <w:lang w:val="en-US" w:eastAsia="zh-CN"/>
        </w:rPr>
      </w:pPr>
    </w:p>
    <w:p>
      <w:pPr>
        <w:pStyle w:val="26"/>
        <w:ind w:left="0" w:leftChars="0" w:firstLine="0" w:firstLineChars="0"/>
        <w:rPr>
          <w:rFonts w:hint="eastAsia" w:cs="仿宋_GB2312"/>
          <w:lang w:val="en-US" w:eastAsia="zh-CN"/>
        </w:rPr>
      </w:pPr>
    </w:p>
    <w:p>
      <w:pPr>
        <w:spacing w:line="360" w:lineRule="auto"/>
        <w:ind w:firstLine="560" w:firstLineChars="200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核心板材料资源清单要求如下：</w:t>
      </w:r>
    </w:p>
    <w:p>
      <w:pPr>
        <w:pStyle w:val="26"/>
        <w:ind w:left="0" w:leftChars="0" w:firstLine="0" w:firstLineChars="0"/>
        <w:rPr>
          <w:rFonts w:hint="eastAsia" w:cs="仿宋_GB2312"/>
          <w:lang w:val="en-US" w:eastAsia="zh-CN"/>
        </w:rPr>
      </w:pPr>
    </w:p>
    <w:p>
      <w:pPr>
        <w:pStyle w:val="26"/>
        <w:ind w:left="0" w:leftChars="0" w:firstLine="0" w:firstLineChars="0"/>
        <w:jc w:val="center"/>
        <w:rPr>
          <w:rFonts w:hint="default"/>
          <w:lang w:val="en-US"/>
        </w:rPr>
      </w:pPr>
      <w:r>
        <w:rPr>
          <w:rFonts w:hint="eastAsia" w:cs="仿宋_GB2312"/>
          <w:lang w:val="en-US" w:eastAsia="zh-CN"/>
        </w:rPr>
        <w:t>表 核心板资源清单</w:t>
      </w:r>
    </w:p>
    <w:tbl>
      <w:tblPr>
        <w:tblStyle w:val="18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5"/>
        <w:gridCol w:w="2969"/>
        <w:gridCol w:w="4083"/>
        <w:gridCol w:w="84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资源</w:t>
            </w:r>
          </w:p>
        </w:tc>
        <w:tc>
          <w:tcPr>
            <w:tcW w:w="2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描述</w:t>
            </w: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主芯片</w:t>
            </w:r>
          </w:p>
        </w:tc>
        <w:tc>
          <w:tcPr>
            <w:tcW w:w="2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Hi3519DV500</w:t>
            </w:r>
          </w:p>
        </w:tc>
        <w:tc>
          <w:tcPr>
            <w:tcW w:w="49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小系统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内存DDR4</w:t>
            </w:r>
          </w:p>
        </w:tc>
        <w:tc>
          <w:tcPr>
            <w:tcW w:w="2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1G/2G BYTES</w:t>
            </w: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EMMC FLASH</w:t>
            </w:r>
          </w:p>
        </w:tc>
        <w:tc>
          <w:tcPr>
            <w:tcW w:w="2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8G BYTES</w:t>
            </w: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SPI NAND Flash</w:t>
            </w:r>
          </w:p>
        </w:tc>
        <w:tc>
          <w:tcPr>
            <w:tcW w:w="2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预留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位置</w:t>
            </w: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集成核心电源电压及时序</w:t>
            </w:r>
          </w:p>
        </w:tc>
        <w:tc>
          <w:tcPr>
            <w:tcW w:w="2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电压输入5V</w:t>
            </w: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运行指示灯</w:t>
            </w:r>
          </w:p>
        </w:tc>
        <w:tc>
          <w:tcPr>
            <w:tcW w:w="2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电源指示灯和运行指示灯</w:t>
            </w: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复位系统</w:t>
            </w:r>
          </w:p>
        </w:tc>
        <w:tc>
          <w:tcPr>
            <w:tcW w:w="2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硬件复位</w:t>
            </w: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RTC</w:t>
            </w:r>
          </w:p>
        </w:tc>
        <w:tc>
          <w:tcPr>
            <w:tcW w:w="2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实时时钟</w:t>
            </w: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预留硬件加密芯片</w:t>
            </w:r>
          </w:p>
        </w:tc>
        <w:tc>
          <w:tcPr>
            <w:tcW w:w="2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南网加密芯片</w:t>
            </w: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固件加载和刷新程序接口</w:t>
            </w:r>
          </w:p>
        </w:tc>
        <w:tc>
          <w:tcPr>
            <w:tcW w:w="2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Micro USB</w:t>
            </w: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功耗</w:t>
            </w:r>
          </w:p>
        </w:tc>
        <w:tc>
          <w:tcPr>
            <w:tcW w:w="2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典型场景：&lt;4W，最大场景：&lt;4.5W</w:t>
            </w: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连接器</w:t>
            </w:r>
          </w:p>
        </w:tc>
        <w:tc>
          <w:tcPr>
            <w:tcW w:w="2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BTB连接器，外加螺丝孔固定</w:t>
            </w: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尺寸</w:t>
            </w:r>
          </w:p>
        </w:tc>
        <w:tc>
          <w:tcPr>
            <w:tcW w:w="2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55mm*55mm*10mm(不含散热器情况)</w:t>
            </w: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两路视频输入接口</w:t>
            </w:r>
          </w:p>
        </w:tc>
        <w:tc>
          <w:tcPr>
            <w:tcW w:w="2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9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P_IRIS_CONTROL信号</w:t>
            </w:r>
          </w:p>
        </w:tc>
        <w:tc>
          <w:tcPr>
            <w:tcW w:w="2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DC_IRIS_CONTROL信号</w:t>
            </w:r>
          </w:p>
        </w:tc>
        <w:tc>
          <w:tcPr>
            <w:tcW w:w="2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1路左右声道音频输出</w:t>
            </w:r>
          </w:p>
        </w:tc>
        <w:tc>
          <w:tcPr>
            <w:tcW w:w="2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1路左右声道音频输入</w:t>
            </w:r>
          </w:p>
        </w:tc>
        <w:tc>
          <w:tcPr>
            <w:tcW w:w="2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SDIO0接口</w:t>
            </w:r>
          </w:p>
        </w:tc>
        <w:tc>
          <w:tcPr>
            <w:tcW w:w="2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SDIO1接口</w:t>
            </w:r>
          </w:p>
        </w:tc>
        <w:tc>
          <w:tcPr>
            <w:tcW w:w="2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UART接口</w:t>
            </w:r>
          </w:p>
        </w:tc>
        <w:tc>
          <w:tcPr>
            <w:tcW w:w="2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IIC接口/SPI接口</w:t>
            </w:r>
          </w:p>
        </w:tc>
        <w:tc>
          <w:tcPr>
            <w:tcW w:w="2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1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GPIO接口</w:t>
            </w:r>
          </w:p>
        </w:tc>
        <w:tc>
          <w:tcPr>
            <w:tcW w:w="2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PWM接口</w:t>
            </w:r>
          </w:p>
        </w:tc>
        <w:tc>
          <w:tcPr>
            <w:tcW w:w="2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USB3.0</w:t>
            </w:r>
          </w:p>
        </w:tc>
        <w:tc>
          <w:tcPr>
            <w:tcW w:w="2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1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PHY接口</w:t>
            </w:r>
          </w:p>
        </w:tc>
        <w:tc>
          <w:tcPr>
            <w:tcW w:w="2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1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ADC接口</w:t>
            </w:r>
          </w:p>
        </w:tc>
        <w:tc>
          <w:tcPr>
            <w:tcW w:w="2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</w:tbl>
    <w:p>
      <w:pPr>
        <w:pStyle w:val="4"/>
        <w:rPr>
          <w:rFonts w:eastAsia="仿宋_GB2312" w:cs="仿宋_GB2312"/>
        </w:rPr>
      </w:pPr>
      <w:bookmarkStart w:id="108" w:name="_Toc26683"/>
      <w:bookmarkStart w:id="109" w:name="_Toc31205"/>
      <w:bookmarkStart w:id="110" w:name="_Toc4336"/>
      <w:bookmarkStart w:id="111" w:name="_Toc20909"/>
      <w:bookmarkStart w:id="112" w:name="_Toc16164"/>
      <w:bookmarkStart w:id="113" w:name="_Toc8518"/>
      <w:bookmarkStart w:id="114" w:name="_Toc27846"/>
      <w:bookmarkStart w:id="115" w:name="_Toc25876"/>
      <w:bookmarkStart w:id="116" w:name="_Toc25665"/>
      <w:bookmarkStart w:id="117" w:name="_Toc13048"/>
      <w:r>
        <w:rPr>
          <w:rFonts w:hint="eastAsia" w:eastAsia="仿宋_GB2312" w:cs="仿宋_GB2312"/>
        </w:rPr>
        <w:t>质量及服务方式要求</w:t>
      </w:r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r>
        <w:rPr>
          <w:rFonts w:hint="eastAsia" w:eastAsia="仿宋_GB2312" w:cs="仿宋_GB2312"/>
        </w:rPr>
        <w:t>　　</w:t>
      </w:r>
    </w:p>
    <w:bookmarkEnd w:id="117"/>
    <w:p>
      <w:pPr>
        <w:pStyle w:val="5"/>
        <w:numPr>
          <w:ilvl w:val="0"/>
          <w:numId w:val="0"/>
        </w:numPr>
        <w:tabs>
          <w:tab w:val="left" w:pos="1276"/>
          <w:tab w:val="clear" w:pos="425"/>
        </w:tabs>
        <w:spacing w:before="120" w:after="120"/>
        <w:ind w:leftChars="0"/>
        <w:rPr>
          <w:rFonts w:hint="eastAsia"/>
        </w:rPr>
      </w:pPr>
      <w:bookmarkStart w:id="118" w:name="_Toc17591"/>
      <w:bookmarkStart w:id="119" w:name="_Toc14114"/>
      <w:bookmarkStart w:id="120" w:name="_Toc282433763"/>
      <w:bookmarkStart w:id="121" w:name="_Toc384341038"/>
      <w:bookmarkStart w:id="122" w:name="_Toc4099"/>
      <w:bookmarkStart w:id="123" w:name="_Toc29278"/>
      <w:bookmarkStart w:id="124" w:name="_Toc300391308"/>
      <w:bookmarkStart w:id="125" w:name="_Toc27754"/>
      <w:bookmarkStart w:id="126" w:name="_Toc282993367"/>
      <w:bookmarkStart w:id="127" w:name="_Toc1305108599"/>
      <w:bookmarkStart w:id="128" w:name="_Toc5517"/>
      <w:bookmarkStart w:id="129" w:name="_Toc19595"/>
      <w:bookmarkStart w:id="130" w:name="_Toc8632"/>
      <w:bookmarkStart w:id="131" w:name="_Toc15816"/>
      <w:bookmarkStart w:id="132" w:name="_Toc28612"/>
      <w:bookmarkStart w:id="133" w:name="_Toc9600"/>
      <w:bookmarkStart w:id="134" w:name="_Toc9734"/>
      <w:bookmarkStart w:id="135" w:name="_Toc26678"/>
      <w:bookmarkStart w:id="136" w:name="_Toc14542"/>
      <w:r>
        <w:rPr>
          <w:rFonts w:hint="eastAsia"/>
          <w:lang w:val="en-US" w:eastAsia="zh-CN"/>
        </w:rPr>
        <w:t>3.1</w:t>
      </w:r>
      <w:r>
        <w:rPr>
          <w:rFonts w:hint="eastAsia"/>
        </w:rPr>
        <w:t>质量保证</w:t>
      </w:r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（1）全部材料必须是全新的，持久耐用的。</w:t>
      </w:r>
    </w:p>
    <w:p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2）响应方应对其整组设备在到货后提供不少于1年的“三包”质量保证。质保期之后如发生产品质量原因导致的损坏，响应方应免费更换或检修；如发生非产品质量原因导致的损坏，响应方应及时提供维修部件，并按最近的投标价提供。</w:t>
      </w:r>
    </w:p>
    <w:p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（3）响应方应保证制造过程中的所有工艺、材料试验等（包括响应方的外购件在内）均应符合本规范的规定。若需根据运行经验指定响应方提供某种外购零部件，响应方应积极配合。</w:t>
      </w:r>
    </w:p>
    <w:p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（4）附属及配套设备必须满足有关行业标准的要求，并提供试验报告和产品合格证。</w:t>
      </w:r>
    </w:p>
    <w:p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（5）响应方应有遵守本标准中各条款和工作项目的ISO9000-GB/T19000质量保证体系， 该质量保证体系已经通过国家认证并在正常运转。</w:t>
      </w:r>
    </w:p>
    <w:p>
      <w:pPr>
        <w:pStyle w:val="5"/>
        <w:numPr>
          <w:ilvl w:val="0"/>
          <w:numId w:val="0"/>
        </w:numPr>
        <w:tabs>
          <w:tab w:val="left" w:pos="1276"/>
          <w:tab w:val="clear" w:pos="425"/>
        </w:tabs>
        <w:spacing w:before="120" w:after="120"/>
        <w:ind w:leftChars="0"/>
        <w:rPr>
          <w:rFonts w:hint="eastAsia"/>
        </w:rPr>
      </w:pPr>
      <w:bookmarkStart w:id="137" w:name="_Toc2090143106"/>
      <w:bookmarkStart w:id="138" w:name="_Toc17156"/>
      <w:bookmarkStart w:id="139" w:name="_Toc25845"/>
      <w:bookmarkStart w:id="140" w:name="_Toc18534"/>
      <w:bookmarkStart w:id="141" w:name="_Toc11843"/>
      <w:bookmarkStart w:id="142" w:name="_Toc562252935"/>
      <w:bookmarkStart w:id="143" w:name="_Toc4229"/>
      <w:bookmarkStart w:id="144" w:name="_Toc29826"/>
      <w:r>
        <w:rPr>
          <w:rFonts w:hint="eastAsia"/>
          <w:lang w:val="en-US" w:eastAsia="zh-CN"/>
        </w:rPr>
        <w:t>3.2</w:t>
      </w:r>
      <w:r>
        <w:rPr>
          <w:rFonts w:hint="eastAsia"/>
        </w:rPr>
        <w:t>售后服务</w:t>
      </w:r>
      <w:bookmarkEnd w:id="137"/>
      <w:bookmarkEnd w:id="138"/>
      <w:bookmarkEnd w:id="139"/>
      <w:bookmarkEnd w:id="140"/>
      <w:bookmarkEnd w:id="141"/>
      <w:bookmarkEnd w:id="142"/>
      <w:bookmarkEnd w:id="143"/>
      <w:bookmarkEnd w:id="144"/>
    </w:p>
    <w:p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bookmarkStart w:id="145" w:name="_Hlk43711768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（1）材料的质保期不低于1年，质保期内供货商免费更换所有配件、耗材，并承担维护及通信费用，确保其产品能正常运行，质保期内更换的所有配件应重新计算质保期（不低于1年）</w:t>
      </w:r>
      <w:bookmarkEnd w:id="145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。</w:t>
      </w:r>
    </w:p>
    <w:p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（2）响应方对售后服务的需求必须在24小时答复，在48小时内提供技术服务。</w:t>
      </w:r>
    </w:p>
    <w:p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bookmarkStart w:id="146" w:name="_Hlk43711657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（3）响应方长期为采购方提供备件采购和供应服务。</w:t>
      </w:r>
    </w:p>
    <w:bookmarkEnd w:id="146"/>
    <w:p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bookmarkStart w:id="147" w:name="_Hlk43711678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（4）软件系统必须能根据用户要求对软件功能进行修改</w:t>
      </w:r>
      <w:bookmarkEnd w:id="147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。</w:t>
      </w:r>
    </w:p>
    <w:p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（5）响应方应保证所提供的所有材料都是全新的，未使用过的，且应按最佳方式进行设计和制造。采用的是优质材料和先进工艺，并在各方面符合合同规定的质量、规格和性能要求。</w:t>
      </w:r>
    </w:p>
    <w:p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响应方应保证所供设备经过正确安装、正常操作和保养，在其寿命期内运行良好。</w:t>
      </w:r>
    </w:p>
    <w:p>
      <w:pPr>
        <w:pStyle w:val="4"/>
        <w:rPr>
          <w:rFonts w:ascii="仿宋" w:hAnsi="仿宋" w:eastAsia="仿宋"/>
        </w:rPr>
      </w:pPr>
      <w:bookmarkStart w:id="148" w:name="_Toc5314"/>
      <w:r>
        <w:rPr>
          <w:rFonts w:hint="eastAsia" w:ascii="仿宋" w:hAnsi="仿宋" w:eastAsia="仿宋"/>
        </w:rPr>
        <w:t>安全保密要求</w:t>
      </w:r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48"/>
    </w:p>
    <w:p>
      <w:pPr>
        <w:pStyle w:val="32"/>
        <w:numPr>
          <w:ilvl w:val="0"/>
          <w:numId w:val="0"/>
        </w:numPr>
        <w:ind w:left="420" w:leftChars="0" w:hanging="420" w:firstLineChars="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default" w:ascii="仿宋_GB2312" w:hAnsi="仿宋_GB2312" w:eastAsia="仿宋_GB2312" w:cs="仿宋_GB2312"/>
          <w:kern w:val="0"/>
          <w:sz w:val="28"/>
          <w:szCs w:val="28"/>
          <w:lang w:val="en-US" w:eastAsia="zh-CN" w:bidi="ar-SA"/>
        </w:rPr>
        <w:t>（1）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在服务期间，负有保护南方电网数字电网科技（广东）有限公司的网络安全、信息安全和系统数据安全的义务和责任；负有保护所持有、接触的属于或涉及南方电网数字电网科技（广东）有限公司商业秘密的信息安全的义务和责任。</w:t>
      </w:r>
    </w:p>
    <w:p>
      <w:pPr>
        <w:pStyle w:val="32"/>
        <w:numPr>
          <w:ilvl w:val="0"/>
          <w:numId w:val="0"/>
        </w:numPr>
        <w:ind w:left="420" w:leftChars="0" w:hanging="420" w:firstLineChars="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default" w:ascii="仿宋_GB2312" w:hAnsi="仿宋_GB2312" w:eastAsia="仿宋_GB2312" w:cs="仿宋_GB2312"/>
          <w:kern w:val="0"/>
          <w:sz w:val="28"/>
          <w:szCs w:val="28"/>
          <w:lang w:val="en-US" w:eastAsia="zh-CN" w:bidi="ar-SA"/>
        </w:rPr>
        <w:t>（2）</w:t>
      </w:r>
      <w:r>
        <w:rPr>
          <w:rFonts w:hint="eastAsia" w:ascii="仿宋_GB2312" w:hAnsi="仿宋_GB2312" w:eastAsia="仿宋_GB2312" w:cs="仿宋_GB2312"/>
          <w:sz w:val="28"/>
          <w:szCs w:val="28"/>
        </w:rPr>
        <w:t>除非有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的书面许可，或该信息已被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认为不再是商业秘密，或已在社会上公开，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不得将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经营信息及商业秘密（包括生产管理的方式方法与资料、产品技术资料、客户名单、销售渠道企业战略及其他被认为是商业秘密的信息）对外透露。</w:t>
      </w:r>
    </w:p>
    <w:p>
      <w:pPr>
        <w:pStyle w:val="32"/>
        <w:numPr>
          <w:ilvl w:val="0"/>
          <w:numId w:val="0"/>
        </w:numPr>
        <w:ind w:left="420" w:leftChars="0" w:hanging="420" w:firstLineChars="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default" w:ascii="仿宋_GB2312" w:hAnsi="仿宋_GB2312" w:eastAsia="仿宋_GB2312" w:cs="仿宋_GB2312"/>
          <w:kern w:val="0"/>
          <w:sz w:val="28"/>
          <w:szCs w:val="28"/>
          <w:lang w:val="en-US" w:eastAsia="zh-CN" w:bidi="ar-SA"/>
        </w:rPr>
        <w:t>（3）</w:t>
      </w:r>
      <w:r>
        <w:rPr>
          <w:rFonts w:hint="eastAsia" w:ascii="仿宋_GB2312" w:hAnsi="仿宋_GB2312" w:eastAsia="仿宋_GB2312" w:cs="仿宋_GB2312"/>
          <w:sz w:val="28"/>
          <w:szCs w:val="28"/>
        </w:rPr>
        <w:t>在现场服务过程中，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必须在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指定地点办公，并遵守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关于第三方人员管理规定要求；未经许可不得以任何方式对保密信息及工作成果进行复制、传播、泄漏、告知，不得将保密信息带离办公场所。</w:t>
      </w:r>
    </w:p>
    <w:p>
      <w:pPr>
        <w:pStyle w:val="32"/>
        <w:numPr>
          <w:ilvl w:val="0"/>
          <w:numId w:val="0"/>
        </w:numPr>
        <w:ind w:left="420" w:leftChars="0" w:hanging="420" w:firstLineChars="0"/>
        <w:rPr>
          <w:highlight w:val="yellow"/>
        </w:rPr>
      </w:pPr>
      <w:r>
        <w:rPr>
          <w:rFonts w:hint="default" w:ascii="Calibri" w:hAnsi="Calibri" w:eastAsia="宋体" w:cs="Times New Roman"/>
          <w:kern w:val="0"/>
          <w:sz w:val="24"/>
          <w:szCs w:val="24"/>
          <w:lang w:val="en-US" w:eastAsia="zh-CN" w:bidi="ar-SA"/>
        </w:rPr>
        <w:t>（4）</w:t>
      </w:r>
      <w:r>
        <w:rPr>
          <w:rFonts w:hint="eastAsia" w:ascii="仿宋_GB2312" w:hAnsi="仿宋_GB2312" w:eastAsia="仿宋_GB2312" w:cs="仿宋_GB2312"/>
          <w:sz w:val="28"/>
          <w:szCs w:val="28"/>
        </w:rPr>
        <w:t>无论何种原因导致合同解除或终止，本项目约定下的保密条款、保密内容及相关的违约责任的约定仍然生效。保密期限为签订合同之后至永久，保密范围为项目所涉及的任</w:t>
      </w:r>
      <w:bookmarkEnd w:id="105"/>
      <w:bookmarkEnd w:id="106"/>
    </w:p>
    <w:sectPr>
      <w:footerReference r:id="rId4" w:type="default"/>
      <w:pgSz w:w="11906" w:h="16838"/>
      <w:pgMar w:top="1440" w:right="1797" w:bottom="1440" w:left="1797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jc w:val="center"/>
    </w:pPr>
    <w:r>
      <w:rPr>
        <w:rStyle w:val="21"/>
        <w:rFonts w:hint="eastAsia"/>
      </w:rPr>
      <w:t xml:space="preserve">－ </w:t>
    </w:r>
    <w:r>
      <w:fldChar w:fldCharType="begin"/>
    </w:r>
    <w:r>
      <w:rPr>
        <w:rStyle w:val="21"/>
      </w:rPr>
      <w:instrText xml:space="preserve"> PAGE </w:instrText>
    </w:r>
    <w:r>
      <w:fldChar w:fldCharType="separate"/>
    </w:r>
    <w:r>
      <w:rPr>
        <w:rStyle w:val="21"/>
      </w:rPr>
      <w:t>ii</w:t>
    </w:r>
    <w:r>
      <w:fldChar w:fldCharType="end"/>
    </w:r>
    <w:r>
      <w:rPr>
        <w:rStyle w:val="21"/>
        <w:rFonts w:hint="eastAsia"/>
      </w:rPr>
      <w:t xml:space="preserve"> －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12</w:t>
    </w:r>
    <w: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697EBD"/>
    <w:multiLevelType w:val="multilevel"/>
    <w:tmpl w:val="16697EBD"/>
    <w:lvl w:ilvl="0" w:tentative="0">
      <w:start w:val="1"/>
      <w:numFmt w:val="bullet"/>
      <w:pStyle w:val="35"/>
      <w:lvlText w:val=""/>
      <w:lvlJc w:val="left"/>
      <w:pPr>
        <w:tabs>
          <w:tab w:val="left" w:pos="1100"/>
        </w:tabs>
        <w:ind w:left="110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1520"/>
        </w:tabs>
        <w:ind w:left="152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940"/>
        </w:tabs>
        <w:ind w:left="194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2360"/>
        </w:tabs>
        <w:ind w:left="236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780"/>
        </w:tabs>
        <w:ind w:left="278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3200"/>
        </w:tabs>
        <w:ind w:left="320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3620"/>
        </w:tabs>
        <w:ind w:left="362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4040"/>
        </w:tabs>
        <w:ind w:left="404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4460"/>
        </w:tabs>
        <w:ind w:left="4460" w:hanging="420"/>
      </w:pPr>
      <w:rPr>
        <w:rFonts w:hint="default" w:ascii="Wingdings" w:hAnsi="Wingdings"/>
      </w:rPr>
    </w:lvl>
  </w:abstractNum>
  <w:abstractNum w:abstractNumId="1">
    <w:nsid w:val="660923B1"/>
    <w:multiLevelType w:val="multilevel"/>
    <w:tmpl w:val="660923B1"/>
    <w:lvl w:ilvl="0" w:tentative="0">
      <w:start w:val="1"/>
      <w:numFmt w:val="decimal"/>
      <w:lvlText w:val="%1）"/>
      <w:lvlJc w:val="left"/>
      <w:pPr>
        <w:ind w:left="900" w:hanging="420"/>
      </w:pPr>
      <w:rPr>
        <w:rFonts w:ascii="Times New Roman" w:hAnsi="Times New Roman" w:eastAsia="宋体" w:cs="Times New Roman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756D29A0"/>
    <w:multiLevelType w:val="multilevel"/>
    <w:tmpl w:val="756D29A0"/>
    <w:lvl w:ilvl="0" w:tentative="0">
      <w:start w:val="1"/>
      <w:numFmt w:val="decimal"/>
      <w:pStyle w:val="4"/>
      <w:lvlText w:val="%1."/>
      <w:lvlJc w:val="left"/>
      <w:pPr>
        <w:tabs>
          <w:tab w:val="left" w:pos="425"/>
        </w:tabs>
        <w:ind w:left="425" w:hanging="425"/>
      </w:pPr>
      <w:rPr>
        <w:rFonts w:hint="default" w:ascii="Times New Roman" w:hAnsi="Times New Roman" w:eastAsia="宋体"/>
        <w:b/>
        <w:bCs/>
        <w:i w:val="0"/>
        <w:spacing w:val="-12"/>
        <w:sz w:val="28"/>
        <w:szCs w:val="44"/>
      </w:rPr>
    </w:lvl>
    <w:lvl w:ilvl="1" w:tentative="0">
      <w:start w:val="1"/>
      <w:numFmt w:val="decimal"/>
      <w:pStyle w:val="5"/>
      <w:lvlText w:val="%1.%2."/>
      <w:lvlJc w:val="left"/>
      <w:pPr>
        <w:tabs>
          <w:tab w:val="left" w:pos="567"/>
        </w:tabs>
        <w:ind w:left="567" w:hanging="567"/>
      </w:pPr>
      <w:rPr>
        <w:rFonts w:hint="default" w:ascii="Times New Roman" w:hAnsi="Times New Roman" w:eastAsia="宋体"/>
        <w:sz w:val="28"/>
        <w:szCs w:val="24"/>
      </w:rPr>
    </w:lvl>
    <w:lvl w:ilvl="2" w:tentative="0">
      <w:start w:val="1"/>
      <w:numFmt w:val="decimal"/>
      <w:pStyle w:val="6"/>
      <w:lvlText w:val="%1.%2.%3."/>
      <w:lvlJc w:val="left"/>
      <w:pPr>
        <w:tabs>
          <w:tab w:val="left" w:pos="709"/>
        </w:tabs>
        <w:ind w:left="709" w:hanging="709"/>
      </w:pPr>
      <w:rPr>
        <w:rFonts w:hint="default" w:ascii="Times New Roman" w:hAnsi="Times New Roman" w:cs="Times New Roman"/>
        <w:sz w:val="28"/>
      </w:r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  <w:rPr>
        <w:rFonts w:hint="eastAsia"/>
        <w:sz w:val="24"/>
        <w:szCs w:val="24"/>
      </w:r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BmZTg5MDM4MzIyZDUxYzU3Yzg3YmVjNzk0N2NkY2EifQ=="/>
  </w:docVars>
  <w:rsids>
    <w:rsidRoot w:val="456D62B9"/>
    <w:rsid w:val="00005A8A"/>
    <w:rsid w:val="000123AE"/>
    <w:rsid w:val="00033ABD"/>
    <w:rsid w:val="00055C21"/>
    <w:rsid w:val="00072C5B"/>
    <w:rsid w:val="000735C7"/>
    <w:rsid w:val="00094E44"/>
    <w:rsid w:val="000961C1"/>
    <w:rsid w:val="000B14FC"/>
    <w:rsid w:val="000C31EC"/>
    <w:rsid w:val="000D4458"/>
    <w:rsid w:val="000D47C1"/>
    <w:rsid w:val="000E2739"/>
    <w:rsid w:val="00106663"/>
    <w:rsid w:val="00130683"/>
    <w:rsid w:val="00133252"/>
    <w:rsid w:val="00164BD1"/>
    <w:rsid w:val="00173000"/>
    <w:rsid w:val="0019446B"/>
    <w:rsid w:val="001949BE"/>
    <w:rsid w:val="001A5A53"/>
    <w:rsid w:val="001D4D93"/>
    <w:rsid w:val="001E4DFB"/>
    <w:rsid w:val="001F7FBC"/>
    <w:rsid w:val="00204E4C"/>
    <w:rsid w:val="002061F2"/>
    <w:rsid w:val="002067F0"/>
    <w:rsid w:val="00216FE3"/>
    <w:rsid w:val="00223B3C"/>
    <w:rsid w:val="00225676"/>
    <w:rsid w:val="0024421E"/>
    <w:rsid w:val="00244CF8"/>
    <w:rsid w:val="0029664E"/>
    <w:rsid w:val="002A4980"/>
    <w:rsid w:val="002C7323"/>
    <w:rsid w:val="002E15F6"/>
    <w:rsid w:val="002E1BA3"/>
    <w:rsid w:val="002E78EE"/>
    <w:rsid w:val="00310712"/>
    <w:rsid w:val="0032512B"/>
    <w:rsid w:val="00352260"/>
    <w:rsid w:val="00366030"/>
    <w:rsid w:val="00385A09"/>
    <w:rsid w:val="00390D97"/>
    <w:rsid w:val="003A13EA"/>
    <w:rsid w:val="003C0801"/>
    <w:rsid w:val="003E44B6"/>
    <w:rsid w:val="00400914"/>
    <w:rsid w:val="0040796C"/>
    <w:rsid w:val="00414D66"/>
    <w:rsid w:val="00420C51"/>
    <w:rsid w:val="00422E4C"/>
    <w:rsid w:val="00452F1B"/>
    <w:rsid w:val="004541E8"/>
    <w:rsid w:val="004541FD"/>
    <w:rsid w:val="0047664C"/>
    <w:rsid w:val="004A1628"/>
    <w:rsid w:val="005036D7"/>
    <w:rsid w:val="005133BD"/>
    <w:rsid w:val="00516580"/>
    <w:rsid w:val="00541BF4"/>
    <w:rsid w:val="00541EB5"/>
    <w:rsid w:val="00544F80"/>
    <w:rsid w:val="00584528"/>
    <w:rsid w:val="00594805"/>
    <w:rsid w:val="00597976"/>
    <w:rsid w:val="005B21BF"/>
    <w:rsid w:val="005B5C79"/>
    <w:rsid w:val="005D1DB1"/>
    <w:rsid w:val="005F5E6C"/>
    <w:rsid w:val="006038B8"/>
    <w:rsid w:val="0061607E"/>
    <w:rsid w:val="0061653C"/>
    <w:rsid w:val="0061793A"/>
    <w:rsid w:val="00630921"/>
    <w:rsid w:val="00665CBA"/>
    <w:rsid w:val="00667464"/>
    <w:rsid w:val="00693139"/>
    <w:rsid w:val="006A0156"/>
    <w:rsid w:val="006D57E1"/>
    <w:rsid w:val="006F6029"/>
    <w:rsid w:val="0070062A"/>
    <w:rsid w:val="00701F2C"/>
    <w:rsid w:val="007372DD"/>
    <w:rsid w:val="00737A1D"/>
    <w:rsid w:val="007421EB"/>
    <w:rsid w:val="00754AF8"/>
    <w:rsid w:val="0077764E"/>
    <w:rsid w:val="00782BEB"/>
    <w:rsid w:val="007953D8"/>
    <w:rsid w:val="007B2E38"/>
    <w:rsid w:val="007B38A9"/>
    <w:rsid w:val="007B7CD8"/>
    <w:rsid w:val="007E652C"/>
    <w:rsid w:val="007F58BE"/>
    <w:rsid w:val="007F7619"/>
    <w:rsid w:val="00816591"/>
    <w:rsid w:val="00831371"/>
    <w:rsid w:val="00835F2F"/>
    <w:rsid w:val="0083616C"/>
    <w:rsid w:val="00836315"/>
    <w:rsid w:val="00844703"/>
    <w:rsid w:val="00853A08"/>
    <w:rsid w:val="008767C4"/>
    <w:rsid w:val="00890557"/>
    <w:rsid w:val="008912E3"/>
    <w:rsid w:val="008923E0"/>
    <w:rsid w:val="008A3217"/>
    <w:rsid w:val="008B7EC7"/>
    <w:rsid w:val="008C6FD8"/>
    <w:rsid w:val="008E537D"/>
    <w:rsid w:val="008E798D"/>
    <w:rsid w:val="00916D73"/>
    <w:rsid w:val="00942C42"/>
    <w:rsid w:val="009548BE"/>
    <w:rsid w:val="00972AEA"/>
    <w:rsid w:val="0097524E"/>
    <w:rsid w:val="00983FF9"/>
    <w:rsid w:val="00996B29"/>
    <w:rsid w:val="00996FC2"/>
    <w:rsid w:val="009A41A3"/>
    <w:rsid w:val="009E494A"/>
    <w:rsid w:val="009F46B0"/>
    <w:rsid w:val="009F6BAE"/>
    <w:rsid w:val="00A0352B"/>
    <w:rsid w:val="00A037E9"/>
    <w:rsid w:val="00A36A31"/>
    <w:rsid w:val="00A53633"/>
    <w:rsid w:val="00A72B98"/>
    <w:rsid w:val="00A73397"/>
    <w:rsid w:val="00AA38A0"/>
    <w:rsid w:val="00AC48ED"/>
    <w:rsid w:val="00AD25CE"/>
    <w:rsid w:val="00AE350D"/>
    <w:rsid w:val="00B05428"/>
    <w:rsid w:val="00B05A67"/>
    <w:rsid w:val="00B10480"/>
    <w:rsid w:val="00B3710E"/>
    <w:rsid w:val="00B37CCF"/>
    <w:rsid w:val="00B502BD"/>
    <w:rsid w:val="00B50F0E"/>
    <w:rsid w:val="00B5699D"/>
    <w:rsid w:val="00B70B16"/>
    <w:rsid w:val="00BE5668"/>
    <w:rsid w:val="00BE6DA4"/>
    <w:rsid w:val="00C01068"/>
    <w:rsid w:val="00C038DD"/>
    <w:rsid w:val="00C12671"/>
    <w:rsid w:val="00C15B98"/>
    <w:rsid w:val="00C15DAC"/>
    <w:rsid w:val="00C34C80"/>
    <w:rsid w:val="00C5147A"/>
    <w:rsid w:val="00C52A0B"/>
    <w:rsid w:val="00C54230"/>
    <w:rsid w:val="00C7020D"/>
    <w:rsid w:val="00C82EE5"/>
    <w:rsid w:val="00C9407C"/>
    <w:rsid w:val="00C97CDA"/>
    <w:rsid w:val="00CA294E"/>
    <w:rsid w:val="00CC4C2C"/>
    <w:rsid w:val="00CC7761"/>
    <w:rsid w:val="00D21C58"/>
    <w:rsid w:val="00D26936"/>
    <w:rsid w:val="00D3536A"/>
    <w:rsid w:val="00D36AA6"/>
    <w:rsid w:val="00D42EC8"/>
    <w:rsid w:val="00D52D7C"/>
    <w:rsid w:val="00D55BBB"/>
    <w:rsid w:val="00D9501F"/>
    <w:rsid w:val="00DA1C52"/>
    <w:rsid w:val="00DA2912"/>
    <w:rsid w:val="00DA754A"/>
    <w:rsid w:val="00DE4905"/>
    <w:rsid w:val="00E21278"/>
    <w:rsid w:val="00E24C4F"/>
    <w:rsid w:val="00E56475"/>
    <w:rsid w:val="00E711F3"/>
    <w:rsid w:val="00E7560B"/>
    <w:rsid w:val="00E968B5"/>
    <w:rsid w:val="00EB1AF1"/>
    <w:rsid w:val="00F1361E"/>
    <w:rsid w:val="00F1389C"/>
    <w:rsid w:val="00F173F7"/>
    <w:rsid w:val="00F451D8"/>
    <w:rsid w:val="00F5410D"/>
    <w:rsid w:val="00F57C18"/>
    <w:rsid w:val="00F86E72"/>
    <w:rsid w:val="00FA027D"/>
    <w:rsid w:val="00FA4D75"/>
    <w:rsid w:val="00FC4544"/>
    <w:rsid w:val="00FF2D9C"/>
    <w:rsid w:val="010772F7"/>
    <w:rsid w:val="02B8008B"/>
    <w:rsid w:val="0354310B"/>
    <w:rsid w:val="04BD1B14"/>
    <w:rsid w:val="04E124AB"/>
    <w:rsid w:val="06F21498"/>
    <w:rsid w:val="082751D4"/>
    <w:rsid w:val="087C3598"/>
    <w:rsid w:val="08B01A1D"/>
    <w:rsid w:val="0958443C"/>
    <w:rsid w:val="096C7D03"/>
    <w:rsid w:val="09BB5848"/>
    <w:rsid w:val="0A0B6138"/>
    <w:rsid w:val="0A9A26C8"/>
    <w:rsid w:val="0C6658D0"/>
    <w:rsid w:val="0D125AE7"/>
    <w:rsid w:val="0D4A5670"/>
    <w:rsid w:val="0D6B18C2"/>
    <w:rsid w:val="0D74306F"/>
    <w:rsid w:val="0DB64159"/>
    <w:rsid w:val="0DC34C5E"/>
    <w:rsid w:val="0DF72A95"/>
    <w:rsid w:val="0ED158DD"/>
    <w:rsid w:val="0F1409D8"/>
    <w:rsid w:val="0F1E5E95"/>
    <w:rsid w:val="0F427271"/>
    <w:rsid w:val="100449D5"/>
    <w:rsid w:val="10BE758F"/>
    <w:rsid w:val="10C92951"/>
    <w:rsid w:val="110C1E59"/>
    <w:rsid w:val="12ED5CBA"/>
    <w:rsid w:val="13BF7CAB"/>
    <w:rsid w:val="14237DFD"/>
    <w:rsid w:val="14CA1FE3"/>
    <w:rsid w:val="14CB6B69"/>
    <w:rsid w:val="1521478B"/>
    <w:rsid w:val="152570C3"/>
    <w:rsid w:val="158567D3"/>
    <w:rsid w:val="158F03A1"/>
    <w:rsid w:val="15D16CB3"/>
    <w:rsid w:val="162931E1"/>
    <w:rsid w:val="164041C8"/>
    <w:rsid w:val="172805BA"/>
    <w:rsid w:val="174E034E"/>
    <w:rsid w:val="17AF3275"/>
    <w:rsid w:val="18581279"/>
    <w:rsid w:val="191A24AF"/>
    <w:rsid w:val="19BE1623"/>
    <w:rsid w:val="1AEE4DCF"/>
    <w:rsid w:val="1B522B5E"/>
    <w:rsid w:val="1B921DDF"/>
    <w:rsid w:val="1C1510C3"/>
    <w:rsid w:val="1E943D94"/>
    <w:rsid w:val="1FE35702"/>
    <w:rsid w:val="1FF74F8E"/>
    <w:rsid w:val="20230F6D"/>
    <w:rsid w:val="20A17B17"/>
    <w:rsid w:val="226B0733"/>
    <w:rsid w:val="22C75BE0"/>
    <w:rsid w:val="23533577"/>
    <w:rsid w:val="23BA6527"/>
    <w:rsid w:val="24870F7D"/>
    <w:rsid w:val="24A216A6"/>
    <w:rsid w:val="24D64800"/>
    <w:rsid w:val="252D146A"/>
    <w:rsid w:val="26680D73"/>
    <w:rsid w:val="26D71DA6"/>
    <w:rsid w:val="28162ADB"/>
    <w:rsid w:val="28255771"/>
    <w:rsid w:val="291122AA"/>
    <w:rsid w:val="298C64C9"/>
    <w:rsid w:val="2A565492"/>
    <w:rsid w:val="2A595CD0"/>
    <w:rsid w:val="2ADC7059"/>
    <w:rsid w:val="2B0943D0"/>
    <w:rsid w:val="2BCC3368"/>
    <w:rsid w:val="2CFD6DB2"/>
    <w:rsid w:val="2D734AAD"/>
    <w:rsid w:val="2D835999"/>
    <w:rsid w:val="2DAA19AE"/>
    <w:rsid w:val="2DC526CA"/>
    <w:rsid w:val="2DD47592"/>
    <w:rsid w:val="2DFE6E2A"/>
    <w:rsid w:val="2E2A33BD"/>
    <w:rsid w:val="2F63179E"/>
    <w:rsid w:val="309E3B2D"/>
    <w:rsid w:val="31EA60C2"/>
    <w:rsid w:val="320428E3"/>
    <w:rsid w:val="32BB562C"/>
    <w:rsid w:val="32F045B9"/>
    <w:rsid w:val="33442501"/>
    <w:rsid w:val="346D303A"/>
    <w:rsid w:val="34924364"/>
    <w:rsid w:val="34D95509"/>
    <w:rsid w:val="35657300"/>
    <w:rsid w:val="356A38DC"/>
    <w:rsid w:val="3574562E"/>
    <w:rsid w:val="36794FEB"/>
    <w:rsid w:val="36B978CE"/>
    <w:rsid w:val="377073F0"/>
    <w:rsid w:val="379D0908"/>
    <w:rsid w:val="37D01583"/>
    <w:rsid w:val="38731CBB"/>
    <w:rsid w:val="38D1447C"/>
    <w:rsid w:val="38E07A8A"/>
    <w:rsid w:val="390F49AC"/>
    <w:rsid w:val="39D76559"/>
    <w:rsid w:val="39D82007"/>
    <w:rsid w:val="3A426F31"/>
    <w:rsid w:val="3AA500BA"/>
    <w:rsid w:val="3C2361E5"/>
    <w:rsid w:val="3D5D6B10"/>
    <w:rsid w:val="3D7572F7"/>
    <w:rsid w:val="3D76438A"/>
    <w:rsid w:val="3D8A3D56"/>
    <w:rsid w:val="3F980E7B"/>
    <w:rsid w:val="41AF2209"/>
    <w:rsid w:val="4249761C"/>
    <w:rsid w:val="42C6203C"/>
    <w:rsid w:val="42CB4E20"/>
    <w:rsid w:val="442C49D8"/>
    <w:rsid w:val="44435EE1"/>
    <w:rsid w:val="44B51143"/>
    <w:rsid w:val="44ED5522"/>
    <w:rsid w:val="456D62B9"/>
    <w:rsid w:val="45F42696"/>
    <w:rsid w:val="46E16A5F"/>
    <w:rsid w:val="474D5189"/>
    <w:rsid w:val="47D1799B"/>
    <w:rsid w:val="47D84D6D"/>
    <w:rsid w:val="484B6BDE"/>
    <w:rsid w:val="48E334ED"/>
    <w:rsid w:val="48F23F69"/>
    <w:rsid w:val="49F21C2A"/>
    <w:rsid w:val="4A1878A4"/>
    <w:rsid w:val="4B046389"/>
    <w:rsid w:val="4CC476A2"/>
    <w:rsid w:val="4E56172D"/>
    <w:rsid w:val="50165DB1"/>
    <w:rsid w:val="50E41142"/>
    <w:rsid w:val="51671B48"/>
    <w:rsid w:val="51C5229D"/>
    <w:rsid w:val="52727FF2"/>
    <w:rsid w:val="52A30966"/>
    <w:rsid w:val="53166F93"/>
    <w:rsid w:val="5335540B"/>
    <w:rsid w:val="53626C1B"/>
    <w:rsid w:val="53722A3B"/>
    <w:rsid w:val="547A1194"/>
    <w:rsid w:val="54CF47EF"/>
    <w:rsid w:val="55356B71"/>
    <w:rsid w:val="55410DBD"/>
    <w:rsid w:val="557C0232"/>
    <w:rsid w:val="56DB7DAA"/>
    <w:rsid w:val="5762751C"/>
    <w:rsid w:val="58403763"/>
    <w:rsid w:val="58BD2E7F"/>
    <w:rsid w:val="58CC22D2"/>
    <w:rsid w:val="59B70513"/>
    <w:rsid w:val="59D10B16"/>
    <w:rsid w:val="59FA6402"/>
    <w:rsid w:val="5A5A0BD4"/>
    <w:rsid w:val="5B254768"/>
    <w:rsid w:val="5B921C31"/>
    <w:rsid w:val="5B940ED8"/>
    <w:rsid w:val="5BBB41A2"/>
    <w:rsid w:val="5C0D5892"/>
    <w:rsid w:val="5C8265BF"/>
    <w:rsid w:val="5CDC6150"/>
    <w:rsid w:val="5D42520B"/>
    <w:rsid w:val="5DEB784E"/>
    <w:rsid w:val="5E15676A"/>
    <w:rsid w:val="5E5B674D"/>
    <w:rsid w:val="5EC81B1E"/>
    <w:rsid w:val="5F0C485E"/>
    <w:rsid w:val="602C4AE6"/>
    <w:rsid w:val="60D111EA"/>
    <w:rsid w:val="60D27197"/>
    <w:rsid w:val="613B7E7B"/>
    <w:rsid w:val="61783CF3"/>
    <w:rsid w:val="62F403F2"/>
    <w:rsid w:val="63251B06"/>
    <w:rsid w:val="637202DD"/>
    <w:rsid w:val="637879A9"/>
    <w:rsid w:val="63827325"/>
    <w:rsid w:val="63C52215"/>
    <w:rsid w:val="640C53CD"/>
    <w:rsid w:val="643340F4"/>
    <w:rsid w:val="647311B7"/>
    <w:rsid w:val="64AC0143"/>
    <w:rsid w:val="64E70B07"/>
    <w:rsid w:val="652A557F"/>
    <w:rsid w:val="66C157CB"/>
    <w:rsid w:val="66D72ADD"/>
    <w:rsid w:val="67D143D7"/>
    <w:rsid w:val="68630D54"/>
    <w:rsid w:val="68891926"/>
    <w:rsid w:val="688B5A21"/>
    <w:rsid w:val="69054339"/>
    <w:rsid w:val="69C77840"/>
    <w:rsid w:val="6A4D41E9"/>
    <w:rsid w:val="6A89136D"/>
    <w:rsid w:val="6B1B763B"/>
    <w:rsid w:val="6C520910"/>
    <w:rsid w:val="6CF43042"/>
    <w:rsid w:val="6CF531B5"/>
    <w:rsid w:val="6D8C078C"/>
    <w:rsid w:val="6DC5678C"/>
    <w:rsid w:val="6EA95FE7"/>
    <w:rsid w:val="6EFF1435"/>
    <w:rsid w:val="6F6A3DB6"/>
    <w:rsid w:val="6FD068F0"/>
    <w:rsid w:val="70330C01"/>
    <w:rsid w:val="70671E2E"/>
    <w:rsid w:val="708E5C9B"/>
    <w:rsid w:val="70C475F5"/>
    <w:rsid w:val="70E30E24"/>
    <w:rsid w:val="70EB579D"/>
    <w:rsid w:val="716825B6"/>
    <w:rsid w:val="71793919"/>
    <w:rsid w:val="722B37CE"/>
    <w:rsid w:val="724C7047"/>
    <w:rsid w:val="72BD3ED6"/>
    <w:rsid w:val="7372099F"/>
    <w:rsid w:val="737B2D9A"/>
    <w:rsid w:val="74791999"/>
    <w:rsid w:val="75170442"/>
    <w:rsid w:val="75295853"/>
    <w:rsid w:val="76746552"/>
    <w:rsid w:val="769B34C2"/>
    <w:rsid w:val="76AB6FB1"/>
    <w:rsid w:val="76E75929"/>
    <w:rsid w:val="773526DE"/>
    <w:rsid w:val="775545EE"/>
    <w:rsid w:val="77B70EF4"/>
    <w:rsid w:val="794E7636"/>
    <w:rsid w:val="79780A9A"/>
    <w:rsid w:val="79AE4579"/>
    <w:rsid w:val="79B643EB"/>
    <w:rsid w:val="7B7E6F57"/>
    <w:rsid w:val="7CD52A5E"/>
    <w:rsid w:val="7D5B41D7"/>
    <w:rsid w:val="7FA25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5"/>
    <w:next w:val="1"/>
    <w:qFormat/>
    <w:uiPriority w:val="0"/>
    <w:pPr>
      <w:keepNext/>
      <w:keepLines/>
      <w:widowControl/>
      <w:numPr>
        <w:ilvl w:val="0"/>
        <w:numId w:val="1"/>
      </w:numPr>
      <w:tabs>
        <w:tab w:val="left" w:pos="567"/>
      </w:tabs>
      <w:spacing w:before="240" w:after="240" w:line="360" w:lineRule="auto"/>
      <w:outlineLvl w:val="0"/>
    </w:pPr>
    <w:rPr>
      <w:rFonts w:ascii="仿宋_GB2312" w:hAnsi="仿宋_GB2312" w:eastAsia="黑体"/>
      <w:kern w:val="44"/>
      <w:sz w:val="32"/>
      <w:szCs w:val="28"/>
    </w:rPr>
  </w:style>
  <w:style w:type="paragraph" w:styleId="5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tabs>
        <w:tab w:val="left" w:pos="425"/>
      </w:tabs>
      <w:spacing w:line="360" w:lineRule="auto"/>
      <w:jc w:val="left"/>
      <w:outlineLvl w:val="1"/>
    </w:pPr>
    <w:rPr>
      <w:rFonts w:ascii="仿宋_GB2312" w:hAnsi="仿宋_GB2312" w:eastAsia="仿宋_GB2312"/>
      <w:b/>
      <w:bCs/>
      <w:sz w:val="32"/>
      <w:szCs w:val="28"/>
    </w:rPr>
  </w:style>
  <w:style w:type="paragraph" w:styleId="6">
    <w:name w:val="heading 3"/>
    <w:basedOn w:val="1"/>
    <w:next w:val="1"/>
    <w:link w:val="33"/>
    <w:qFormat/>
    <w:uiPriority w:val="0"/>
    <w:pPr>
      <w:keepNext/>
      <w:keepLines/>
      <w:numPr>
        <w:ilvl w:val="2"/>
        <w:numId w:val="1"/>
      </w:numPr>
      <w:tabs>
        <w:tab w:val="left" w:pos="425"/>
      </w:tabs>
      <w:spacing w:line="415" w:lineRule="auto"/>
      <w:outlineLvl w:val="2"/>
    </w:pPr>
    <w:rPr>
      <w:rFonts w:ascii="仿宋" w:hAnsi="仿宋" w:eastAsia="仿宋_GB2312"/>
      <w:b/>
      <w:bCs/>
      <w:sz w:val="32"/>
      <w:szCs w:val="32"/>
    </w:rPr>
  </w:style>
  <w:style w:type="character" w:default="1" w:styleId="20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link w:val="43"/>
    <w:qFormat/>
    <w:uiPriority w:val="99"/>
    <w:pPr>
      <w:spacing w:after="120"/>
      <w:ind w:firstLine="200" w:firstLineChars="200"/>
    </w:pPr>
    <w:rPr>
      <w:sz w:val="24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7">
    <w:name w:val="Normal Indent"/>
    <w:basedOn w:val="1"/>
    <w:qFormat/>
    <w:uiPriority w:val="0"/>
    <w:pPr>
      <w:spacing w:line="300" w:lineRule="auto"/>
      <w:ind w:firstLine="420"/>
    </w:pPr>
    <w:rPr>
      <w:sz w:val="24"/>
      <w:szCs w:val="20"/>
    </w:rPr>
  </w:style>
  <w:style w:type="paragraph" w:styleId="8">
    <w:name w:val="annotation text"/>
    <w:basedOn w:val="1"/>
    <w:link w:val="39"/>
    <w:qFormat/>
    <w:uiPriority w:val="0"/>
    <w:pPr>
      <w:jc w:val="left"/>
    </w:pPr>
  </w:style>
  <w:style w:type="paragraph" w:styleId="9">
    <w:name w:val="Plain Text"/>
    <w:basedOn w:val="1"/>
    <w:link w:val="42"/>
    <w:qFormat/>
    <w:uiPriority w:val="0"/>
    <w:pPr>
      <w:ind w:firstLine="200" w:firstLineChars="200"/>
    </w:pPr>
    <w:rPr>
      <w:rFonts w:ascii="宋体" w:hAnsi="Courier New"/>
      <w:sz w:val="24"/>
    </w:rPr>
  </w:style>
  <w:style w:type="paragraph" w:styleId="10">
    <w:name w:val="Balloon Text"/>
    <w:basedOn w:val="1"/>
    <w:link w:val="41"/>
    <w:qFormat/>
    <w:uiPriority w:val="0"/>
    <w:rPr>
      <w:sz w:val="18"/>
      <w:szCs w:val="18"/>
    </w:rPr>
  </w:style>
  <w:style w:type="paragraph" w:styleId="11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qFormat/>
    <w:uiPriority w:val="39"/>
  </w:style>
  <w:style w:type="paragraph" w:styleId="14">
    <w:name w:val="toc 2"/>
    <w:basedOn w:val="1"/>
    <w:next w:val="1"/>
    <w:qFormat/>
    <w:uiPriority w:val="39"/>
    <w:pPr>
      <w:ind w:left="420" w:leftChars="200"/>
    </w:pPr>
  </w:style>
  <w:style w:type="paragraph" w:styleId="1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6">
    <w:name w:val="annotation subject"/>
    <w:basedOn w:val="8"/>
    <w:next w:val="8"/>
    <w:link w:val="40"/>
    <w:qFormat/>
    <w:uiPriority w:val="0"/>
    <w:rPr>
      <w:b/>
      <w:bCs/>
    </w:rPr>
  </w:style>
  <w:style w:type="paragraph" w:styleId="17">
    <w:name w:val="Body Text First Indent"/>
    <w:basedOn w:val="2"/>
    <w:qFormat/>
    <w:uiPriority w:val="0"/>
    <w:pPr>
      <w:adjustRightInd w:val="0"/>
      <w:spacing w:line="312" w:lineRule="atLeast"/>
      <w:ind w:firstLine="420" w:firstLineChars="100"/>
      <w:textAlignment w:val="baseline"/>
    </w:pPr>
    <w:rPr>
      <w:kern w:val="0"/>
      <w:sz w:val="21"/>
    </w:rPr>
  </w:style>
  <w:style w:type="table" w:styleId="19">
    <w:name w:val="Table Grid"/>
    <w:basedOn w:val="18"/>
    <w:qFormat/>
    <w:uiPriority w:val="0"/>
    <w:pPr>
      <w:widowControl w:val="0"/>
      <w:adjustRightInd w:val="0"/>
      <w:spacing w:line="312" w:lineRule="atLeast"/>
      <w:jc w:val="both"/>
      <w:textAlignment w:val="baseline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1">
    <w:name w:val="page number"/>
    <w:basedOn w:val="20"/>
    <w:qFormat/>
    <w:uiPriority w:val="0"/>
  </w:style>
  <w:style w:type="character" w:styleId="22">
    <w:name w:val="FollowedHyperlink"/>
    <w:basedOn w:val="20"/>
    <w:unhideWhenUsed/>
    <w:qFormat/>
    <w:uiPriority w:val="99"/>
    <w:rPr>
      <w:color w:val="954F72"/>
      <w:u w:val="single"/>
    </w:rPr>
  </w:style>
  <w:style w:type="character" w:styleId="23">
    <w:name w:val="Hyperlink"/>
    <w:basedOn w:val="20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4">
    <w:name w:val="annotation reference"/>
    <w:basedOn w:val="20"/>
    <w:qFormat/>
    <w:uiPriority w:val="0"/>
    <w:rPr>
      <w:sz w:val="21"/>
      <w:szCs w:val="21"/>
    </w:rPr>
  </w:style>
  <w:style w:type="paragraph" w:customStyle="1" w:styleId="25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26">
    <w:name w:val="Normal Indent1"/>
    <w:basedOn w:val="1"/>
    <w:qFormat/>
    <w:uiPriority w:val="0"/>
    <w:pPr>
      <w:ind w:firstLine="200" w:firstLineChars="200"/>
    </w:pPr>
    <w:rPr>
      <w:sz w:val="24"/>
    </w:rPr>
  </w:style>
  <w:style w:type="paragraph" w:customStyle="1" w:styleId="27">
    <w:name w:val="目录 11"/>
    <w:basedOn w:val="1"/>
    <w:next w:val="1"/>
    <w:qFormat/>
    <w:uiPriority w:val="39"/>
    <w:pPr>
      <w:spacing w:before="120" w:after="120" w:line="60" w:lineRule="auto"/>
      <w:jc w:val="left"/>
    </w:pPr>
    <w:rPr>
      <w:b/>
      <w:bCs/>
      <w:caps/>
      <w:sz w:val="20"/>
      <w:szCs w:val="20"/>
    </w:rPr>
  </w:style>
  <w:style w:type="paragraph" w:customStyle="1" w:styleId="28">
    <w:name w:val="正文文本缩进1"/>
    <w:basedOn w:val="1"/>
    <w:qFormat/>
    <w:uiPriority w:val="0"/>
    <w:pPr>
      <w:spacing w:line="300" w:lineRule="auto"/>
      <w:ind w:firstLine="480"/>
    </w:pPr>
    <w:rPr>
      <w:rFonts w:ascii="宋体" w:hAnsi="宋体"/>
      <w:kern w:val="0"/>
      <w:sz w:val="24"/>
    </w:rPr>
  </w:style>
  <w:style w:type="paragraph" w:customStyle="1" w:styleId="29">
    <w:name w:val="GEDI正文样式"/>
    <w:basedOn w:val="1"/>
    <w:qFormat/>
    <w:uiPriority w:val="0"/>
    <w:pPr>
      <w:adjustRightInd w:val="0"/>
      <w:snapToGrid w:val="0"/>
      <w:spacing w:line="480" w:lineRule="atLeast"/>
      <w:ind w:firstLine="480" w:firstLineChars="200"/>
    </w:pPr>
    <w:rPr>
      <w:sz w:val="24"/>
    </w:rPr>
  </w:style>
  <w:style w:type="paragraph" w:customStyle="1" w:styleId="30">
    <w:name w:val="GEDI正文(无编号)"/>
    <w:basedOn w:val="1"/>
    <w:qFormat/>
    <w:uiPriority w:val="0"/>
    <w:pPr>
      <w:adjustRightInd w:val="0"/>
      <w:snapToGrid w:val="0"/>
      <w:ind w:left="420"/>
    </w:pPr>
    <w:rPr>
      <w:rFonts w:hAnsi="宋体"/>
      <w:szCs w:val="20"/>
    </w:rPr>
  </w:style>
  <w:style w:type="paragraph" w:styleId="31">
    <w:name w:val="List Paragraph"/>
    <w:basedOn w:val="1"/>
    <w:link w:val="34"/>
    <w:qFormat/>
    <w:uiPriority w:val="34"/>
    <w:pPr>
      <w:ind w:firstLine="420" w:firstLineChars="200"/>
    </w:pPr>
  </w:style>
  <w:style w:type="paragraph" w:customStyle="1" w:styleId="32">
    <w:name w:val="列出段落1"/>
    <w:basedOn w:val="1"/>
    <w:qFormat/>
    <w:uiPriority w:val="34"/>
    <w:pPr>
      <w:widowControl/>
      <w:spacing w:line="360" w:lineRule="auto"/>
      <w:ind w:firstLine="420" w:firstLineChars="200"/>
    </w:pPr>
    <w:rPr>
      <w:rFonts w:ascii="Calibri" w:hAnsi="Calibri"/>
      <w:kern w:val="0"/>
      <w:sz w:val="24"/>
    </w:rPr>
  </w:style>
  <w:style w:type="character" w:customStyle="1" w:styleId="33">
    <w:name w:val="标题 3 字符"/>
    <w:basedOn w:val="20"/>
    <w:link w:val="6"/>
    <w:qFormat/>
    <w:uiPriority w:val="0"/>
    <w:rPr>
      <w:rFonts w:ascii="仿宋" w:hAnsi="仿宋" w:eastAsia="仿宋_GB2312"/>
      <w:b/>
      <w:bCs/>
      <w:kern w:val="2"/>
      <w:sz w:val="32"/>
      <w:szCs w:val="32"/>
    </w:rPr>
  </w:style>
  <w:style w:type="character" w:customStyle="1" w:styleId="34">
    <w:name w:val="列表段落 字符"/>
    <w:link w:val="31"/>
    <w:qFormat/>
    <w:uiPriority w:val="34"/>
    <w:rPr>
      <w:kern w:val="2"/>
      <w:sz w:val="21"/>
      <w:szCs w:val="24"/>
    </w:rPr>
  </w:style>
  <w:style w:type="paragraph" w:customStyle="1" w:styleId="35">
    <w:name w:val="列表符号项目级别1"/>
    <w:basedOn w:val="1"/>
    <w:link w:val="36"/>
    <w:qFormat/>
    <w:uiPriority w:val="0"/>
    <w:pPr>
      <w:widowControl/>
      <w:numPr>
        <w:ilvl w:val="0"/>
        <w:numId w:val="2"/>
      </w:numPr>
      <w:spacing w:line="360" w:lineRule="auto"/>
    </w:pPr>
    <w:rPr>
      <w:rFonts w:ascii="Arial" w:hAnsi="Arial"/>
      <w:kern w:val="0"/>
      <w:sz w:val="24"/>
    </w:rPr>
  </w:style>
  <w:style w:type="character" w:customStyle="1" w:styleId="36">
    <w:name w:val="列表符号项目级别1 Char"/>
    <w:basedOn w:val="20"/>
    <w:link w:val="35"/>
    <w:qFormat/>
    <w:uiPriority w:val="0"/>
    <w:rPr>
      <w:rFonts w:ascii="Arial" w:hAnsi="Arial"/>
      <w:sz w:val="24"/>
      <w:szCs w:val="24"/>
    </w:rPr>
  </w:style>
  <w:style w:type="paragraph" w:customStyle="1" w:styleId="37">
    <w:name w:val="样式 正文缩进 + 首行缩进:  2 字符"/>
    <w:basedOn w:val="1"/>
    <w:link w:val="38"/>
    <w:qFormat/>
    <w:uiPriority w:val="0"/>
    <w:pPr>
      <w:widowControl/>
      <w:spacing w:line="360" w:lineRule="auto"/>
      <w:ind w:firstLine="200" w:firstLineChars="200"/>
    </w:pPr>
    <w:rPr>
      <w:rFonts w:ascii="Arial" w:hAnsi="Arial" w:cs="宋体"/>
      <w:kern w:val="0"/>
      <w:sz w:val="24"/>
      <w:szCs w:val="20"/>
    </w:rPr>
  </w:style>
  <w:style w:type="character" w:customStyle="1" w:styleId="38">
    <w:name w:val="样式 正文缩进 + 首行缩进:  2 字符 Char"/>
    <w:basedOn w:val="20"/>
    <w:link w:val="37"/>
    <w:qFormat/>
    <w:uiPriority w:val="0"/>
    <w:rPr>
      <w:rFonts w:ascii="Arial" w:hAnsi="Arial" w:cs="宋体"/>
      <w:sz w:val="24"/>
    </w:rPr>
  </w:style>
  <w:style w:type="character" w:customStyle="1" w:styleId="39">
    <w:name w:val="批注文字 字符"/>
    <w:basedOn w:val="20"/>
    <w:link w:val="8"/>
    <w:qFormat/>
    <w:uiPriority w:val="0"/>
    <w:rPr>
      <w:kern w:val="2"/>
      <w:sz w:val="21"/>
      <w:szCs w:val="24"/>
    </w:rPr>
  </w:style>
  <w:style w:type="character" w:customStyle="1" w:styleId="40">
    <w:name w:val="批注主题 字符"/>
    <w:basedOn w:val="39"/>
    <w:link w:val="16"/>
    <w:qFormat/>
    <w:uiPriority w:val="0"/>
    <w:rPr>
      <w:b/>
      <w:bCs/>
      <w:kern w:val="2"/>
      <w:sz w:val="21"/>
      <w:szCs w:val="24"/>
    </w:rPr>
  </w:style>
  <w:style w:type="character" w:customStyle="1" w:styleId="41">
    <w:name w:val="批注框文本 字符"/>
    <w:basedOn w:val="20"/>
    <w:link w:val="10"/>
    <w:qFormat/>
    <w:uiPriority w:val="0"/>
    <w:rPr>
      <w:kern w:val="2"/>
      <w:sz w:val="18"/>
      <w:szCs w:val="18"/>
    </w:rPr>
  </w:style>
  <w:style w:type="character" w:customStyle="1" w:styleId="42">
    <w:name w:val="纯文本 字符"/>
    <w:basedOn w:val="20"/>
    <w:link w:val="9"/>
    <w:qFormat/>
    <w:uiPriority w:val="0"/>
    <w:rPr>
      <w:rFonts w:ascii="宋体" w:hAnsi="Courier New"/>
      <w:kern w:val="2"/>
      <w:sz w:val="24"/>
      <w:szCs w:val="24"/>
    </w:rPr>
  </w:style>
  <w:style w:type="character" w:customStyle="1" w:styleId="43">
    <w:name w:val="正文文本 字符"/>
    <w:basedOn w:val="20"/>
    <w:link w:val="2"/>
    <w:qFormat/>
    <w:uiPriority w:val="99"/>
    <w:rPr>
      <w:kern w:val="2"/>
      <w:sz w:val="24"/>
      <w:szCs w:val="24"/>
    </w:rPr>
  </w:style>
  <w:style w:type="paragraph" w:customStyle="1" w:styleId="44">
    <w:name w:val="msonormal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45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等线" w:hAnsi="等线" w:eastAsia="等线" w:cs="宋体"/>
      <w:kern w:val="0"/>
      <w:sz w:val="18"/>
      <w:szCs w:val="18"/>
    </w:rPr>
  </w:style>
  <w:style w:type="paragraph" w:customStyle="1" w:styleId="46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仿宋" w:hAnsi="仿宋" w:eastAsia="仿宋" w:cs="宋体"/>
      <w:color w:val="000000"/>
      <w:kern w:val="0"/>
      <w:szCs w:val="21"/>
    </w:rPr>
  </w:style>
  <w:style w:type="paragraph" w:customStyle="1" w:styleId="47">
    <w:name w:val="xl65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48">
    <w:name w:val="xl66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49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kern w:val="0"/>
      <w:sz w:val="24"/>
    </w:rPr>
  </w:style>
  <w:style w:type="paragraph" w:customStyle="1" w:styleId="50">
    <w:name w:val="xl6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51">
    <w:name w:val="xl6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52">
    <w:name w:val="xl7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kern w:val="0"/>
      <w:sz w:val="24"/>
    </w:rPr>
  </w:style>
  <w:style w:type="paragraph" w:customStyle="1" w:styleId="53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54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55">
    <w:name w:val="xl7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</w:pPr>
    <w:rPr>
      <w:rFonts w:ascii="仿宋" w:hAnsi="仿宋" w:eastAsia="仿宋" w:cs="宋体"/>
      <w:kern w:val="0"/>
      <w:sz w:val="24"/>
    </w:rPr>
  </w:style>
  <w:style w:type="paragraph" w:customStyle="1" w:styleId="56">
    <w:name w:val="xl7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57">
    <w:name w:val="xl7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</w:pPr>
    <w:rPr>
      <w:rFonts w:ascii="仿宋" w:hAnsi="仿宋" w:eastAsia="仿宋" w:cs="宋体"/>
      <w:kern w:val="0"/>
      <w:sz w:val="24"/>
    </w:rPr>
  </w:style>
  <w:style w:type="paragraph" w:customStyle="1" w:styleId="58">
    <w:name w:val="xl7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59">
    <w:name w:val="xl7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</w:pPr>
    <w:rPr>
      <w:rFonts w:ascii="仿宋" w:hAnsi="仿宋" w:eastAsia="仿宋" w:cs="宋体"/>
      <w:kern w:val="0"/>
      <w:sz w:val="24"/>
    </w:rPr>
  </w:style>
  <w:style w:type="paragraph" w:customStyle="1" w:styleId="60">
    <w:name w:val="xl7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kern w:val="0"/>
      <w:sz w:val="24"/>
    </w:rPr>
  </w:style>
  <w:style w:type="paragraph" w:customStyle="1" w:styleId="61">
    <w:name w:val="xl79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仿宋" w:hAnsi="仿宋" w:eastAsia="仿宋" w:cs="宋体"/>
      <w:kern w:val="0"/>
      <w:sz w:val="24"/>
    </w:rPr>
  </w:style>
  <w:style w:type="paragraph" w:customStyle="1" w:styleId="62">
    <w:name w:val="xl80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kern w:val="0"/>
      <w:sz w:val="24"/>
    </w:rPr>
  </w:style>
  <w:style w:type="paragraph" w:customStyle="1" w:styleId="63">
    <w:name w:val="xl8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</w:pPr>
    <w:rPr>
      <w:rFonts w:ascii="仿宋" w:hAnsi="仿宋" w:eastAsia="仿宋" w:cs="宋体"/>
      <w:kern w:val="0"/>
      <w:sz w:val="24"/>
    </w:rPr>
  </w:style>
  <w:style w:type="paragraph" w:customStyle="1" w:styleId="64">
    <w:name w:val="xl8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kern w:val="0"/>
      <w:sz w:val="24"/>
    </w:rPr>
  </w:style>
  <w:style w:type="paragraph" w:customStyle="1" w:styleId="65">
    <w:name w:val="xl8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66">
    <w:name w:val="xl84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67">
    <w:name w:val="xl8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  <w:textAlignment w:val="bottom"/>
    </w:pPr>
    <w:rPr>
      <w:rFonts w:ascii="仿宋" w:hAnsi="仿宋" w:eastAsia="仿宋" w:cs="宋体"/>
      <w:kern w:val="0"/>
      <w:sz w:val="24"/>
    </w:rPr>
  </w:style>
  <w:style w:type="paragraph" w:customStyle="1" w:styleId="68">
    <w:name w:val="xl8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69">
    <w:name w:val="xl8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  <w:textAlignment w:val="bottom"/>
    </w:pPr>
    <w:rPr>
      <w:rFonts w:ascii="仿宋" w:hAnsi="仿宋" w:eastAsia="仿宋" w:cs="宋体"/>
      <w:kern w:val="0"/>
      <w:sz w:val="24"/>
    </w:rPr>
  </w:style>
  <w:style w:type="paragraph" w:customStyle="1" w:styleId="70">
    <w:name w:val="xl8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71">
    <w:name w:val="xl8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32"/>
      <w:szCs w:val="32"/>
    </w:rPr>
  </w:style>
  <w:style w:type="paragraph" w:customStyle="1" w:styleId="72">
    <w:name w:val="xl90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73">
    <w:name w:val="xl9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74">
    <w:name w:val="xl92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75">
    <w:name w:val="xl93"/>
    <w:basedOn w:val="1"/>
    <w:qFormat/>
    <w:uiPriority w:val="0"/>
    <w:pPr>
      <w:widowControl/>
      <w:pBdr>
        <w:left w:val="single" w:color="auto" w:sz="4" w:space="0"/>
        <w:bottom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76">
    <w:name w:val="xl94"/>
    <w:basedOn w:val="1"/>
    <w:qFormat/>
    <w:uiPriority w:val="0"/>
    <w:pPr>
      <w:widowControl/>
      <w:pBdr>
        <w:bottom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2460</Words>
  <Characters>2526</Characters>
  <Lines>86</Lines>
  <Paragraphs>24</Paragraphs>
  <TotalTime>0</TotalTime>
  <ScaleCrop>false</ScaleCrop>
  <LinksUpToDate>false</LinksUpToDate>
  <CharactersWithSpaces>2594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2023-03-07T21:48:00Z</dcterms:created>
  <dc:creator>七月</dc:creator>
  <cp:lastModifiedBy>1F231C93F1574C759D17DF0E5BE17EA0</cp:lastModifiedBy>
  <dcterms:modified xsi:type="dcterms:W3CDTF">2024-04-16T05:53:06Z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24CD2E338D264C74B1F0FA21A5E0A8C2_13</vt:lpwstr>
  </property>
</Properties>
</file>