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0"/>
          <w:numId w:val="0"/>
        </w:numPr>
        <w:bidi w:val="0"/>
        <w:ind w:leftChars="0"/>
        <w:jc w:val="center"/>
        <w:rPr>
          <w:rFonts w:hint="eastAsia"/>
        </w:rPr>
      </w:pPr>
      <w:r>
        <w:rPr>
          <w:rFonts w:hint="eastAsia"/>
          <w:lang w:val="en-US" w:eastAsia="zh-CN"/>
        </w:rPr>
        <w:t>云南分公司涉密设备</w:t>
      </w:r>
      <w:r>
        <w:rPr>
          <w:rFonts w:hint="eastAsia"/>
        </w:rPr>
        <w:t>采购技术规范书</w:t>
      </w:r>
    </w:p>
    <w:p>
      <w:pPr>
        <w:pStyle w:val="4"/>
        <w:bidi w:val="0"/>
        <w:rPr>
          <w:rFonts w:hint="eastAsia"/>
        </w:rPr>
      </w:pPr>
      <w:r>
        <w:rPr>
          <w:rFonts w:hint="eastAsia"/>
          <w:lang w:val="en-US" w:eastAsia="zh-CN"/>
        </w:rPr>
        <w:t>概述</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560" w:firstLineChars="200"/>
        <w:textAlignment w:val="auto"/>
        <w:rPr>
          <w:rFonts w:hint="eastAsia"/>
          <w:sz w:val="28"/>
          <w:szCs w:val="28"/>
          <w:highlight w:val="none"/>
          <w:lang w:val="en-US" w:eastAsia="zh-CN"/>
        </w:rPr>
      </w:pPr>
      <w:r>
        <w:rPr>
          <w:rFonts w:ascii="宋体" w:hAnsi="宋体" w:eastAsia="宋体" w:cs="宋体"/>
          <w:sz w:val="28"/>
          <w:szCs w:val="28"/>
          <w:highlight w:val="none"/>
        </w:rPr>
        <w:t>为进一步完善南方电网数字电网集团有限公司云南分公司保密基础设施结合自身需求及业务发展，同步开展涉密终端设备采购，包括涉密专用计算机及配套软件、彩色多功能数码打印机、彩色激光多功能一体机、计算机终端保密检查系统（单机版）、存储介质信息消除系统等保密类产品，满足项目实施及公司人员办公需求，支撑公司信息化水平建设。）本项目拟采购一批信息化涉密设备主要包括涉密专用计算机及配套软件、彩色多功能数码打印机、彩色激光多功能一体机、计算机终端保密检查系统（单机版）、存储介质信息消除系统等保密类产品。</w:t>
      </w:r>
    </w:p>
    <w:p>
      <w:pPr>
        <w:pStyle w:val="4"/>
        <w:bidi w:val="0"/>
        <w:rPr>
          <w:rFonts w:hint="default"/>
          <w:lang w:val="en-US" w:eastAsia="zh-CN"/>
        </w:rPr>
      </w:pPr>
      <w:r>
        <w:rPr>
          <w:rFonts w:hint="eastAsia"/>
          <w:lang w:val="en-US" w:eastAsia="zh-CN"/>
        </w:rPr>
        <w:t>备件参数</w:t>
      </w:r>
    </w:p>
    <w:tbl>
      <w:tblPr>
        <w:tblStyle w:val="14"/>
        <w:tblW w:w="9849" w:type="dxa"/>
        <w:tblInd w:w="-9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1979"/>
        <w:gridCol w:w="4246"/>
        <w:gridCol w:w="754"/>
        <w:gridCol w:w="2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pPr>
              <w:jc w:val="center"/>
              <w:rPr>
                <w:rFonts w:hint="default"/>
                <w:vertAlign w:val="baseline"/>
                <w:lang w:val="en-US" w:eastAsia="zh-CN"/>
              </w:rPr>
            </w:pPr>
            <w:r>
              <w:rPr>
                <w:rFonts w:hint="eastAsia"/>
                <w:vertAlign w:val="baseline"/>
                <w:lang w:val="en-US" w:eastAsia="zh-CN"/>
              </w:rPr>
              <w:t>序号</w:t>
            </w:r>
          </w:p>
        </w:tc>
        <w:tc>
          <w:tcPr>
            <w:tcW w:w="1979" w:type="dxa"/>
            <w:vAlign w:val="center"/>
          </w:tcPr>
          <w:p>
            <w:pPr>
              <w:keepNext w:val="0"/>
              <w:keepLines w:val="0"/>
              <w:widowControl/>
              <w:suppressLineNumbers w:val="0"/>
              <w:jc w:val="center"/>
              <w:textAlignment w:val="center"/>
              <w:rPr>
                <w:rFonts w:hint="default"/>
                <w:vertAlign w:val="baseline"/>
                <w:lang w:val="en-US" w:eastAsia="zh-CN"/>
              </w:rPr>
            </w:pPr>
            <w:r>
              <w:rPr>
                <w:rFonts w:hint="eastAsia" w:ascii="宋体" w:hAnsi="宋体" w:eastAsia="宋体" w:cs="宋体"/>
                <w:b/>
                <w:bCs/>
                <w:i w:val="0"/>
                <w:iCs w:val="0"/>
                <w:color w:val="000000"/>
                <w:kern w:val="0"/>
                <w:sz w:val="24"/>
                <w:szCs w:val="24"/>
                <w:u w:val="none"/>
                <w:lang w:val="en-US" w:eastAsia="zh-CN" w:bidi="ar"/>
              </w:rPr>
              <w:t xml:space="preserve">设备名称 </w:t>
            </w:r>
          </w:p>
        </w:tc>
        <w:tc>
          <w:tcPr>
            <w:tcW w:w="4246" w:type="dxa"/>
            <w:vAlign w:val="center"/>
          </w:tcPr>
          <w:p>
            <w:pPr>
              <w:keepNext w:val="0"/>
              <w:keepLines w:val="0"/>
              <w:widowControl/>
              <w:suppressLineNumbers w:val="0"/>
              <w:jc w:val="center"/>
              <w:textAlignment w:val="center"/>
              <w:rPr>
                <w:rFonts w:hint="default"/>
                <w:vertAlign w:val="baseline"/>
                <w:lang w:val="en-US" w:eastAsia="zh-CN"/>
              </w:rPr>
            </w:pPr>
            <w:r>
              <w:rPr>
                <w:rFonts w:hint="eastAsia" w:ascii="宋体" w:hAnsi="宋体" w:eastAsia="宋体" w:cs="宋体"/>
                <w:b/>
                <w:bCs/>
                <w:i w:val="0"/>
                <w:iCs w:val="0"/>
                <w:color w:val="000000"/>
                <w:kern w:val="0"/>
                <w:sz w:val="24"/>
                <w:szCs w:val="24"/>
                <w:u w:val="none"/>
                <w:lang w:val="en-US" w:eastAsia="zh-CN" w:bidi="ar"/>
              </w:rPr>
              <w:t>规格型号</w:t>
            </w:r>
          </w:p>
        </w:tc>
        <w:tc>
          <w:tcPr>
            <w:tcW w:w="754" w:type="dxa"/>
            <w:vAlign w:val="center"/>
          </w:tcPr>
          <w:p>
            <w:pPr>
              <w:jc w:val="center"/>
              <w:rPr>
                <w:rFonts w:hint="default"/>
                <w:vertAlign w:val="baseline"/>
                <w:lang w:val="en-US" w:eastAsia="zh-CN"/>
              </w:rPr>
            </w:pPr>
            <w:r>
              <w:rPr>
                <w:rFonts w:hint="eastAsia" w:ascii="宋体" w:hAnsi="宋体" w:eastAsia="宋体" w:cs="宋体"/>
                <w:b/>
                <w:bCs/>
                <w:i w:val="0"/>
                <w:iCs w:val="0"/>
                <w:color w:val="000000"/>
                <w:kern w:val="0"/>
                <w:sz w:val="24"/>
                <w:szCs w:val="24"/>
                <w:u w:val="none"/>
                <w:lang w:val="en-US" w:eastAsia="zh-CN" w:bidi="ar"/>
              </w:rPr>
              <w:t>数量</w:t>
            </w:r>
          </w:p>
        </w:tc>
        <w:tc>
          <w:tcPr>
            <w:tcW w:w="2075" w:type="dxa"/>
            <w:vAlign w:val="center"/>
          </w:tcPr>
          <w:p>
            <w:pPr>
              <w:jc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收货地址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pPr>
              <w:jc w:val="center"/>
              <w:rPr>
                <w:rFonts w:hint="default"/>
                <w:vertAlign w:val="baseline"/>
                <w:lang w:val="en-US" w:eastAsia="zh-CN"/>
              </w:rPr>
            </w:pPr>
            <w:r>
              <w:rPr>
                <w:rFonts w:hint="eastAsia"/>
                <w:vertAlign w:val="baseline"/>
                <w:lang w:val="en-US" w:eastAsia="zh-CN"/>
              </w:rPr>
              <w:t>1</w:t>
            </w:r>
          </w:p>
        </w:tc>
        <w:tc>
          <w:tcPr>
            <w:tcW w:w="1979" w:type="dxa"/>
            <w:vAlign w:val="center"/>
          </w:tcPr>
          <w:p>
            <w:pPr>
              <w:keepNext w:val="0"/>
              <w:keepLines w:val="0"/>
              <w:widowControl/>
              <w:suppressLineNumbers w:val="0"/>
              <w:spacing w:line="240" w:lineRule="auto"/>
              <w:jc w:val="center"/>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涉密专用计算机-台式机</w:t>
            </w:r>
          </w:p>
        </w:tc>
        <w:tc>
          <w:tcPr>
            <w:tcW w:w="4246" w:type="dxa"/>
            <w:vAlign w:val="center"/>
          </w:tcPr>
          <w:p>
            <w:pPr>
              <w:keepNext w:val="0"/>
              <w:keepLines w:val="0"/>
              <w:widowControl/>
              <w:suppressLineNumbers w:val="0"/>
              <w:spacing w:line="240" w:lineRule="auto"/>
              <w:jc w:val="left"/>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腾锐D2000/8G内存/120GBSSD+1THDD硬盘/1G独显/DVDRW光驱/200W电源/银河麒麟SV2.23.2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三合一硬件模块、SM专用移动存储介质（4G红盘）</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三合一功能：违规外联、移动存储介质管控和信息单向导入</w:t>
            </w:r>
          </w:p>
        </w:tc>
        <w:tc>
          <w:tcPr>
            <w:tcW w:w="754" w:type="dxa"/>
            <w:vAlign w:val="center"/>
          </w:tcPr>
          <w:p>
            <w:pPr>
              <w:jc w:val="center"/>
              <w:rPr>
                <w:rFonts w:hint="default"/>
                <w:vertAlign w:val="baseline"/>
                <w:lang w:val="en-US" w:eastAsia="zh-CN"/>
              </w:rPr>
            </w:pPr>
            <w:r>
              <w:rPr>
                <w:rFonts w:hint="eastAsia"/>
                <w:vertAlign w:val="baseline"/>
                <w:lang w:val="en-US" w:eastAsia="zh-CN"/>
              </w:rPr>
              <w:t>1</w:t>
            </w:r>
          </w:p>
        </w:tc>
        <w:tc>
          <w:tcPr>
            <w:tcW w:w="2075" w:type="dxa"/>
            <w:vMerge w:val="restart"/>
            <w:vAlign w:val="center"/>
          </w:tcPr>
          <w:p>
            <w:pPr>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云南省昆明市滇池度假区滇池路1101号平安银行大厦</w:t>
            </w:r>
          </w:p>
          <w:p>
            <w:pPr>
              <w:jc w:val="center"/>
              <w:rPr>
                <w:rFonts w:hint="default"/>
                <w:vertAlign w:val="baseline"/>
                <w:lang w:val="en-US" w:eastAsia="zh-CN"/>
              </w:rPr>
            </w:pPr>
            <w:r>
              <w:rPr>
                <w:rFonts w:hint="eastAsia" w:ascii="宋体" w:hAnsi="宋体" w:eastAsia="宋体" w:cs="宋体"/>
                <w:i w:val="0"/>
                <w:iCs w:val="0"/>
                <w:color w:val="000000"/>
                <w:kern w:val="0"/>
                <w:sz w:val="22"/>
                <w:szCs w:val="22"/>
                <w:u w:val="none"/>
                <w:lang w:val="en-US" w:eastAsia="zh-CN" w:bidi="ar"/>
              </w:rPr>
              <w:t>南方电网数字电网集团有限公司云南分公司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pPr>
              <w:jc w:val="center"/>
              <w:rPr>
                <w:rFonts w:hint="default"/>
                <w:vertAlign w:val="baseline"/>
                <w:lang w:val="en-US" w:eastAsia="zh-CN"/>
              </w:rPr>
            </w:pPr>
            <w:r>
              <w:rPr>
                <w:rFonts w:hint="eastAsia"/>
                <w:vertAlign w:val="baseline"/>
                <w:lang w:val="en-US" w:eastAsia="zh-CN"/>
              </w:rPr>
              <w:t>2</w:t>
            </w:r>
          </w:p>
        </w:tc>
        <w:tc>
          <w:tcPr>
            <w:tcW w:w="1979" w:type="dxa"/>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红黑电源滤波隔离插座</w:t>
            </w:r>
          </w:p>
        </w:tc>
        <w:tc>
          <w:tcPr>
            <w:tcW w:w="4246" w:type="dxa"/>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采用滤波和屏蔽技术，使输出更稳定，更可以起到抑制所连接信息设备电源线传导泄漏发射的作用</w:t>
            </w:r>
          </w:p>
        </w:tc>
        <w:tc>
          <w:tcPr>
            <w:tcW w:w="754" w:type="dxa"/>
            <w:vAlign w:val="center"/>
          </w:tcPr>
          <w:p>
            <w:pPr>
              <w:jc w:val="center"/>
              <w:rPr>
                <w:rFonts w:hint="default"/>
                <w:vertAlign w:val="baseline"/>
                <w:lang w:val="en-US" w:eastAsia="zh-CN"/>
              </w:rPr>
            </w:pPr>
            <w:r>
              <w:rPr>
                <w:rFonts w:hint="eastAsia"/>
                <w:vertAlign w:val="baseline"/>
                <w:lang w:val="en-US" w:eastAsia="zh-CN"/>
              </w:rPr>
              <w:t>2</w:t>
            </w:r>
            <w:bookmarkStart w:id="0" w:name="_GoBack"/>
            <w:bookmarkEnd w:id="0"/>
          </w:p>
        </w:tc>
        <w:tc>
          <w:tcPr>
            <w:tcW w:w="2075" w:type="dxa"/>
            <w:vMerge w:val="continue"/>
            <w:vAlign w:val="center"/>
          </w:tcPr>
          <w:p>
            <w:pPr>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pPr>
              <w:jc w:val="center"/>
              <w:rPr>
                <w:rFonts w:hint="default"/>
                <w:vertAlign w:val="baseline"/>
                <w:lang w:val="en-US" w:eastAsia="zh-CN"/>
              </w:rPr>
            </w:pPr>
            <w:r>
              <w:rPr>
                <w:rFonts w:hint="eastAsia"/>
                <w:vertAlign w:val="baseline"/>
                <w:lang w:val="en-US" w:eastAsia="zh-CN"/>
              </w:rPr>
              <w:t>3</w:t>
            </w:r>
          </w:p>
        </w:tc>
        <w:tc>
          <w:tcPr>
            <w:tcW w:w="1979" w:type="dxa"/>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彩色激光多功能一体机</w:t>
            </w:r>
          </w:p>
        </w:tc>
        <w:tc>
          <w:tcPr>
            <w:tcW w:w="4246" w:type="dxa"/>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1.类型：A4彩色激光。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2.设备接口：USB、RJ45。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3.打印功能：支持自动双面打印、支持网络打印、支持PC端打印状态监视。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4.扫描功能：支持彩色扫描、支持稿台（FB）、自动进稿器（ADF）；自带扫描应用软件。</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5.复印功能：支持彩色复印、支持稿台（FB）、自动进稿器（ADF）；支持自动双面复印、逐份复印。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6.安全增强功能：设备安全启动与完整性度量，内存、临时文件和缓存数据清除，设备接入控制，通讯接口控制，硒鼓信息清除，数据存储于流向管控，打印日志记录。</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7.支持打印共享切换器：用于涉密终端与非涉密终端共用一台打印机设备。</w:t>
            </w:r>
          </w:p>
        </w:tc>
        <w:tc>
          <w:tcPr>
            <w:tcW w:w="754" w:type="dxa"/>
            <w:vAlign w:val="center"/>
          </w:tcPr>
          <w:p>
            <w:pPr>
              <w:jc w:val="center"/>
              <w:rPr>
                <w:rFonts w:hint="default"/>
                <w:vertAlign w:val="baseline"/>
                <w:lang w:val="en-US" w:eastAsia="zh-CN"/>
              </w:rPr>
            </w:pPr>
            <w:r>
              <w:rPr>
                <w:rFonts w:hint="eastAsia"/>
                <w:vertAlign w:val="baseline"/>
                <w:lang w:val="en-US" w:eastAsia="zh-CN"/>
              </w:rPr>
              <w:t>1</w:t>
            </w:r>
          </w:p>
        </w:tc>
        <w:tc>
          <w:tcPr>
            <w:tcW w:w="2075" w:type="dxa"/>
            <w:vMerge w:val="continue"/>
            <w:vAlign w:val="center"/>
          </w:tcPr>
          <w:p>
            <w:pPr>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pPr>
              <w:jc w:val="center"/>
              <w:rPr>
                <w:rFonts w:hint="default"/>
                <w:vertAlign w:val="baseline"/>
                <w:lang w:val="en-US" w:eastAsia="zh-CN"/>
              </w:rPr>
            </w:pPr>
            <w:r>
              <w:rPr>
                <w:rFonts w:hint="eastAsia"/>
                <w:vertAlign w:val="baseline"/>
                <w:lang w:val="en-US" w:eastAsia="zh-CN"/>
              </w:rPr>
              <w:t>4</w:t>
            </w:r>
          </w:p>
        </w:tc>
        <w:tc>
          <w:tcPr>
            <w:tcW w:w="1979" w:type="dxa"/>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微机视频信息保护系统</w:t>
            </w:r>
          </w:p>
        </w:tc>
        <w:tc>
          <w:tcPr>
            <w:tcW w:w="4246" w:type="dxa"/>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微机视频信息保护系统采用多时钟、可变序列相关干扰和电源滤波技术，可有效防止计算机视频信息因空间电磁泄漏和电源线传导泄漏造成的信息泄密。产品广泛应用在国家和军队的重要部门。通过国家保密科技测评中心认证，有效防止计算机视频信息因空间电磁泄漏和电源线传导泄漏造成的信息泄密</w:t>
            </w:r>
          </w:p>
        </w:tc>
        <w:tc>
          <w:tcPr>
            <w:tcW w:w="754" w:type="dxa"/>
            <w:vAlign w:val="center"/>
          </w:tcPr>
          <w:p>
            <w:pPr>
              <w:jc w:val="center"/>
              <w:rPr>
                <w:rFonts w:hint="default"/>
                <w:vertAlign w:val="baseline"/>
                <w:lang w:val="en-US" w:eastAsia="zh-CN"/>
              </w:rPr>
            </w:pPr>
            <w:r>
              <w:rPr>
                <w:rFonts w:hint="eastAsia"/>
                <w:vertAlign w:val="baseline"/>
                <w:lang w:val="en-US" w:eastAsia="zh-CN"/>
              </w:rPr>
              <w:t>1</w:t>
            </w:r>
          </w:p>
        </w:tc>
        <w:tc>
          <w:tcPr>
            <w:tcW w:w="2075" w:type="dxa"/>
            <w:vMerge w:val="continue"/>
            <w:vAlign w:val="center"/>
          </w:tcPr>
          <w:p>
            <w:pPr>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pPr>
              <w:jc w:val="center"/>
              <w:rPr>
                <w:rFonts w:hint="default"/>
                <w:vertAlign w:val="baseline"/>
                <w:lang w:val="en-US" w:eastAsia="zh-CN"/>
              </w:rPr>
            </w:pPr>
            <w:r>
              <w:rPr>
                <w:rFonts w:hint="eastAsia"/>
                <w:vertAlign w:val="baseline"/>
                <w:lang w:val="en-US" w:eastAsia="zh-CN"/>
              </w:rPr>
              <w:t>5</w:t>
            </w:r>
          </w:p>
        </w:tc>
        <w:tc>
          <w:tcPr>
            <w:tcW w:w="1979" w:type="dxa"/>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计算机终端保密检查系统</w:t>
            </w:r>
          </w:p>
        </w:tc>
        <w:tc>
          <w:tcPr>
            <w:tcW w:w="4246" w:type="dxa"/>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保密检查工具是针对保密单位、要害部门进行安全保密检查、对电子保密信息进行司法、违规取证，各级涉密单位进行安全保密自查与防范工作的计算机安全产品。</w:t>
            </w:r>
          </w:p>
        </w:tc>
        <w:tc>
          <w:tcPr>
            <w:tcW w:w="754" w:type="dxa"/>
            <w:vAlign w:val="center"/>
          </w:tcPr>
          <w:p>
            <w:pPr>
              <w:jc w:val="center"/>
              <w:rPr>
                <w:rFonts w:hint="default"/>
                <w:vertAlign w:val="baseline"/>
                <w:lang w:val="en-US" w:eastAsia="zh-CN"/>
              </w:rPr>
            </w:pPr>
            <w:r>
              <w:rPr>
                <w:rFonts w:hint="eastAsia"/>
                <w:vertAlign w:val="baseline"/>
                <w:lang w:val="en-US" w:eastAsia="zh-CN"/>
              </w:rPr>
              <w:t>1</w:t>
            </w:r>
          </w:p>
        </w:tc>
        <w:tc>
          <w:tcPr>
            <w:tcW w:w="2075" w:type="dxa"/>
            <w:vMerge w:val="continue"/>
            <w:vAlign w:val="center"/>
          </w:tcPr>
          <w:p>
            <w:pPr>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pPr>
              <w:jc w:val="center"/>
              <w:rPr>
                <w:rFonts w:hint="default"/>
                <w:vertAlign w:val="baseline"/>
                <w:lang w:val="en-US" w:eastAsia="zh-CN"/>
              </w:rPr>
            </w:pPr>
            <w:r>
              <w:rPr>
                <w:rFonts w:hint="eastAsia"/>
                <w:vertAlign w:val="baseline"/>
                <w:lang w:val="en-US" w:eastAsia="zh-CN"/>
              </w:rPr>
              <w:t>6</w:t>
            </w:r>
          </w:p>
        </w:tc>
        <w:tc>
          <w:tcPr>
            <w:tcW w:w="1979" w:type="dxa"/>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移动存储介质信息消除工具</w:t>
            </w:r>
          </w:p>
        </w:tc>
        <w:tc>
          <w:tcPr>
            <w:tcW w:w="4246" w:type="dxa"/>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终端计算机的存储介质已成为泄密的重要隐患，是保密管理的重中之重。存储介质信息消除工具（简称“消除工具”）。 该消除工具是针对各级企业，进行安全保密消除与防范工作的安全产品。消除工具采用独立软件的方式，对涉密存储介质进行无害、快捷、有效的擦除操作。及时杜绝涉密介质外泄问题。</w:t>
            </w:r>
          </w:p>
        </w:tc>
        <w:tc>
          <w:tcPr>
            <w:tcW w:w="754" w:type="dxa"/>
            <w:vAlign w:val="center"/>
          </w:tcPr>
          <w:p>
            <w:pPr>
              <w:jc w:val="center"/>
              <w:rPr>
                <w:rFonts w:hint="default"/>
                <w:vertAlign w:val="baseline"/>
                <w:lang w:val="en-US" w:eastAsia="zh-CN"/>
              </w:rPr>
            </w:pPr>
            <w:r>
              <w:rPr>
                <w:rFonts w:hint="eastAsia"/>
                <w:vertAlign w:val="baseline"/>
                <w:lang w:val="en-US" w:eastAsia="zh-CN"/>
              </w:rPr>
              <w:t>1</w:t>
            </w:r>
          </w:p>
        </w:tc>
        <w:tc>
          <w:tcPr>
            <w:tcW w:w="2075" w:type="dxa"/>
            <w:vMerge w:val="continue"/>
            <w:vAlign w:val="center"/>
          </w:tcPr>
          <w:p>
            <w:pPr>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pPr>
              <w:jc w:val="center"/>
              <w:rPr>
                <w:rFonts w:hint="default"/>
                <w:vertAlign w:val="baseline"/>
                <w:lang w:val="en-US" w:eastAsia="zh-CN"/>
              </w:rPr>
            </w:pPr>
            <w:r>
              <w:rPr>
                <w:rFonts w:hint="eastAsia"/>
                <w:vertAlign w:val="baseline"/>
                <w:lang w:val="en-US" w:eastAsia="zh-CN"/>
              </w:rPr>
              <w:t>7</w:t>
            </w:r>
          </w:p>
        </w:tc>
        <w:tc>
          <w:tcPr>
            <w:tcW w:w="1979" w:type="dxa"/>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主机监控与审计系统（涉密专用计算平台版）</w:t>
            </w:r>
          </w:p>
        </w:tc>
        <w:tc>
          <w:tcPr>
            <w:tcW w:w="4246" w:type="dxa"/>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主机监控与审计系统遵循国家相关机构、公安部等相关技术规范要求推出的主机安全监控审计产品。通过对国产化终端主机设备的运行状态监控、用户行为、移动介质使用等行为的审计与分析，实现了对用户行为的全方位跟踪和审计。监控审计内容包括国产计算机基础环境、进程、服务、文件、网络、打印等关键事件，通过对安全事件的审计、跟踪、分析，实现了基于事件的全生命周期管理。</w:t>
            </w:r>
          </w:p>
        </w:tc>
        <w:tc>
          <w:tcPr>
            <w:tcW w:w="754" w:type="dxa"/>
            <w:vAlign w:val="center"/>
          </w:tcPr>
          <w:p>
            <w:pPr>
              <w:jc w:val="center"/>
              <w:rPr>
                <w:rFonts w:hint="default"/>
                <w:vertAlign w:val="baseline"/>
                <w:lang w:val="en-US" w:eastAsia="zh-CN"/>
              </w:rPr>
            </w:pPr>
            <w:r>
              <w:rPr>
                <w:rFonts w:hint="eastAsia"/>
                <w:vertAlign w:val="baseline"/>
                <w:lang w:val="en-US" w:eastAsia="zh-CN"/>
              </w:rPr>
              <w:t>1</w:t>
            </w:r>
          </w:p>
        </w:tc>
        <w:tc>
          <w:tcPr>
            <w:tcW w:w="2075" w:type="dxa"/>
            <w:vMerge w:val="continue"/>
            <w:vAlign w:val="center"/>
          </w:tcPr>
          <w:p>
            <w:pPr>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pPr>
              <w:jc w:val="center"/>
              <w:rPr>
                <w:rFonts w:hint="default"/>
                <w:vertAlign w:val="baseline"/>
                <w:lang w:val="en-US" w:eastAsia="zh-CN"/>
              </w:rPr>
            </w:pPr>
            <w:r>
              <w:rPr>
                <w:rFonts w:hint="eastAsia"/>
                <w:vertAlign w:val="baseline"/>
                <w:lang w:val="en-US" w:eastAsia="zh-CN"/>
              </w:rPr>
              <w:t>8</w:t>
            </w:r>
          </w:p>
        </w:tc>
        <w:tc>
          <w:tcPr>
            <w:tcW w:w="1979" w:type="dxa"/>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打印刻录安全监控与审计系统（涉密专用计算平台版）</w:t>
            </w:r>
          </w:p>
        </w:tc>
        <w:tc>
          <w:tcPr>
            <w:tcW w:w="4246" w:type="dxa"/>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打印刻录安全监控与审计系统（涉密专用计算平台版）属于数据安全，针对管控中的“打印机管控”、“刻录机管控”，基于条码技术，从文件的产生、流转、归档、销毁的全生命周期的各环节进行安全处理和管控，同时建立全生命周期过程中的审计、日志系统，对文件的安全流转进行全程监控及溯源追踪。</w:t>
            </w:r>
          </w:p>
        </w:tc>
        <w:tc>
          <w:tcPr>
            <w:tcW w:w="754" w:type="dxa"/>
            <w:vAlign w:val="center"/>
          </w:tcPr>
          <w:p>
            <w:pPr>
              <w:jc w:val="center"/>
              <w:rPr>
                <w:rFonts w:hint="default"/>
                <w:vertAlign w:val="baseline"/>
                <w:lang w:val="en-US" w:eastAsia="zh-CN"/>
              </w:rPr>
            </w:pPr>
            <w:r>
              <w:rPr>
                <w:rFonts w:hint="eastAsia"/>
                <w:vertAlign w:val="baseline"/>
                <w:lang w:val="en-US" w:eastAsia="zh-CN"/>
              </w:rPr>
              <w:t>1</w:t>
            </w:r>
          </w:p>
        </w:tc>
        <w:tc>
          <w:tcPr>
            <w:tcW w:w="2075" w:type="dxa"/>
            <w:vMerge w:val="continue"/>
            <w:vAlign w:val="center"/>
          </w:tcPr>
          <w:p>
            <w:pPr>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pPr>
              <w:jc w:val="center"/>
              <w:rPr>
                <w:rFonts w:hint="default"/>
                <w:vertAlign w:val="baseline"/>
                <w:lang w:val="en-US" w:eastAsia="zh-CN"/>
              </w:rPr>
            </w:pPr>
            <w:r>
              <w:rPr>
                <w:rFonts w:hint="eastAsia"/>
                <w:vertAlign w:val="baseline"/>
                <w:lang w:val="en-US" w:eastAsia="zh-CN"/>
              </w:rPr>
              <w:t>9</w:t>
            </w:r>
          </w:p>
        </w:tc>
        <w:tc>
          <w:tcPr>
            <w:tcW w:w="1979" w:type="dxa"/>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终端安全登录系统（涉密专用计算平台版）</w:t>
            </w:r>
          </w:p>
        </w:tc>
        <w:tc>
          <w:tcPr>
            <w:tcW w:w="4246" w:type="dxa"/>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终端安全登录系统，综合利用登录身份认证核心技术，用于提升主机系统登录时的身份认证强度的产品。通过在传统的口令认证基础上将硬件（USBKey）与软件（Client）相结合，实现物理身份与用户身份的双重认证，从根本上弥补系统自身的缺陷，保障操作系统安全。（名录产品）</w:t>
            </w:r>
          </w:p>
        </w:tc>
        <w:tc>
          <w:tcPr>
            <w:tcW w:w="754" w:type="dxa"/>
            <w:vAlign w:val="center"/>
          </w:tcPr>
          <w:p>
            <w:pPr>
              <w:jc w:val="center"/>
              <w:rPr>
                <w:rFonts w:hint="default"/>
                <w:vertAlign w:val="baseline"/>
                <w:lang w:val="en-US" w:eastAsia="zh-CN"/>
              </w:rPr>
            </w:pPr>
            <w:r>
              <w:rPr>
                <w:rFonts w:hint="eastAsia"/>
                <w:vertAlign w:val="baseline"/>
                <w:lang w:val="en-US" w:eastAsia="zh-CN"/>
              </w:rPr>
              <w:t>1</w:t>
            </w:r>
          </w:p>
        </w:tc>
        <w:tc>
          <w:tcPr>
            <w:tcW w:w="2075" w:type="dxa"/>
            <w:vMerge w:val="continue"/>
            <w:vAlign w:val="center"/>
          </w:tcPr>
          <w:p>
            <w:pPr>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pPr>
              <w:jc w:val="center"/>
              <w:rPr>
                <w:rFonts w:hint="default"/>
                <w:vertAlign w:val="baseline"/>
                <w:lang w:val="en-US" w:eastAsia="zh-CN"/>
              </w:rPr>
            </w:pPr>
            <w:r>
              <w:rPr>
                <w:rFonts w:hint="eastAsia"/>
                <w:vertAlign w:val="baseline"/>
                <w:lang w:val="en-US" w:eastAsia="zh-CN"/>
              </w:rPr>
              <w:t>10</w:t>
            </w:r>
          </w:p>
        </w:tc>
        <w:tc>
          <w:tcPr>
            <w:tcW w:w="1979" w:type="dxa"/>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防病毒系统（涉密专用计算平台网络版）</w:t>
            </w:r>
          </w:p>
        </w:tc>
        <w:tc>
          <w:tcPr>
            <w:tcW w:w="4246" w:type="dxa"/>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防病毒系统以尖端的反病毒技术、高效的查杀性能、易用的操作界面，诠释下一代人工智能防病毒软件。对引擎技术的不断研究，使防病毒引擎拥有了高检出、低误报、小体积的优秀品质，更加符合国内企业用户的安全习惯，保障系统安全。</w:t>
            </w:r>
          </w:p>
        </w:tc>
        <w:tc>
          <w:tcPr>
            <w:tcW w:w="754" w:type="dxa"/>
            <w:vAlign w:val="center"/>
          </w:tcPr>
          <w:p>
            <w:pPr>
              <w:jc w:val="center"/>
              <w:rPr>
                <w:rFonts w:hint="default"/>
                <w:vertAlign w:val="baseline"/>
                <w:lang w:val="en-US" w:eastAsia="zh-CN"/>
              </w:rPr>
            </w:pPr>
            <w:r>
              <w:rPr>
                <w:rFonts w:hint="eastAsia"/>
                <w:vertAlign w:val="baseline"/>
                <w:lang w:val="en-US" w:eastAsia="zh-CN"/>
              </w:rPr>
              <w:t>1</w:t>
            </w:r>
          </w:p>
        </w:tc>
        <w:tc>
          <w:tcPr>
            <w:tcW w:w="2075" w:type="dxa"/>
            <w:vMerge w:val="continue"/>
            <w:vAlign w:val="center"/>
          </w:tcPr>
          <w:p>
            <w:pPr>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pPr>
              <w:jc w:val="center"/>
              <w:rPr>
                <w:rFonts w:hint="default"/>
                <w:vertAlign w:val="baseline"/>
                <w:lang w:val="en-US" w:eastAsia="zh-CN"/>
              </w:rPr>
            </w:pPr>
            <w:r>
              <w:rPr>
                <w:rFonts w:hint="eastAsia"/>
                <w:vertAlign w:val="baseline"/>
                <w:lang w:val="en-US" w:eastAsia="zh-CN"/>
              </w:rPr>
              <w:t>11</w:t>
            </w:r>
          </w:p>
        </w:tc>
        <w:tc>
          <w:tcPr>
            <w:tcW w:w="1979" w:type="dxa"/>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金山志远wps办公软件V11</w:t>
            </w:r>
          </w:p>
        </w:tc>
        <w:tc>
          <w:tcPr>
            <w:tcW w:w="4246" w:type="dxa"/>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可以实现办公软件最常用的文字、表格、演示，PDF阅读等多种功能</w:t>
            </w:r>
          </w:p>
        </w:tc>
        <w:tc>
          <w:tcPr>
            <w:tcW w:w="754" w:type="dxa"/>
            <w:vAlign w:val="center"/>
          </w:tcPr>
          <w:p>
            <w:pPr>
              <w:jc w:val="center"/>
              <w:rPr>
                <w:rFonts w:hint="default"/>
                <w:vertAlign w:val="baseline"/>
                <w:lang w:val="en-US" w:eastAsia="zh-CN"/>
              </w:rPr>
            </w:pPr>
            <w:r>
              <w:rPr>
                <w:rFonts w:hint="eastAsia"/>
                <w:vertAlign w:val="baseline"/>
                <w:lang w:val="en-US" w:eastAsia="zh-CN"/>
              </w:rPr>
              <w:t>1</w:t>
            </w:r>
          </w:p>
        </w:tc>
        <w:tc>
          <w:tcPr>
            <w:tcW w:w="2075" w:type="dxa"/>
            <w:vMerge w:val="continue"/>
            <w:vAlign w:val="center"/>
          </w:tcPr>
          <w:p>
            <w:pPr>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pPr>
              <w:jc w:val="center"/>
              <w:rPr>
                <w:rFonts w:hint="default"/>
                <w:vertAlign w:val="baseline"/>
                <w:lang w:val="en-US" w:eastAsia="zh-CN"/>
              </w:rPr>
            </w:pPr>
            <w:r>
              <w:rPr>
                <w:rFonts w:hint="eastAsia"/>
                <w:vertAlign w:val="baseline"/>
                <w:lang w:val="en-US" w:eastAsia="zh-CN"/>
              </w:rPr>
              <w:t>12</w:t>
            </w:r>
          </w:p>
        </w:tc>
        <w:tc>
          <w:tcPr>
            <w:tcW w:w="1979" w:type="dxa"/>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金城SM专用移动硬盘V1.0</w:t>
            </w:r>
          </w:p>
        </w:tc>
        <w:tc>
          <w:tcPr>
            <w:tcW w:w="4246" w:type="dxa"/>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用于涉密数据存储、备份和交换。产品采用符合涉密计算机及移动存储介质保密管理系统（三合一）标准要求的专用传输接口，具备存储数据保护功能，16G涉密专用存储介质。</w:t>
            </w:r>
          </w:p>
        </w:tc>
        <w:tc>
          <w:tcPr>
            <w:tcW w:w="754" w:type="dxa"/>
            <w:vAlign w:val="center"/>
          </w:tcPr>
          <w:p>
            <w:pPr>
              <w:jc w:val="center"/>
              <w:rPr>
                <w:rFonts w:hint="default"/>
                <w:vertAlign w:val="baseline"/>
                <w:lang w:val="en-US" w:eastAsia="zh-CN"/>
              </w:rPr>
            </w:pPr>
            <w:r>
              <w:rPr>
                <w:rFonts w:hint="eastAsia"/>
                <w:vertAlign w:val="baseline"/>
                <w:lang w:val="en-US" w:eastAsia="zh-CN"/>
              </w:rPr>
              <w:t>1</w:t>
            </w:r>
          </w:p>
        </w:tc>
        <w:tc>
          <w:tcPr>
            <w:tcW w:w="2075" w:type="dxa"/>
            <w:vMerge w:val="continue"/>
            <w:vAlign w:val="center"/>
          </w:tcPr>
          <w:p>
            <w:pPr>
              <w:jc w:val="center"/>
              <w:rPr>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pPr>
              <w:jc w:val="center"/>
              <w:rPr>
                <w:rFonts w:hint="default"/>
                <w:vertAlign w:val="baseline"/>
                <w:lang w:val="en-US" w:eastAsia="zh-CN"/>
              </w:rPr>
            </w:pPr>
            <w:r>
              <w:rPr>
                <w:rFonts w:hint="eastAsia"/>
                <w:vertAlign w:val="baseline"/>
                <w:lang w:val="en-US" w:eastAsia="zh-CN"/>
              </w:rPr>
              <w:t>13</w:t>
            </w:r>
          </w:p>
        </w:tc>
        <w:tc>
          <w:tcPr>
            <w:tcW w:w="1979" w:type="dxa"/>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实施安装</w:t>
            </w:r>
          </w:p>
        </w:tc>
        <w:tc>
          <w:tcPr>
            <w:tcW w:w="4246" w:type="dxa"/>
            <w:vAlign w:val="center"/>
          </w:tcPr>
          <w:p>
            <w:pPr>
              <w:keepNext w:val="0"/>
              <w:keepLines w:val="0"/>
              <w:widowControl/>
              <w:suppressLineNumbers w:val="0"/>
              <w:spacing w:line="240" w:lineRule="auto"/>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硬件软件实施安装</w:t>
            </w:r>
          </w:p>
        </w:tc>
        <w:tc>
          <w:tcPr>
            <w:tcW w:w="754" w:type="dxa"/>
            <w:vAlign w:val="center"/>
          </w:tcPr>
          <w:p>
            <w:pPr>
              <w:jc w:val="center"/>
              <w:rPr>
                <w:rFonts w:hint="default"/>
                <w:vertAlign w:val="baseline"/>
                <w:lang w:val="en-US" w:eastAsia="zh-CN"/>
              </w:rPr>
            </w:pPr>
            <w:r>
              <w:rPr>
                <w:rFonts w:hint="eastAsia"/>
                <w:vertAlign w:val="baseline"/>
                <w:lang w:val="en-US" w:eastAsia="zh-CN"/>
              </w:rPr>
              <w:t>1</w:t>
            </w:r>
          </w:p>
        </w:tc>
        <w:tc>
          <w:tcPr>
            <w:tcW w:w="2075" w:type="dxa"/>
            <w:vMerge w:val="continue"/>
            <w:vAlign w:val="center"/>
          </w:tcPr>
          <w:p>
            <w:pPr>
              <w:jc w:val="center"/>
              <w:rPr>
                <w:rFonts w:hint="default"/>
                <w:vertAlign w:val="baseline"/>
                <w:lang w:val="en-US" w:eastAsia="zh-CN"/>
              </w:rPr>
            </w:pPr>
          </w:p>
        </w:tc>
      </w:tr>
    </w:tbl>
    <w:p>
      <w:pPr>
        <w:rPr>
          <w:rFonts w:hint="default"/>
          <w:lang w:val="en-US" w:eastAsia="zh-CN"/>
        </w:rPr>
      </w:pPr>
    </w:p>
    <w:p>
      <w:pPr>
        <w:pStyle w:val="4"/>
        <w:bidi w:val="0"/>
        <w:rPr>
          <w:rFonts w:hint="default"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支付方式及发票要求</w:t>
      </w:r>
    </w:p>
    <w:p>
      <w:pPr>
        <w:ind w:firstLine="420" w:firstLineChars="0"/>
        <w:rPr>
          <w:rFonts w:hint="eastAsia"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标的物通过采购方验收到货签收之日起10个工作日内，供应商开具全额增值税专用发票给采购方，并配合采购方完成标的物入库流程后。</w:t>
      </w:r>
    </w:p>
    <w:p>
      <w:pPr>
        <w:ind w:firstLine="420" w:firstLineChars="0"/>
        <w:rPr>
          <w:rFonts w:hint="eastAsia"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采购方自完成标的物入库之日起30个工作日内向供应商支付标的物总价款的100%。</w:t>
      </w:r>
    </w:p>
    <w:p>
      <w:pPr>
        <w:pStyle w:val="4"/>
        <w:bidi w:val="0"/>
        <w:rPr>
          <w:rFonts w:hint="default"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其它要求</w:t>
      </w:r>
    </w:p>
    <w:p>
      <w:pPr>
        <w:numPr>
          <w:ilvl w:val="0"/>
          <w:numId w:val="2"/>
        </w:numPr>
        <w:rPr>
          <w:rFonts w:hint="default"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备件到货时，保障完好无损；涉密终端设备、服务器保证平台数据安全性和隐私保护要求，确保符合信息安全管理要求。</w:t>
      </w:r>
    </w:p>
    <w:p>
      <w:pPr>
        <w:numPr>
          <w:ilvl w:val="0"/>
          <w:numId w:val="2"/>
        </w:numPr>
        <w:rPr>
          <w:rFonts w:hint="default"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供货的备件需保证12个月内，不发生故障，能正常使用，若12个月内发生故障，供货商需要无条件进行更换；</w:t>
      </w:r>
    </w:p>
    <w:p>
      <w:pPr>
        <w:numPr>
          <w:ilvl w:val="0"/>
          <w:numId w:val="0"/>
        </w:numPr>
        <w:rPr>
          <w:rFonts w:hint="eastAsia" w:ascii="宋体" w:hAnsi="宋体" w:eastAsia="宋体" w:cs="宋体"/>
          <w:b w:val="0"/>
          <w:kern w:val="2"/>
          <w:sz w:val="28"/>
          <w:szCs w:val="28"/>
          <w:highlight w:val="none"/>
          <w:lang w:val="en-US" w:eastAsia="zh-CN" w:bidi="ar-SA"/>
        </w:rPr>
      </w:pPr>
      <w:r>
        <w:rPr>
          <w:rFonts w:hint="eastAsia" w:ascii="宋体" w:hAnsi="宋体" w:eastAsia="宋体" w:cs="宋体"/>
          <w:b w:val="0"/>
          <w:kern w:val="2"/>
          <w:sz w:val="28"/>
          <w:szCs w:val="28"/>
          <w:highlight w:val="none"/>
          <w:lang w:val="en-US" w:eastAsia="zh-CN" w:bidi="ar-SA"/>
        </w:rPr>
        <w:t>3.供应商需在提交报价表时同步提交原厂实施人员技术支撑人员具备保密科学技术奖励证书（部级）、投标人具备ISO9001资质、投标人营业执照资质。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03650D"/>
    <w:multiLevelType w:val="multilevel"/>
    <w:tmpl w:val="8003650D"/>
    <w:lvl w:ilvl="0" w:tentative="0">
      <w:start w:val="1"/>
      <w:numFmt w:val="decimal"/>
      <w:pStyle w:val="4"/>
      <w:lvlText w:val="%1."/>
      <w:lvlJc w:val="left"/>
      <w:pPr>
        <w:ind w:left="432" w:hanging="432"/>
      </w:pPr>
      <w:rPr>
        <w:rFonts w:hint="default"/>
      </w:rPr>
    </w:lvl>
    <w:lvl w:ilvl="1" w:tentative="0">
      <w:start w:val="1"/>
      <w:numFmt w:val="decimal"/>
      <w:pStyle w:val="5"/>
      <w:lvlText w:val="%1.%2."/>
      <w:lvlJc w:val="left"/>
      <w:pPr>
        <w:ind w:left="575" w:hanging="575"/>
      </w:pPr>
      <w:rPr>
        <w:rFonts w:hint="default"/>
      </w:rPr>
    </w:lvl>
    <w:lvl w:ilvl="2" w:tentative="0">
      <w:start w:val="1"/>
      <w:numFmt w:val="decimal"/>
      <w:pStyle w:val="6"/>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80DDBB9A"/>
    <w:multiLevelType w:val="singleLevel"/>
    <w:tmpl w:val="80DDBB9A"/>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FF64E8"/>
    <w:rsid w:val="05D22D9C"/>
    <w:rsid w:val="05E27A84"/>
    <w:rsid w:val="09A71056"/>
    <w:rsid w:val="124624FA"/>
    <w:rsid w:val="1C641BEC"/>
    <w:rsid w:val="22413E56"/>
    <w:rsid w:val="24215C55"/>
    <w:rsid w:val="25DA1F05"/>
    <w:rsid w:val="2A1D2728"/>
    <w:rsid w:val="2DC529DA"/>
    <w:rsid w:val="2E814EDA"/>
    <w:rsid w:val="370E52D0"/>
    <w:rsid w:val="3E0D3DDD"/>
    <w:rsid w:val="40752942"/>
    <w:rsid w:val="44954238"/>
    <w:rsid w:val="467813E6"/>
    <w:rsid w:val="4E141324"/>
    <w:rsid w:val="52727066"/>
    <w:rsid w:val="53EE47E4"/>
    <w:rsid w:val="6D440864"/>
    <w:rsid w:val="70B15AF2"/>
    <w:rsid w:val="777F3120"/>
    <w:rsid w:val="790A54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Ascii" w:hAnsiTheme="minorAscii" w:eastAsiaTheme="minorEastAsia" w:cstheme="minorBidi"/>
      <w:kern w:val="2"/>
      <w:sz w:val="30"/>
      <w:szCs w:val="24"/>
      <w:lang w:val="en-US" w:eastAsia="zh-CN" w:bidi="ar-SA"/>
    </w:rPr>
  </w:style>
  <w:style w:type="paragraph" w:styleId="4">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黑体"/>
      <w:b/>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2024-01-17T01:29:00Z</dcterms:created>
  <dc:creator>sw</dc:creator>
  <cp:lastModifiedBy>李蕊</cp:lastModifiedBy>
  <dcterms:modified xsi:type="dcterms:W3CDTF">2024-04-18T02:20:27Z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CA2E0FA485E64BFE81DF404CD27C66AC</vt:lpwstr>
  </property>
</Properties>
</file>