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inorEastAsia" w:hAnsiTheme="minorEastAsia"/>
          <w:b/>
          <w:color w:val="auto"/>
          <w:sz w:val="13"/>
          <w:szCs w:val="13"/>
        </w:rPr>
      </w:pPr>
      <w:r>
        <w:rPr>
          <w:rFonts w:hint="eastAsia" w:ascii="宋体" w:hAnsi="宋体" w:eastAsia="宋体" w:cs="宋体"/>
          <w:b/>
          <w:color w:val="auto"/>
          <w:sz w:val="44"/>
          <w:szCs w:val="44"/>
          <w:highlight w:val="none"/>
        </w:rPr>
        <w:t>北海培训分公司202</w:t>
      </w:r>
      <w:r>
        <w:rPr>
          <w:rFonts w:hint="eastAsia" w:ascii="宋体" w:hAnsi="宋体" w:eastAsia="宋体" w:cs="宋体"/>
          <w:b/>
          <w:color w:val="auto"/>
          <w:sz w:val="44"/>
          <w:szCs w:val="44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b/>
          <w:color w:val="auto"/>
          <w:sz w:val="44"/>
          <w:szCs w:val="44"/>
          <w:highlight w:val="none"/>
        </w:rPr>
        <w:t>-202</w:t>
      </w:r>
      <w:r>
        <w:rPr>
          <w:rFonts w:hint="eastAsia" w:ascii="宋体" w:hAnsi="宋体" w:eastAsia="宋体" w:cs="宋体"/>
          <w:b/>
          <w:color w:val="auto"/>
          <w:sz w:val="44"/>
          <w:szCs w:val="44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b/>
          <w:color w:val="auto"/>
          <w:sz w:val="44"/>
          <w:szCs w:val="44"/>
          <w:highlight w:val="none"/>
        </w:rPr>
        <w:t>年电瓶车维保项</w:t>
      </w:r>
      <w:r>
        <w:rPr>
          <w:rFonts w:hint="eastAsia" w:ascii="宋体" w:hAnsi="宋体" w:eastAsia="宋体" w:cs="宋体"/>
          <w:b/>
          <w:color w:val="auto"/>
          <w:sz w:val="44"/>
          <w:szCs w:val="44"/>
          <w:highlight w:val="none"/>
          <w:lang w:eastAsia="zh-CN"/>
        </w:rPr>
        <w:t>目（四</w:t>
      </w:r>
      <w:bookmarkStart w:id="0" w:name="_GoBack"/>
      <w:bookmarkEnd w:id="0"/>
      <w:r>
        <w:rPr>
          <w:rFonts w:hint="eastAsia" w:ascii="宋体" w:hAnsi="宋体" w:eastAsia="宋体" w:cs="宋体"/>
          <w:b/>
          <w:color w:val="auto"/>
          <w:sz w:val="44"/>
          <w:szCs w:val="44"/>
          <w:highlight w:val="none"/>
          <w:lang w:eastAsia="zh-CN"/>
        </w:rPr>
        <w:t>次采购）</w:t>
      </w:r>
      <w:r>
        <w:rPr>
          <w:rFonts w:hint="eastAsia" w:ascii="宋体" w:hAnsi="宋体" w:eastAsia="宋体" w:cs="宋体"/>
          <w:b/>
          <w:color w:val="auto"/>
          <w:sz w:val="44"/>
          <w:szCs w:val="44"/>
          <w:highlight w:val="none"/>
        </w:rPr>
        <w:t>服务标准及要求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color w:val="auto"/>
          <w:sz w:val="30"/>
          <w:szCs w:val="30"/>
        </w:rPr>
        <w:t>项目概况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582" w:firstLineChars="194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30"/>
          <w:szCs w:val="30"/>
        </w:rPr>
      </w:pPr>
      <w:r>
        <w:rPr>
          <w:rFonts w:hint="eastAsia" w:ascii="宋体" w:hAnsi="宋体" w:eastAsia="宋体" w:cs="宋体"/>
          <w:color w:val="auto"/>
          <w:sz w:val="30"/>
          <w:szCs w:val="30"/>
          <w:lang w:eastAsia="zh-CN"/>
        </w:rPr>
        <w:t>为保障基地电瓶车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lang w:val="en-US" w:eastAsia="zh-CN"/>
        </w:rPr>
        <w:t>(三轮电动小货车、四轮电动小货车、电动滑板车、电动摆渡车等电瓶</w:t>
      </w:r>
      <w:r>
        <w:rPr>
          <w:rFonts w:hint="eastAsia" w:ascii="宋体" w:hAnsi="宋体" w:eastAsia="宋体" w:cs="宋体"/>
          <w:color w:val="auto"/>
          <w:sz w:val="30"/>
          <w:szCs w:val="30"/>
          <w:lang w:eastAsia="zh-CN"/>
        </w:rPr>
        <w:t>车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lang w:val="en-US" w:eastAsia="zh-CN"/>
        </w:rPr>
        <w:t>)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lang w:eastAsia="zh-CN"/>
        </w:rPr>
        <w:t>正常运行,满足日常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lang w:val="en-US" w:eastAsia="zh-CN"/>
        </w:rPr>
        <w:t>维修保养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lang w:eastAsia="zh-CN"/>
        </w:rPr>
        <w:t>需求，需要选定202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lang w:eastAsia="zh-CN"/>
        </w:rPr>
        <w:t>年至202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lang w:eastAsia="zh-CN"/>
        </w:rPr>
        <w:t>年电瓶车维保服务商，以保</w:t>
      </w:r>
      <w:r>
        <w:rPr>
          <w:rFonts w:hint="eastAsia" w:ascii="宋体" w:hAnsi="宋体" w:eastAsia="宋体" w:cs="宋体"/>
          <w:color w:val="auto"/>
          <w:sz w:val="30"/>
          <w:szCs w:val="30"/>
          <w:lang w:eastAsia="zh-CN"/>
        </w:rPr>
        <w:t>证基地电瓶车的正常使用。</w:t>
      </w:r>
    </w:p>
    <w:p>
      <w:pPr>
        <w:numPr>
          <w:ilvl w:val="0"/>
          <w:numId w:val="0"/>
        </w:numPr>
        <w:ind w:leftChars="0"/>
        <w:jc w:val="left"/>
        <w:rPr>
          <w:rFonts w:hint="eastAsia" w:ascii="宋体" w:hAnsi="宋体" w:eastAsia="宋体" w:cs="宋体"/>
          <w:b/>
          <w:bCs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二、维保配件</w:t>
      </w:r>
      <w:r>
        <w:rPr>
          <w:rFonts w:hint="eastAsia" w:ascii="宋体" w:hAnsi="宋体" w:eastAsia="宋体" w:cs="宋体"/>
          <w:b/>
          <w:bCs/>
          <w:color w:val="auto"/>
          <w:sz w:val="30"/>
          <w:szCs w:val="30"/>
          <w:lang w:val="en-US" w:eastAsia="zh-CN"/>
        </w:rPr>
        <w:t>内容</w:t>
      </w:r>
    </w:p>
    <w:tbl>
      <w:tblPr>
        <w:tblStyle w:val="5"/>
        <w:tblW w:w="8608" w:type="dxa"/>
        <w:tblInd w:w="-23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25"/>
        <w:gridCol w:w="2129"/>
        <w:gridCol w:w="796"/>
        <w:gridCol w:w="669"/>
        <w:gridCol w:w="1408"/>
        <w:gridCol w:w="831"/>
        <w:gridCol w:w="957"/>
        <w:gridCol w:w="99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配件名称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三轮、四轮电动小货车/电动滑板车</w:t>
            </w: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电动摆渡车/电动小货车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预计采购金额(万元)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服务期限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轮胎（155/65R13）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1.5</w:t>
            </w:r>
          </w:p>
        </w:tc>
        <w:tc>
          <w:tcPr>
            <w:tcW w:w="9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自合同约定之日起至2025年12月31日止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轮胎（155R12）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外胎(3.75-12)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外胎(3.0-12)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内胎(3.75-12)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内胎(3.0-12)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真空胎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补胎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次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蓄电池（72V170AH）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蓄电池（72V150AH）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铅酸蓄电池（天能蓄电池60V32.2AH）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5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铅酸蓄电池（超威蓄电池60V32.2AH）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5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电瓶卡头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扶手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后视镜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灯开关总成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灯开关总成把手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电源锁开关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后刹车片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前刹车片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车厢勾搭锁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防水喇叭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转向灯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刹车拉杆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手刹线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刹车线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脚刹踏板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充电插口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闪光蜂鸣器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车坐垫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加力档杆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避震器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控制器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充电器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前照灯泡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后照灯泡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拖车服务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次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配件外上门维修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次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66" w:hRule="atLeast"/>
        </w:trPr>
        <w:tc>
          <w:tcPr>
            <w:tcW w:w="8608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备注： 1.单价含税（发票为增值税专用发票）、运费、安装拆装费、人工费和其他费用；</w:t>
            </w:r>
          </w:p>
          <w:p>
            <w:pPr>
              <w:jc w:val="left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  2.本表中“/”为不需要维保项；</w:t>
            </w:r>
          </w:p>
          <w:p>
            <w:pPr>
              <w:jc w:val="left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  3.本项目据实结算，每6个月结算一次，结算金额=单价×实际数量；</w:t>
            </w:r>
          </w:p>
          <w:p>
            <w:pPr>
              <w:jc w:val="left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  4.根据往年项目金额预估费用为15000元；</w:t>
            </w:r>
          </w:p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  5.服务期限：自合同约定之日起至2025年12月31日止。</w:t>
            </w: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b/>
          <w:color w:val="auto"/>
          <w:sz w:val="30"/>
          <w:szCs w:val="30"/>
        </w:rPr>
      </w:pPr>
      <w:r>
        <w:rPr>
          <w:rFonts w:hint="eastAsia" w:ascii="宋体" w:hAnsi="宋体" w:eastAsia="宋体" w:cs="宋体"/>
          <w:b/>
          <w:color w:val="auto"/>
          <w:sz w:val="30"/>
          <w:szCs w:val="30"/>
        </w:rPr>
        <w:t>三、</w:t>
      </w: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维保</w:t>
      </w:r>
      <w:r>
        <w:rPr>
          <w:rFonts w:hint="eastAsia" w:ascii="宋体" w:hAnsi="宋体" w:eastAsia="宋体" w:cs="宋体"/>
          <w:b/>
          <w:color w:val="auto"/>
          <w:sz w:val="30"/>
          <w:szCs w:val="30"/>
        </w:rPr>
        <w:t>服务要求：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198" w:firstLineChars="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30"/>
          <w:szCs w:val="30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szCs w:val="30"/>
          <w:highlight w:val="none"/>
        </w:rPr>
        <w:t>（1）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/>
        </w:rPr>
        <w:t>承包方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lang w:eastAsia="zh-CN"/>
        </w:rPr>
        <w:t>在接到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  <w:t>发包方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lang w:eastAsia="zh-CN"/>
        </w:rPr>
        <w:t>发出的维保通知后的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lang w:val="en-US" w:eastAsia="zh-CN"/>
        </w:rPr>
        <w:t>6个小时内必须到达金海基地现场、并提交解决方案和维修配件项目清单，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  <w:t>不需要额外配件的维修，应在到场后2小时内完成维修；涉及到配件采购的维修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  <w:t>在配件到货后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lang w:val="en-US" w:eastAsia="zh-CN"/>
        </w:rPr>
        <w:t>2日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  <w:t>个工作日内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lang w:val="en-US" w:eastAsia="zh-CN"/>
        </w:rPr>
        <w:t>完成维修并恢复车辆正常行驶（除更换电瓶、电机特殊配件外的7日内完成）；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198" w:firstLineChars="0"/>
        <w:jc w:val="both"/>
        <w:textAlignment w:val="auto"/>
        <w:outlineLvl w:val="9"/>
        <w:rPr>
          <w:rFonts w:hint="eastAsia"/>
          <w:color w:val="auto"/>
          <w:lang w:eastAsia="zh-CN"/>
        </w:rPr>
      </w:pPr>
      <w:r>
        <w:rPr>
          <w:rFonts w:hint="eastAsia" w:ascii="宋体" w:hAnsi="宋体" w:eastAsia="宋体" w:cs="宋体"/>
          <w:color w:val="auto"/>
          <w:sz w:val="30"/>
          <w:szCs w:val="30"/>
          <w:highlight w:val="none"/>
        </w:rPr>
        <w:t>（2）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u w:val="none"/>
          <w:lang w:val="en-US" w:eastAsia="zh-CN"/>
        </w:rPr>
        <w:t>维保配件内的蓄电池保修期为1年, 轮胎保修期为3月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u w:val="none"/>
          <w:lang w:val="en-US" w:eastAsia="zh-CN"/>
        </w:rPr>
        <w:t>,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u w:val="none"/>
          <w:lang w:val="en-US" w:eastAsia="zh-CN"/>
        </w:rPr>
        <w:t>其他部件保修期为1月（除补胎及拖车无质保期）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lang w:val="en-US" w:eastAsia="zh-CN"/>
        </w:rPr>
        <w:t>；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u w:val="none"/>
          <w:lang w:eastAsia="zh-CN"/>
        </w:rPr>
        <w:t>不在清单范围内的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u w:val="none"/>
        </w:rPr>
        <w:t>配件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u w:val="none"/>
          <w:lang w:eastAsia="zh-CN"/>
        </w:rPr>
        <w:t>，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u w:val="none"/>
          <w:lang w:val="en-US" w:eastAsia="zh-CN"/>
        </w:rPr>
        <w:t>由承包方向发包方提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u w:val="none"/>
          <w:lang w:eastAsia="zh-CN"/>
        </w:rPr>
        <w:t>供该配件价格不得高于同类配件价格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u w:val="none"/>
          <w:lang w:val="en-US" w:eastAsia="zh-CN"/>
        </w:rPr>
        <w:t>,发包方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u w:val="none"/>
          <w:lang w:eastAsia="zh-CN"/>
        </w:rPr>
        <w:t>对该配件价格进行市场询价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u w:val="none"/>
          <w:lang w:eastAsia="zh-CN"/>
        </w:rPr>
        <w:t>后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u w:val="none"/>
          <w:lang w:val="en-US" w:eastAsia="zh-CN"/>
        </w:rPr>
        <w:t>,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u w:val="none"/>
          <w:lang w:eastAsia="zh-CN"/>
        </w:rPr>
        <w:t>确保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u w:val="none"/>
          <w:lang w:val="en-US" w:eastAsia="zh-CN"/>
        </w:rPr>
        <w:t>结算时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u w:val="none"/>
          <w:lang w:eastAsia="zh-CN"/>
        </w:rPr>
        <w:t>配件价格的可行性和真实性。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198" w:firstLineChars="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30"/>
          <w:szCs w:val="30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30"/>
          <w:szCs w:val="30"/>
          <w:highlight w:val="none"/>
        </w:rPr>
        <w:t>（3）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lang w:eastAsia="zh-CN"/>
        </w:rPr>
        <w:t>一般维修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/>
        </w:rPr>
        <w:t>承包方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lang w:eastAsia="zh-CN"/>
        </w:rPr>
        <w:t>提供上门服务，特殊维修需要到维修点的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/>
        </w:rPr>
        <w:t>承包方须与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  <w:t>发包方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eastAsia="zh-CN"/>
        </w:rPr>
        <w:t>协商后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lang w:val="en-US" w:eastAsia="zh-CN"/>
        </w:rPr>
        <w:t>经同意情况下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lang w:eastAsia="zh-CN"/>
        </w:rPr>
        <w:t>再开展。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198" w:firstLineChars="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sz w:val="30"/>
          <w:szCs w:val="30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0"/>
          <w:szCs w:val="30"/>
          <w:highlight w:val="none"/>
          <w:lang w:eastAsia="zh-CN"/>
        </w:rPr>
        <w:t>四、结算方式及要求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0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30"/>
          <w:szCs w:val="30"/>
          <w:highlight w:val="none"/>
        </w:rPr>
      </w:pP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lang w:eastAsia="zh-CN"/>
        </w:rPr>
        <w:t>维修服务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</w:rPr>
        <w:t>费用采取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lang w:val="en-US" w:eastAsia="zh-CN"/>
        </w:rPr>
        <w:t>6个月一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</w:rPr>
        <w:t>结算的方式，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/>
        </w:rPr>
        <w:t>承包方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</w:rPr>
        <w:t>应根据所产生的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lang w:eastAsia="zh-CN"/>
        </w:rPr>
        <w:t>维修项目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</w:rPr>
        <w:t>费用开据真实有效的增值税专用发票，并附上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lang w:eastAsia="zh-CN"/>
        </w:rPr>
        <w:t>双方签字确认后的维修项目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</w:rPr>
        <w:t>清单，在20日前交至相关业务部门。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default" w:ascii="宋体" w:hAnsi="宋体" w:eastAsia="宋体" w:cs="宋体"/>
          <w:color w:val="auto"/>
          <w:sz w:val="30"/>
          <w:szCs w:val="30"/>
          <w:highlight w:val="none"/>
          <w:lang w:val="en-US" w:eastAsia="zh-CN"/>
        </w:rPr>
      </w:pPr>
    </w:p>
    <w:sectPr>
      <w:pgSz w:w="11906" w:h="16838"/>
      <w:pgMar w:top="1361" w:right="1800" w:bottom="1361" w:left="1800" w:header="851" w:footer="992" w:gutter="0"/>
      <w:pgNumType w:fmt="decimal"/>
      <w:cols w:equalWidth="0" w:num="1">
        <w:col w:w="8306"/>
      </w:cols>
      <w:rtlGutter w:val="0"/>
      <w:docGrid w:type="lines" w:linePitch="313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algun Gothic">
    <w:panose1 w:val="020B0503020000020004"/>
    <w:charset w:val="81"/>
    <w:family w:val="auto"/>
    <w:pitch w:val="default"/>
    <w:sig w:usb0="900002AF" w:usb1="01D77CFB" w:usb2="00000012" w:usb3="00000000" w:csb0="0008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35B80B1"/>
    <w:multiLevelType w:val="singleLevel"/>
    <w:tmpl w:val="935B80B1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8"/>
  <w:displayHorizontalDrawingGridEvery w:val="1"/>
  <w:displayVerticalDrawingGridEvery w:val="1"/>
  <w:noPunctuationKerning w:val="1"/>
  <w:characterSpacingControl w:val="compressPunctuation"/>
  <w:compat>
    <w:balanceSingleByteDoubleByteWidth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</w:compat>
  <w:rsids>
    <w:rsidRoot w:val="00000000"/>
    <w:rsid w:val="027557A0"/>
    <w:rsid w:val="033049EB"/>
    <w:rsid w:val="07AF2B02"/>
    <w:rsid w:val="09994AE8"/>
    <w:rsid w:val="0B3F76DB"/>
    <w:rsid w:val="0B634133"/>
    <w:rsid w:val="0BBD30A1"/>
    <w:rsid w:val="0C980C79"/>
    <w:rsid w:val="0ED57022"/>
    <w:rsid w:val="11D72E22"/>
    <w:rsid w:val="11F83CB3"/>
    <w:rsid w:val="12033F6D"/>
    <w:rsid w:val="14315C40"/>
    <w:rsid w:val="14350613"/>
    <w:rsid w:val="15FA7F2A"/>
    <w:rsid w:val="17175115"/>
    <w:rsid w:val="18053E9B"/>
    <w:rsid w:val="187B0AA8"/>
    <w:rsid w:val="18C75412"/>
    <w:rsid w:val="19035C35"/>
    <w:rsid w:val="192F382A"/>
    <w:rsid w:val="194B3EA7"/>
    <w:rsid w:val="19C60260"/>
    <w:rsid w:val="1B370B28"/>
    <w:rsid w:val="1D7B0B21"/>
    <w:rsid w:val="1DBB555A"/>
    <w:rsid w:val="1F4D4859"/>
    <w:rsid w:val="1F733985"/>
    <w:rsid w:val="2139193D"/>
    <w:rsid w:val="21FC7404"/>
    <w:rsid w:val="2230124A"/>
    <w:rsid w:val="223C2555"/>
    <w:rsid w:val="25AF17F9"/>
    <w:rsid w:val="28247FE9"/>
    <w:rsid w:val="28D711BA"/>
    <w:rsid w:val="2A0964EF"/>
    <w:rsid w:val="2C6B402B"/>
    <w:rsid w:val="2C892097"/>
    <w:rsid w:val="2D0E65C2"/>
    <w:rsid w:val="2D87075A"/>
    <w:rsid w:val="2F161037"/>
    <w:rsid w:val="300F489A"/>
    <w:rsid w:val="30326A7F"/>
    <w:rsid w:val="30BE6415"/>
    <w:rsid w:val="30ED0E39"/>
    <w:rsid w:val="31D037A6"/>
    <w:rsid w:val="32BE4CDA"/>
    <w:rsid w:val="36545D30"/>
    <w:rsid w:val="37370420"/>
    <w:rsid w:val="3793297C"/>
    <w:rsid w:val="391C2CB4"/>
    <w:rsid w:val="39A10A48"/>
    <w:rsid w:val="3C451C55"/>
    <w:rsid w:val="3C6714C7"/>
    <w:rsid w:val="3F5C143D"/>
    <w:rsid w:val="419971C6"/>
    <w:rsid w:val="452E382C"/>
    <w:rsid w:val="46642CFD"/>
    <w:rsid w:val="473406F8"/>
    <w:rsid w:val="478B372F"/>
    <w:rsid w:val="47DF728F"/>
    <w:rsid w:val="47E93AF0"/>
    <w:rsid w:val="495F3A38"/>
    <w:rsid w:val="49DA064E"/>
    <w:rsid w:val="4A090F16"/>
    <w:rsid w:val="4C652A22"/>
    <w:rsid w:val="4CC34963"/>
    <w:rsid w:val="4DC33DEE"/>
    <w:rsid w:val="4F270048"/>
    <w:rsid w:val="4F5F3838"/>
    <w:rsid w:val="4FA72B55"/>
    <w:rsid w:val="50C55BB7"/>
    <w:rsid w:val="50E63EA0"/>
    <w:rsid w:val="51A33210"/>
    <w:rsid w:val="52650F7F"/>
    <w:rsid w:val="56272680"/>
    <w:rsid w:val="56761507"/>
    <w:rsid w:val="570F1F60"/>
    <w:rsid w:val="57C151CC"/>
    <w:rsid w:val="5825438E"/>
    <w:rsid w:val="59520C56"/>
    <w:rsid w:val="5A195BB2"/>
    <w:rsid w:val="5EED0CA7"/>
    <w:rsid w:val="5EF7153A"/>
    <w:rsid w:val="5F790A0F"/>
    <w:rsid w:val="60D739B9"/>
    <w:rsid w:val="61313860"/>
    <w:rsid w:val="61527419"/>
    <w:rsid w:val="61D274A2"/>
    <w:rsid w:val="63234BC6"/>
    <w:rsid w:val="633B07D5"/>
    <w:rsid w:val="638B01BC"/>
    <w:rsid w:val="64AE654E"/>
    <w:rsid w:val="65291F1B"/>
    <w:rsid w:val="66736B4B"/>
    <w:rsid w:val="675D7CA3"/>
    <w:rsid w:val="680A4FA1"/>
    <w:rsid w:val="69875BF2"/>
    <w:rsid w:val="6AAD581F"/>
    <w:rsid w:val="6C733904"/>
    <w:rsid w:val="6DCE5CE8"/>
    <w:rsid w:val="6E2D5498"/>
    <w:rsid w:val="700108A1"/>
    <w:rsid w:val="704E2AD4"/>
    <w:rsid w:val="7145122B"/>
    <w:rsid w:val="718C1FC4"/>
    <w:rsid w:val="72A21FA5"/>
    <w:rsid w:val="740C5041"/>
    <w:rsid w:val="74204548"/>
    <w:rsid w:val="77814D34"/>
    <w:rsid w:val="781F0A04"/>
    <w:rsid w:val="79625C4E"/>
    <w:rsid w:val="79E16DFA"/>
    <w:rsid w:val="7A170874"/>
    <w:rsid w:val="7A502F71"/>
    <w:rsid w:val="7BE44D9C"/>
    <w:rsid w:val="7C2E1376"/>
    <w:rsid w:val="7CB526D8"/>
    <w:rsid w:val="7ED30EE8"/>
    <w:rsid w:val="7EF24D9A"/>
  </w:rsids>
  <m:mathPr>
    <m:brkBin m:val="before"/>
    <m:brkBinSub m:val="--"/>
    <m:smallFrac m:val="1"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152" w:semiHidden="0" w:name="header"/>
    <w:lsdException w:qFormat="1" w:uiPriority="151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2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3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1"/>
    <w:pPr>
      <w:jc w:val="both"/>
    </w:pPr>
    <w:rPr>
      <w:rFonts w:asciiTheme="minorHAnsi" w:hAnsiTheme="minorHAnsi" w:eastAsiaTheme="minorEastAsia" w:cstheme="minorBidi"/>
      <w:sz w:val="21"/>
      <w:szCs w:val="21"/>
      <w:lang w:val="en-US" w:eastAsia="zh-CN" w:bidi="ar-SA"/>
    </w:rPr>
  </w:style>
  <w:style w:type="character" w:default="1" w:styleId="6">
    <w:name w:val="Default Paragraph Font"/>
    <w:unhideWhenUsed/>
    <w:qFormat/>
    <w:uiPriority w:val="2"/>
  </w:style>
  <w:style w:type="table" w:default="1" w:styleId="5">
    <w:name w:val="Normal Table"/>
    <w:unhideWhenUsed/>
    <w:qFormat/>
    <w:uiPriority w:val="3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styleId="3">
    <w:name w:val="footer"/>
    <w:basedOn w:val="1"/>
    <w:link w:val="9"/>
    <w:unhideWhenUsed/>
    <w:qFormat/>
    <w:uiPriority w:val="15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152"/>
    <w:pPr>
      <w:pBdr>
        <w:bottom w:val="single" w:color="000000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7">
    <w:name w:val="列出段落1"/>
    <w:basedOn w:val="1"/>
    <w:qFormat/>
    <w:uiPriority w:val="153"/>
    <w:pPr>
      <w:ind w:firstLine="200"/>
    </w:pPr>
  </w:style>
  <w:style w:type="character" w:customStyle="1" w:styleId="8">
    <w:name w:val="页眉 Char"/>
    <w:basedOn w:val="6"/>
    <w:link w:val="4"/>
    <w:qFormat/>
    <w:uiPriority w:val="154"/>
    <w:rPr>
      <w:sz w:val="18"/>
      <w:szCs w:val="18"/>
    </w:rPr>
  </w:style>
  <w:style w:type="character" w:customStyle="1" w:styleId="9">
    <w:name w:val="页脚 Char"/>
    <w:basedOn w:val="6"/>
    <w:link w:val="3"/>
    <w:qFormat/>
    <w:uiPriority w:val="155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87</Words>
  <Characters>0</Characters>
  <Lines>4</Lines>
  <Paragraphs>1</Paragraphs>
  <TotalTime>14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2020-03-18T01:37:00Z</dcterms:created>
  <dc:creator>严燕群</dc:creator>
  <cp:lastModifiedBy>颜民满</cp:lastModifiedBy>
  <dcterms:modified xsi:type="dcterms:W3CDTF">2024-04-01T07:21:38Z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CCBF6C125CEE4AD39183A4D90B6241B9</vt:lpwstr>
  </property>
</Properties>
</file>