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312" w:afterLines="100"/>
        <w:jc w:val="left"/>
        <w:rPr>
          <w:rFonts w:ascii="黑体" w:hAnsi="黑体" w:eastAsia="黑体"/>
          <w:sz w:val="32"/>
        </w:rPr>
      </w:pPr>
      <w:r>
        <w:rPr>
          <w:rFonts w:hint="eastAsia" w:ascii="黑体" w:hAnsi="黑体" w:eastAsia="黑体"/>
          <w:sz w:val="24"/>
        </w:rPr>
        <w:t xml:space="preserve">附表2                             </w:t>
      </w:r>
      <w:r>
        <w:rPr>
          <w:rFonts w:hint="eastAsia" w:ascii="黑体" w:hAnsi="黑体" w:eastAsia="黑体" w:cs="黑体"/>
          <w:sz w:val="24"/>
        </w:rPr>
        <w:t xml:space="preserve"> 南方电网调峰调频发电有限公司运行分公司零星采购询价函</w:t>
      </w:r>
    </w:p>
    <w:p>
      <w:pPr>
        <w:rPr>
          <w:rFonts w:hAnsi="宋体"/>
          <w:b/>
        </w:rPr>
      </w:pPr>
      <w:r>
        <w:rPr>
          <w:rFonts w:hAnsi="宋体"/>
          <w:b/>
        </w:rPr>
        <w:t>物资或项目名称：</w:t>
      </w:r>
      <w:r>
        <w:rPr>
          <w:rFonts w:hint="eastAsia" w:hAnsi="宋体" w:eastAsia="宋体"/>
          <w:b/>
          <w:lang w:val="en-US" w:eastAsia="zh-CN"/>
        </w:rPr>
        <w:t>运行公司2024年工器具及仪器仪表补充试验检验技术服务</w:t>
      </w:r>
    </w:p>
    <w:p>
      <w:pPr>
        <w:rPr>
          <w:rFonts w:hint="default" w:hAnsi="宋体" w:eastAsia="宋体"/>
          <w:b/>
          <w:lang w:val="en-US" w:eastAsia="zh-CN"/>
        </w:rPr>
      </w:pPr>
      <w:r>
        <w:rPr>
          <w:rFonts w:hAnsi="宋体"/>
          <w:b/>
        </w:rPr>
        <w:t>截止报价时间：</w:t>
      </w:r>
      <w:r>
        <w:rPr>
          <w:rFonts w:hint="eastAsia" w:hAnsi="宋体" w:eastAsia="宋体"/>
          <w:b/>
          <w:lang w:val="en-US" w:eastAsia="zh-CN"/>
        </w:rPr>
        <w:t>以平台截止报价时间为准</w:t>
      </w:r>
    </w:p>
    <w:tbl>
      <w:tblPr>
        <w:tblStyle w:val="6"/>
        <w:tblW w:w="4992"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Layout w:type="fixed"/>
        <w:tblCellMar>
          <w:top w:w="0" w:type="dxa"/>
          <w:left w:w="108" w:type="dxa"/>
          <w:bottom w:w="0" w:type="dxa"/>
          <w:right w:w="108" w:type="dxa"/>
        </w:tblCellMar>
      </w:tblPr>
      <w:tblGrid>
        <w:gridCol w:w="503"/>
        <w:gridCol w:w="1213"/>
        <w:gridCol w:w="3012"/>
        <w:gridCol w:w="1158"/>
        <w:gridCol w:w="1117"/>
        <w:gridCol w:w="1103"/>
        <w:gridCol w:w="1103"/>
        <w:gridCol w:w="1103"/>
        <w:gridCol w:w="985"/>
        <w:gridCol w:w="985"/>
        <w:gridCol w:w="1103"/>
        <w:gridCol w:w="1103"/>
        <w:gridCol w:w="110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395" w:hRule="atLeast"/>
          <w:jc w:val="center"/>
        </w:trPr>
        <w:tc>
          <w:tcPr>
            <w:tcW w:w="1716" w:type="dxa"/>
            <w:gridSpan w:val="2"/>
            <w:tcBorders>
              <w:top w:val="single" w:color="auto" w:sz="8" w:space="0"/>
              <w:left w:val="single" w:color="auto" w:sz="8" w:space="0"/>
              <w:bottom w:val="single" w:color="auto" w:sz="8" w:space="0"/>
              <w:right w:val="single" w:color="auto" w:sz="4" w:space="0"/>
              <w:tl2br w:val="nil"/>
              <w:tr2bl w:val="nil"/>
            </w:tcBorders>
            <w:shd w:val="clear" w:color="auto" w:fill="FFFFFF" w:themeFill="background1"/>
            <w:vAlign w:val="center"/>
          </w:tcPr>
          <w:p>
            <w:pPr>
              <w:jc w:val="center"/>
              <w:rPr>
                <w:rFonts w:hAnsi="宋体"/>
                <w:sz w:val="18"/>
              </w:rPr>
            </w:pPr>
            <w:r>
              <w:rPr>
                <w:rFonts w:hAnsi="宋体"/>
                <w:sz w:val="18"/>
              </w:rPr>
              <w:t>采购单位</w:t>
            </w:r>
          </w:p>
        </w:tc>
        <w:tc>
          <w:tcPr>
            <w:tcW w:w="4170" w:type="dxa"/>
            <w:gridSpan w:val="2"/>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ascii="宋体" w:hAnsi="宋体" w:eastAsia="宋体"/>
                <w:sz w:val="18"/>
              </w:rPr>
            </w:pPr>
            <w:r>
              <w:rPr>
                <w:rFonts w:hint="eastAsia" w:ascii="宋体" w:hAnsi="宋体" w:eastAsia="宋体"/>
                <w:sz w:val="18"/>
              </w:rPr>
              <w:t>南方电网调峰调频发电有限公司运行分公司</w:t>
            </w: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Ansi="宋体"/>
                <w:sz w:val="18"/>
              </w:rPr>
            </w:pPr>
            <w:r>
              <w:rPr>
                <w:rFonts w:hAnsi="宋体"/>
                <w:sz w:val="18"/>
              </w:rPr>
              <w:t>询价时间</w:t>
            </w:r>
          </w:p>
        </w:tc>
        <w:tc>
          <w:tcPr>
            <w:tcW w:w="2206" w:type="dxa"/>
            <w:gridSpan w:val="2"/>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hAnsi="宋体" w:eastAsia="宋体"/>
                <w:sz w:val="18"/>
                <w:lang w:val="en-US" w:eastAsia="zh-CN"/>
              </w:rPr>
            </w:pPr>
            <w:r>
              <w:rPr>
                <w:rFonts w:hint="eastAsia" w:hAnsi="宋体" w:eastAsia="宋体"/>
                <w:sz w:val="18"/>
                <w:lang w:val="en-US" w:eastAsia="zh-CN"/>
              </w:rPr>
              <w:t>/</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Ansi="宋体"/>
                <w:sz w:val="18"/>
              </w:rPr>
            </w:pPr>
            <w:r>
              <w:rPr>
                <w:rFonts w:hAnsi="宋体"/>
                <w:sz w:val="18"/>
              </w:rPr>
              <w:t>询价联系人</w:t>
            </w:r>
          </w:p>
        </w:tc>
        <w:tc>
          <w:tcPr>
            <w:tcW w:w="1970" w:type="dxa"/>
            <w:gridSpan w:val="2"/>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hAnsi="宋体" w:eastAsia="宋体"/>
                <w:sz w:val="18"/>
                <w:lang w:val="en-US" w:eastAsia="zh-CN"/>
              </w:rPr>
            </w:pPr>
            <w:r>
              <w:rPr>
                <w:rFonts w:hint="eastAsia" w:hAnsi="宋体" w:eastAsia="宋体"/>
                <w:sz w:val="18"/>
                <w:lang w:val="en-US" w:eastAsia="zh-CN"/>
              </w:rPr>
              <w:t>/</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Ansi="宋体"/>
                <w:sz w:val="18"/>
              </w:rPr>
            </w:pPr>
            <w:r>
              <w:rPr>
                <w:rFonts w:hAnsi="宋体"/>
                <w:sz w:val="18"/>
              </w:rPr>
              <w:t>联系方式</w:t>
            </w:r>
          </w:p>
        </w:tc>
        <w:tc>
          <w:tcPr>
            <w:tcW w:w="2206" w:type="dxa"/>
            <w:gridSpan w:val="2"/>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hAnsi="宋体" w:eastAsia="宋体"/>
                <w:sz w:val="18"/>
                <w:lang w:val="en-US" w:eastAsia="zh-CN"/>
              </w:rPr>
            </w:pPr>
            <w:r>
              <w:rPr>
                <w:rFonts w:hint="eastAsia" w:hAnsi="宋体" w:eastAsia="宋体"/>
                <w:sz w:val="18"/>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510" w:hRule="atLeast"/>
          <w:jc w:val="center"/>
        </w:trPr>
        <w:tc>
          <w:tcPr>
            <w:tcW w:w="1716" w:type="dxa"/>
            <w:gridSpan w:val="2"/>
            <w:tcBorders>
              <w:top w:val="single" w:color="auto" w:sz="8" w:space="0"/>
              <w:left w:val="single" w:color="auto" w:sz="8" w:space="0"/>
              <w:bottom w:val="single" w:color="auto" w:sz="8" w:space="0"/>
              <w:right w:val="single" w:color="auto" w:sz="4" w:space="0"/>
              <w:tl2br w:val="nil"/>
              <w:tr2bl w:val="nil"/>
            </w:tcBorders>
            <w:shd w:val="clear" w:color="auto" w:fill="auto"/>
            <w:vAlign w:val="center"/>
          </w:tcPr>
          <w:p>
            <w:pPr>
              <w:jc w:val="center"/>
              <w:rPr>
                <w:rFonts w:hAnsi="宋体"/>
                <w:sz w:val="18"/>
              </w:rPr>
            </w:pPr>
            <w:r>
              <w:rPr>
                <w:rFonts w:hAnsi="宋体"/>
                <w:sz w:val="18"/>
              </w:rPr>
              <w:t>报价单位</w:t>
            </w:r>
          </w:p>
        </w:tc>
        <w:tc>
          <w:tcPr>
            <w:tcW w:w="4170" w:type="dxa"/>
            <w:gridSpan w:val="2"/>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hAnsi="宋体"/>
                <w:sz w:val="18"/>
              </w:rPr>
            </w:pP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sz w:val="18"/>
              </w:rPr>
            </w:pPr>
            <w:r>
              <w:rPr>
                <w:rFonts w:hAnsi="宋体"/>
                <w:sz w:val="18"/>
              </w:rPr>
              <w:t>报价时间</w:t>
            </w:r>
          </w:p>
        </w:tc>
        <w:tc>
          <w:tcPr>
            <w:tcW w:w="2206" w:type="dxa"/>
            <w:gridSpan w:val="2"/>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hAnsi="宋体"/>
                <w:sz w:val="18"/>
              </w:rPr>
            </w:pPr>
            <w:bookmarkStart w:id="0" w:name="_GoBack"/>
            <w:bookmarkEnd w:id="0"/>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sz w:val="18"/>
              </w:rPr>
            </w:pPr>
            <w:r>
              <w:rPr>
                <w:rFonts w:hAnsi="宋体"/>
                <w:sz w:val="18"/>
              </w:rPr>
              <w:t>报价联系人</w:t>
            </w:r>
          </w:p>
        </w:tc>
        <w:tc>
          <w:tcPr>
            <w:tcW w:w="1970" w:type="dxa"/>
            <w:gridSpan w:val="2"/>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sz w:val="18"/>
              </w:rPr>
            </w:pPr>
            <w:r>
              <w:rPr>
                <w:rFonts w:hAnsi="宋体"/>
                <w:sz w:val="18"/>
              </w:rPr>
              <w:t>联系方式</w:t>
            </w:r>
          </w:p>
        </w:tc>
        <w:tc>
          <w:tcPr>
            <w:tcW w:w="2206" w:type="dxa"/>
            <w:gridSpan w:val="2"/>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hAnsi="宋体"/>
                <w:sz w:val="1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397" w:hRule="atLeast"/>
          <w:jc w:val="center"/>
        </w:trPr>
        <w:tc>
          <w:tcPr>
            <w:tcW w:w="5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rPr>
                <w:rFonts w:hAnsi="宋体"/>
                <w:b/>
                <w:sz w:val="18"/>
              </w:rPr>
            </w:pPr>
            <w:r>
              <w:rPr>
                <w:rFonts w:hAnsi="宋体"/>
                <w:b/>
                <w:sz w:val="18"/>
              </w:rPr>
              <w:t>序号</w:t>
            </w:r>
          </w:p>
        </w:tc>
        <w:tc>
          <w:tcPr>
            <w:tcW w:w="121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Ansi="宋体"/>
                <w:b/>
                <w:sz w:val="18"/>
              </w:rPr>
            </w:pPr>
            <w:r>
              <w:rPr>
                <w:rFonts w:hAnsi="宋体"/>
                <w:b/>
                <w:sz w:val="18"/>
              </w:rPr>
              <w:t>名称</w:t>
            </w:r>
          </w:p>
        </w:tc>
        <w:tc>
          <w:tcPr>
            <w:tcW w:w="3012"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Ansi="宋体"/>
                <w:b/>
                <w:sz w:val="18"/>
              </w:rPr>
            </w:pPr>
            <w:r>
              <w:rPr>
                <w:rFonts w:hAnsi="宋体"/>
                <w:b/>
                <w:sz w:val="18"/>
              </w:rPr>
              <w:t>规格型号/项目特征</w:t>
            </w:r>
          </w:p>
        </w:tc>
        <w:tc>
          <w:tcPr>
            <w:tcW w:w="1158"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Ansi="宋体"/>
                <w:b/>
                <w:sz w:val="18"/>
              </w:rPr>
            </w:pPr>
            <w:r>
              <w:rPr>
                <w:rFonts w:hAnsi="宋体"/>
                <w:b/>
                <w:sz w:val="18"/>
              </w:rPr>
              <w:t>供货期/工期要求</w:t>
            </w: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Ansi="宋体"/>
                <w:b/>
                <w:sz w:val="18"/>
              </w:rPr>
            </w:pPr>
            <w:r>
              <w:rPr>
                <w:rFonts w:hAnsi="宋体"/>
                <w:b/>
                <w:sz w:val="18"/>
              </w:rPr>
              <w:t>送货地点/施工地点</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default" w:hAnsi="宋体" w:eastAsia="宋体"/>
                <w:b/>
                <w:sz w:val="18"/>
                <w:lang w:val="en-US" w:eastAsia="zh-CN"/>
              </w:rPr>
            </w:pPr>
            <w:r>
              <w:rPr>
                <w:rFonts w:hint="eastAsia" w:hAnsi="宋体" w:eastAsia="宋体"/>
                <w:b/>
                <w:sz w:val="18"/>
                <w:lang w:val="en-US" w:eastAsia="zh-CN"/>
              </w:rPr>
              <w:t>单价（元）</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b/>
                <w:sz w:val="18"/>
              </w:rPr>
            </w:pPr>
            <w:r>
              <w:rPr>
                <w:rFonts w:hint="eastAsia" w:hAnsi="宋体" w:eastAsia="宋体"/>
                <w:b/>
                <w:sz w:val="18"/>
                <w:lang w:val="en-US" w:eastAsia="zh-CN"/>
              </w:rPr>
              <w:t>单位税额</w:t>
            </w:r>
            <w:r>
              <w:rPr>
                <w:rFonts w:hAnsi="宋体"/>
                <w:b/>
                <w:sz w:val="18"/>
              </w:rPr>
              <w:t>（元）</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eastAsia="宋体"/>
                <w:b/>
                <w:sz w:val="18"/>
              </w:rPr>
            </w:pPr>
            <w:r>
              <w:rPr>
                <w:rFonts w:hint="eastAsia" w:ascii="宋体" w:hAnsi="宋体" w:eastAsia="宋体" w:cs="宋体"/>
                <w:b/>
                <w:sz w:val="18"/>
              </w:rPr>
              <w:t>含税</w:t>
            </w:r>
            <w:r>
              <w:rPr>
                <w:rFonts w:hint="eastAsia" w:hAnsi="宋体" w:eastAsia="宋体"/>
                <w:b/>
                <w:sz w:val="18"/>
                <w:lang w:val="en-US" w:eastAsia="zh-CN"/>
              </w:rPr>
              <w:t>单价</w:t>
            </w:r>
            <w:r>
              <w:rPr>
                <w:rFonts w:hAnsi="宋体"/>
                <w:b/>
                <w:sz w:val="18"/>
              </w:rPr>
              <w:t>（元）</w:t>
            </w: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eastAsia" w:hAnsi="宋体" w:eastAsia="宋体"/>
                <w:b/>
                <w:sz w:val="18"/>
                <w:lang w:eastAsia="zh-CN"/>
              </w:rPr>
            </w:pPr>
            <w:r>
              <w:rPr>
                <w:rFonts w:hint="eastAsia" w:ascii="宋体" w:hAnsi="宋体" w:eastAsia="宋体" w:cs="宋体"/>
                <w:b/>
                <w:sz w:val="18"/>
                <w:lang w:val="en-US" w:eastAsia="zh-CN"/>
              </w:rPr>
              <w:t>数量</w:t>
            </w: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eastAsia" w:hAnsi="宋体" w:eastAsia="宋体"/>
                <w:b/>
                <w:sz w:val="18"/>
                <w:lang w:eastAsia="zh-CN"/>
              </w:rPr>
            </w:pPr>
            <w:r>
              <w:rPr>
                <w:rFonts w:hint="eastAsia" w:hAnsi="宋体" w:eastAsia="宋体"/>
                <w:b/>
                <w:sz w:val="18"/>
                <w:lang w:val="en-US" w:eastAsia="zh-CN"/>
              </w:rPr>
              <w:t>单位</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b/>
                <w:sz w:val="18"/>
              </w:rPr>
            </w:pPr>
            <w:r>
              <w:rPr>
                <w:rFonts w:hint="eastAsia" w:hAnsi="宋体" w:eastAsia="宋体"/>
                <w:b/>
                <w:sz w:val="18"/>
                <w:lang w:val="en-US" w:eastAsia="zh-CN"/>
              </w:rPr>
              <w:t>金额</w:t>
            </w:r>
            <w:r>
              <w:rPr>
                <w:rFonts w:hAnsi="宋体"/>
                <w:b/>
                <w:sz w:val="18"/>
              </w:rPr>
              <w:t>（元）</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Ansi="宋体"/>
                <w:b/>
                <w:sz w:val="18"/>
              </w:rPr>
            </w:pPr>
            <w:r>
              <w:rPr>
                <w:rFonts w:hint="eastAsia" w:hAnsi="宋体" w:eastAsia="宋体"/>
                <w:b/>
                <w:sz w:val="18"/>
                <w:lang w:val="en-US" w:eastAsia="zh-CN"/>
              </w:rPr>
              <w:t>税额</w:t>
            </w:r>
            <w:r>
              <w:rPr>
                <w:rFonts w:hAnsi="宋体"/>
                <w:b/>
                <w:sz w:val="18"/>
              </w:rPr>
              <w:t>（元）</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default" w:hAnsi="宋体" w:eastAsia="宋体"/>
                <w:b/>
                <w:sz w:val="18"/>
                <w:lang w:val="en-US" w:eastAsia="zh-CN"/>
              </w:rPr>
            </w:pPr>
            <w:r>
              <w:rPr>
                <w:rFonts w:hint="eastAsia" w:hAnsi="宋体" w:eastAsia="宋体"/>
                <w:b/>
                <w:sz w:val="18"/>
                <w:lang w:val="en-US" w:eastAsia="zh-CN"/>
              </w:rPr>
              <w:t>含税总价</w:t>
            </w:r>
            <w:r>
              <w:rPr>
                <w:rFonts w:hAnsi="宋体"/>
                <w:b/>
                <w:sz w:val="18"/>
              </w:rPr>
              <w:t>（元）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624" w:hRule="atLeast"/>
          <w:jc w:val="center"/>
        </w:trPr>
        <w:tc>
          <w:tcPr>
            <w:tcW w:w="5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Ansi="宋体" w:eastAsia="宋体"/>
                <w:sz w:val="18"/>
              </w:rPr>
            </w:pPr>
            <w:r>
              <w:rPr>
                <w:rFonts w:hint="eastAsia" w:ascii="宋体" w:hAnsi="宋体" w:eastAsia="宋体" w:cs="宋体"/>
                <w:color w:val="000000"/>
                <w:kern w:val="0"/>
                <w:sz w:val="18"/>
                <w:szCs w:val="18"/>
                <w:lang w:bidi="ar"/>
              </w:rPr>
              <w:t>1</w:t>
            </w:r>
          </w:p>
        </w:tc>
        <w:tc>
          <w:tcPr>
            <w:tcW w:w="121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left"/>
              <w:textAlignment w:val="center"/>
              <w:rPr>
                <w:rFonts w:hint="default" w:ascii="宋体" w:hAnsi="宋体" w:eastAsia="宋体" w:cs="宋体"/>
                <w:b/>
                <w:color w:val="000000"/>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0.4kV接地线周期性检验</w:t>
            </w:r>
          </w:p>
        </w:tc>
        <w:tc>
          <w:tcPr>
            <w:tcW w:w="3012"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center"/>
              <w:textAlignment w:val="center"/>
              <w:rPr>
                <w:rFonts w:ascii="宋体" w:hAnsi="宋体" w:eastAsia="宋体" w:cs="宋体"/>
                <w:color w:val="000000"/>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400V，4*1.5+12m，弹簧夹头型</w:t>
            </w:r>
          </w:p>
        </w:tc>
        <w:tc>
          <w:tcPr>
            <w:tcW w:w="1158"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Times New Roman" w:cs="Times New Roman"/>
                <w:kern w:val="2"/>
                <w:sz w:val="18"/>
                <w:lang w:val="en-US" w:eastAsia="zh-CN" w:bidi="ar-SA"/>
              </w:rPr>
            </w:pPr>
            <w:r>
              <w:rPr>
                <w:rFonts w:hint="eastAsia" w:hAnsi="宋体" w:eastAsia="宋体"/>
                <w:sz w:val="18"/>
                <w:lang w:val="en-US" w:eastAsia="zh-CN"/>
              </w:rPr>
              <w:t>2024-05-30</w:t>
            </w: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广州番禺</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宋体" w:hAnsi="宋体" w:eastAsia="宋体" w:cs="宋体"/>
                <w:color w:val="000000"/>
                <w:kern w:val="2"/>
                <w:sz w:val="20"/>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ascii="宋体" w:hAnsi="宋体" w:eastAsia="宋体" w:cs="宋体"/>
                <w:color w:val="000000"/>
                <w:kern w:val="2"/>
                <w:sz w:val="18"/>
                <w:szCs w:val="18"/>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Times New Roman" w:hAnsi="宋体" w:eastAsia="Times New Roman" w:cs="Times New Roman"/>
                <w:b/>
                <w:bCs/>
                <w:kern w:val="2"/>
                <w:sz w:val="18"/>
                <w:lang w:val="en-US" w:eastAsia="zh-CN" w:bidi="ar-SA"/>
              </w:rPr>
            </w:pP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宋体" w:eastAsia="宋体" w:cs="Times New Roman"/>
                <w:kern w:val="2"/>
                <w:sz w:val="18"/>
                <w:szCs w:val="18"/>
                <w:lang w:val="en-US" w:eastAsia="zh-CN" w:bidi="ar-SA"/>
              </w:rPr>
            </w:pPr>
            <w:r>
              <w:rPr>
                <w:rFonts w:hint="eastAsia" w:hAnsi="宋体" w:eastAsia="宋体"/>
                <w:sz w:val="18"/>
                <w:szCs w:val="18"/>
                <w:lang w:val="en-US" w:eastAsia="zh-CN"/>
              </w:rPr>
              <w:t>2</w:t>
            </w: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jc w:val="center"/>
              <w:rPr>
                <w:rFonts w:hint="eastAsia" w:ascii="Times New Roman" w:hAnsi="宋体" w:eastAsia="宋体" w:cs="Times New Roman"/>
                <w:kern w:val="2"/>
                <w:sz w:val="18"/>
                <w:lang w:val="en-US" w:eastAsia="zh-CN" w:bidi="ar-SA"/>
              </w:rPr>
            </w:pPr>
            <w:r>
              <w:rPr>
                <w:rFonts w:hint="eastAsia" w:hAnsi="宋体" w:eastAsia="宋体"/>
                <w:sz w:val="18"/>
                <w:lang w:val="en-US" w:eastAsia="zh-CN"/>
              </w:rPr>
              <w:t>组</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eastAsia="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eastAsia="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eastAsia="宋体"/>
                <w:sz w:val="1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479" w:hRule="atLeast"/>
          <w:jc w:val="center"/>
        </w:trPr>
        <w:tc>
          <w:tcPr>
            <w:tcW w:w="5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2</w:t>
            </w:r>
          </w:p>
        </w:tc>
        <w:tc>
          <w:tcPr>
            <w:tcW w:w="121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380V调压器周期性检验</w:t>
            </w:r>
          </w:p>
        </w:tc>
        <w:tc>
          <w:tcPr>
            <w:tcW w:w="3012"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3KVA，输入电压：380V±10％，输出电压：0-430V，连续可调，三相</w:t>
            </w:r>
          </w:p>
        </w:tc>
        <w:tc>
          <w:tcPr>
            <w:tcW w:w="1158"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2024-05-30</w:t>
            </w: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广州番禺</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宋体" w:hAnsi="宋体" w:eastAsia="宋体" w:cs="宋体"/>
                <w:color w:val="000000"/>
                <w:kern w:val="2"/>
                <w:sz w:val="20"/>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ascii="宋体" w:hAnsi="宋体" w:eastAsia="宋体" w:cs="宋体"/>
                <w:color w:val="000000"/>
                <w:kern w:val="2"/>
                <w:sz w:val="18"/>
                <w:szCs w:val="18"/>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Times New Roman" w:hAnsi="宋体" w:eastAsia="Times New Roman" w:cs="Times New Roman"/>
                <w:b/>
                <w:bCs/>
                <w:kern w:val="2"/>
                <w:sz w:val="18"/>
                <w:lang w:val="en-US" w:eastAsia="zh-CN" w:bidi="ar-SA"/>
              </w:rPr>
            </w:pP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宋体" w:eastAsia="宋体" w:cs="Times New Roman"/>
                <w:kern w:val="2"/>
                <w:sz w:val="18"/>
                <w:szCs w:val="18"/>
                <w:lang w:val="en-US" w:eastAsia="zh-CN" w:bidi="ar-SA"/>
              </w:rPr>
            </w:pPr>
            <w:r>
              <w:rPr>
                <w:rFonts w:hint="eastAsia" w:hAnsi="宋体" w:eastAsia="宋体"/>
                <w:sz w:val="18"/>
                <w:szCs w:val="18"/>
                <w:lang w:val="en-US" w:eastAsia="zh-CN"/>
              </w:rPr>
              <w:t>1</w:t>
            </w: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宋体" w:eastAsia="宋体" w:cs="Times New Roman"/>
                <w:kern w:val="2"/>
                <w:sz w:val="18"/>
                <w:lang w:val="en-US" w:eastAsia="zh-CN" w:bidi="ar-SA"/>
              </w:rPr>
            </w:pPr>
            <w:r>
              <w:rPr>
                <w:rFonts w:hint="eastAsia" w:hAnsi="宋体" w:eastAsia="宋体"/>
                <w:sz w:val="18"/>
                <w:lang w:val="en-US" w:eastAsia="zh-CN"/>
              </w:rPr>
              <w:t>台</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624" w:hRule="atLeast"/>
          <w:jc w:val="center"/>
        </w:trPr>
        <w:tc>
          <w:tcPr>
            <w:tcW w:w="5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textAlignment w:val="center"/>
              <w:rPr>
                <w:rFonts w:ascii="宋体" w:hAnsi="宋体" w:eastAsia="宋体" w:cs="宋体"/>
                <w:color w:val="000000"/>
                <w:kern w:val="0"/>
                <w:sz w:val="18"/>
                <w:szCs w:val="18"/>
                <w:lang w:bidi="ar"/>
              </w:rPr>
            </w:pPr>
            <w:r>
              <w:rPr>
                <w:rFonts w:hint="eastAsia" w:ascii="宋体" w:hAnsi="宋体" w:eastAsia="宋体" w:cs="宋体"/>
                <w:color w:val="000000"/>
                <w:kern w:val="0"/>
                <w:sz w:val="18"/>
                <w:szCs w:val="18"/>
                <w:lang w:bidi="ar"/>
              </w:rPr>
              <w:t>3</w:t>
            </w:r>
          </w:p>
        </w:tc>
        <w:tc>
          <w:tcPr>
            <w:tcW w:w="121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30cm钢直尺周期性检验</w:t>
            </w:r>
          </w:p>
        </w:tc>
        <w:tc>
          <w:tcPr>
            <w:tcW w:w="3012"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30cm</w:t>
            </w:r>
          </w:p>
        </w:tc>
        <w:tc>
          <w:tcPr>
            <w:tcW w:w="1158"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2024-05-30</w:t>
            </w: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广州番禺</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宋体" w:hAnsi="宋体" w:eastAsia="宋体" w:cs="宋体"/>
                <w:color w:val="000000"/>
                <w:kern w:val="2"/>
                <w:sz w:val="20"/>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ascii="宋体" w:hAnsi="宋体" w:eastAsia="宋体" w:cs="宋体"/>
                <w:color w:val="000000"/>
                <w:kern w:val="2"/>
                <w:sz w:val="18"/>
                <w:szCs w:val="18"/>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Times New Roman" w:hAnsi="宋体" w:eastAsia="Times New Roman" w:cs="Times New Roman"/>
                <w:b/>
                <w:bCs/>
                <w:kern w:val="2"/>
                <w:sz w:val="18"/>
                <w:lang w:val="en-US" w:eastAsia="zh-CN" w:bidi="ar-SA"/>
              </w:rPr>
            </w:pP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宋体" w:eastAsia="宋体" w:cs="Times New Roman"/>
                <w:kern w:val="2"/>
                <w:sz w:val="18"/>
                <w:szCs w:val="18"/>
                <w:lang w:val="en-US" w:eastAsia="zh-CN" w:bidi="ar-SA"/>
              </w:rPr>
            </w:pPr>
            <w:r>
              <w:rPr>
                <w:rFonts w:hint="eastAsia" w:hAnsi="宋体" w:eastAsia="宋体"/>
                <w:sz w:val="18"/>
                <w:szCs w:val="18"/>
                <w:lang w:val="en-US" w:eastAsia="zh-CN"/>
              </w:rPr>
              <w:t>4</w:t>
            </w: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宋体" w:eastAsia="宋体" w:cs="Times New Roman"/>
                <w:kern w:val="2"/>
                <w:sz w:val="18"/>
                <w:lang w:val="en-US" w:eastAsia="zh-CN" w:bidi="ar-SA"/>
              </w:rPr>
            </w:pPr>
            <w:r>
              <w:rPr>
                <w:rFonts w:hint="eastAsia" w:hAnsi="宋体" w:eastAsia="宋体"/>
                <w:sz w:val="18"/>
                <w:lang w:val="en-US" w:eastAsia="zh-CN"/>
              </w:rPr>
              <w:t>把</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trike/>
                <w:dstrike w:val="0"/>
                <w:sz w:val="18"/>
                <w:highlight w:val="yellow"/>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479" w:hRule="atLeast"/>
          <w:jc w:val="center"/>
        </w:trPr>
        <w:tc>
          <w:tcPr>
            <w:tcW w:w="5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4</w:t>
            </w:r>
          </w:p>
        </w:tc>
        <w:tc>
          <w:tcPr>
            <w:tcW w:w="121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60cm钢直尺周期性检验</w:t>
            </w:r>
          </w:p>
        </w:tc>
        <w:tc>
          <w:tcPr>
            <w:tcW w:w="3012"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60cm</w:t>
            </w:r>
          </w:p>
        </w:tc>
        <w:tc>
          <w:tcPr>
            <w:tcW w:w="1158"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2024-05-30</w:t>
            </w: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广州番禺</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宋体" w:hAnsi="宋体" w:eastAsia="宋体" w:cs="宋体"/>
                <w:color w:val="000000"/>
                <w:kern w:val="2"/>
                <w:sz w:val="20"/>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ascii="宋体" w:hAnsi="宋体" w:eastAsia="宋体" w:cs="宋体"/>
                <w:color w:val="000000"/>
                <w:kern w:val="2"/>
                <w:sz w:val="18"/>
                <w:szCs w:val="18"/>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Times New Roman" w:hAnsi="宋体" w:eastAsia="Times New Roman" w:cs="Times New Roman"/>
                <w:b/>
                <w:bCs/>
                <w:kern w:val="2"/>
                <w:sz w:val="18"/>
                <w:lang w:val="en-US" w:eastAsia="zh-CN" w:bidi="ar-SA"/>
              </w:rPr>
            </w:pP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宋体" w:eastAsia="宋体" w:cs="Times New Roman"/>
                <w:kern w:val="2"/>
                <w:sz w:val="18"/>
                <w:szCs w:val="18"/>
                <w:lang w:val="en-US" w:eastAsia="zh-CN" w:bidi="ar-SA"/>
              </w:rPr>
            </w:pPr>
            <w:r>
              <w:rPr>
                <w:rFonts w:hint="eastAsia" w:hAnsi="宋体" w:eastAsia="宋体"/>
                <w:sz w:val="18"/>
                <w:szCs w:val="18"/>
                <w:lang w:val="en-US" w:eastAsia="zh-CN"/>
              </w:rPr>
              <w:t>1</w:t>
            </w: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把</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int="eastAsia" w:hAnsi="宋体" w:eastAsia="宋体"/>
                <w:sz w:val="18"/>
                <w:lang w:val="en-US" w:eastAsia="zh-CN"/>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479" w:hRule="atLeast"/>
          <w:jc w:val="center"/>
        </w:trPr>
        <w:tc>
          <w:tcPr>
            <w:tcW w:w="5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textAlignment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5</w:t>
            </w:r>
          </w:p>
        </w:tc>
        <w:tc>
          <w:tcPr>
            <w:tcW w:w="121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5m钢卷尺</w:t>
            </w:r>
            <w:r>
              <w:rPr>
                <w:rFonts w:hint="eastAsia" w:ascii="宋体" w:hAnsi="宋体" w:eastAsia="宋体" w:cs="宋体"/>
                <w:i w:val="0"/>
                <w:iCs w:val="0"/>
                <w:color w:val="000000"/>
                <w:kern w:val="0"/>
                <w:sz w:val="18"/>
                <w:szCs w:val="18"/>
                <w:u w:val="none"/>
                <w:lang w:val="en-US" w:eastAsia="zh-CN" w:bidi="ar"/>
              </w:rPr>
              <w:t>周期性检验</w:t>
            </w:r>
          </w:p>
        </w:tc>
        <w:tc>
          <w:tcPr>
            <w:tcW w:w="3012"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5m</w:t>
            </w:r>
          </w:p>
        </w:tc>
        <w:tc>
          <w:tcPr>
            <w:tcW w:w="1158"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2024-05-30</w:t>
            </w: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广州番禺</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宋体" w:hAnsi="宋体" w:eastAsia="宋体" w:cs="宋体"/>
                <w:color w:val="000000"/>
                <w:kern w:val="2"/>
                <w:sz w:val="20"/>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ascii="宋体" w:hAnsi="宋体" w:eastAsia="宋体" w:cs="宋体"/>
                <w:color w:val="000000"/>
                <w:kern w:val="2"/>
                <w:sz w:val="18"/>
                <w:szCs w:val="18"/>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Times New Roman" w:hAnsi="宋体" w:eastAsia="Times New Roman" w:cs="Times New Roman"/>
                <w:b/>
                <w:bCs/>
                <w:kern w:val="2"/>
                <w:sz w:val="18"/>
                <w:lang w:val="en-US" w:eastAsia="zh-CN" w:bidi="ar-SA"/>
              </w:rPr>
            </w:pP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宋体" w:eastAsia="宋体" w:cs="Times New Roman"/>
                <w:kern w:val="2"/>
                <w:sz w:val="18"/>
                <w:szCs w:val="18"/>
                <w:lang w:val="en-US" w:eastAsia="zh-CN" w:bidi="ar-SA"/>
              </w:rPr>
            </w:pPr>
            <w:r>
              <w:rPr>
                <w:rFonts w:hint="eastAsia" w:hAnsi="宋体" w:eastAsia="宋体"/>
                <w:sz w:val="18"/>
                <w:szCs w:val="18"/>
                <w:lang w:val="en-US" w:eastAsia="zh-CN"/>
              </w:rPr>
              <w:t>1</w:t>
            </w: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宋体" w:eastAsia="宋体" w:cs="Times New Roman"/>
                <w:kern w:val="2"/>
                <w:sz w:val="18"/>
                <w:lang w:val="en-US" w:eastAsia="zh-CN" w:bidi="ar-SA"/>
              </w:rPr>
            </w:pPr>
            <w:r>
              <w:rPr>
                <w:rFonts w:hint="eastAsia" w:hAnsi="宋体" w:eastAsia="宋体"/>
                <w:sz w:val="18"/>
                <w:lang w:val="en-US" w:eastAsia="zh-CN"/>
              </w:rPr>
              <w:t>把</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479" w:hRule="atLeast"/>
          <w:jc w:val="center"/>
        </w:trPr>
        <w:tc>
          <w:tcPr>
            <w:tcW w:w="50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6</w:t>
            </w:r>
          </w:p>
        </w:tc>
        <w:tc>
          <w:tcPr>
            <w:tcW w:w="1213"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引张读数器</w:t>
            </w:r>
            <w:r>
              <w:rPr>
                <w:rFonts w:hint="eastAsia" w:ascii="宋体" w:hAnsi="宋体" w:eastAsia="宋体" w:cs="宋体"/>
                <w:i w:val="0"/>
                <w:iCs w:val="0"/>
                <w:color w:val="000000"/>
                <w:kern w:val="0"/>
                <w:sz w:val="18"/>
                <w:szCs w:val="18"/>
                <w:u w:val="none"/>
                <w:lang w:val="en-US" w:eastAsia="zh-CN" w:bidi="ar"/>
              </w:rPr>
              <w:t>周期性检验</w:t>
            </w:r>
          </w:p>
        </w:tc>
        <w:tc>
          <w:tcPr>
            <w:tcW w:w="3012"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BYG-50，量程：50mm；精度：±0.1mm；灵敏度：0.02mm；环境温度：-20℃～＋60℃</w:t>
            </w:r>
          </w:p>
        </w:tc>
        <w:tc>
          <w:tcPr>
            <w:tcW w:w="1158"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eastAsia" w:ascii="Times New Roman" w:hAnsi="宋体" w:eastAsia="宋体" w:cs="Times New Roman"/>
                <w:kern w:val="2"/>
                <w:sz w:val="18"/>
                <w:lang w:val="en-US" w:eastAsia="zh-CN" w:bidi="ar-SA"/>
              </w:rPr>
            </w:pPr>
            <w:r>
              <w:rPr>
                <w:rFonts w:hint="eastAsia" w:hAnsi="宋体" w:eastAsia="宋体"/>
                <w:sz w:val="18"/>
                <w:lang w:val="en-US" w:eastAsia="zh-CN"/>
              </w:rPr>
              <w:t>2024-05-30</w:t>
            </w:r>
          </w:p>
        </w:tc>
        <w:tc>
          <w:tcPr>
            <w:tcW w:w="1117"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center"/>
              <w:rPr>
                <w:rFonts w:hint="eastAsia" w:ascii="Times New Roman" w:hAnsi="宋体" w:eastAsia="宋体" w:cs="Times New Roman"/>
                <w:kern w:val="2"/>
                <w:sz w:val="18"/>
                <w:lang w:val="en-US" w:eastAsia="zh-CN" w:bidi="ar-SA"/>
              </w:rPr>
            </w:pPr>
            <w:r>
              <w:rPr>
                <w:rFonts w:hint="eastAsia" w:hAnsi="宋体" w:eastAsia="宋体"/>
                <w:sz w:val="18"/>
                <w:lang w:val="en-US" w:eastAsia="zh-CN"/>
              </w:rPr>
              <w:t>广州番禺</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宋体" w:hAnsi="宋体" w:eastAsia="宋体" w:cs="宋体"/>
                <w:color w:val="000000"/>
                <w:kern w:val="2"/>
                <w:sz w:val="20"/>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center"/>
              <w:rPr>
                <w:rFonts w:ascii="宋体" w:hAnsi="宋体" w:eastAsia="宋体" w:cs="宋体"/>
                <w:color w:val="000000"/>
                <w:kern w:val="2"/>
                <w:sz w:val="18"/>
                <w:szCs w:val="18"/>
                <w:lang w:val="en-US" w:eastAsia="zh-CN" w:bidi="ar-SA"/>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ascii="Times New Roman" w:hAnsi="宋体" w:eastAsia="Times New Roman" w:cs="Times New Roman"/>
                <w:b/>
                <w:bCs/>
                <w:kern w:val="2"/>
                <w:sz w:val="18"/>
                <w:lang w:val="en-US" w:eastAsia="zh-CN" w:bidi="ar-SA"/>
              </w:rPr>
            </w:pP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default" w:hAnsi="宋体" w:eastAsia="宋体"/>
                <w:sz w:val="18"/>
                <w:szCs w:val="18"/>
                <w:lang w:val="en-US" w:eastAsia="zh-CN"/>
              </w:rPr>
            </w:pPr>
            <w:r>
              <w:rPr>
                <w:rFonts w:hint="eastAsia" w:hAnsi="宋体" w:eastAsia="宋体"/>
                <w:sz w:val="18"/>
                <w:szCs w:val="18"/>
                <w:lang w:val="en-US" w:eastAsia="zh-CN"/>
              </w:rPr>
              <w:t>1</w:t>
            </w:r>
          </w:p>
        </w:tc>
        <w:tc>
          <w:tcPr>
            <w:tcW w:w="985" w:type="dxa"/>
            <w:tcBorders>
              <w:top w:val="single" w:color="auto" w:sz="8" w:space="0"/>
              <w:left w:val="single" w:color="auto" w:sz="8" w:space="0"/>
              <w:bottom w:val="single" w:color="auto" w:sz="8" w:space="0"/>
              <w:right w:val="single" w:color="auto" w:sz="8" w:space="0"/>
              <w:tl2br w:val="nil"/>
              <w:tr2bl w:val="nil"/>
            </w:tcBorders>
            <w:shd w:val="clear" w:color="auto" w:fill="auto"/>
            <w:vAlign w:val="center"/>
          </w:tcPr>
          <w:p>
            <w:pPr>
              <w:keepNext w:val="0"/>
              <w:keepLines w:val="0"/>
              <w:widowControl/>
              <w:suppressLineNumbers w:val="0"/>
              <w:jc w:val="center"/>
              <w:textAlignment w:val="center"/>
              <w:rPr>
                <w:rFonts w:hint="default" w:hAnsi="宋体" w:eastAsia="宋体"/>
                <w:sz w:val="18"/>
                <w:lang w:val="en-US" w:eastAsia="zh-CN"/>
              </w:rPr>
            </w:pPr>
            <w:r>
              <w:rPr>
                <w:rFonts w:hint="eastAsia" w:hAnsi="宋体" w:eastAsia="宋体"/>
                <w:sz w:val="18"/>
                <w:lang w:val="en-US" w:eastAsia="zh-CN"/>
              </w:rPr>
              <w:t>台</w:t>
            </w: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c>
          <w:tcPr>
            <w:tcW w:w="1103" w:type="dxa"/>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688" w:hRule="atLeast"/>
          <w:jc w:val="center"/>
        </w:trPr>
        <w:tc>
          <w:tcPr>
            <w:tcW w:w="15591" w:type="dxa"/>
            <w:gridSpan w:val="13"/>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pPr>
              <w:jc w:val="left"/>
              <w:rPr>
                <w:rFonts w:hAnsi="宋体"/>
                <w:sz w:val="18"/>
              </w:rPr>
            </w:pPr>
            <w:r>
              <w:rPr>
                <w:rFonts w:hAnsi="宋体"/>
                <w:sz w:val="18"/>
              </w:rPr>
              <w:t>其他要求：</w:t>
            </w:r>
          </w:p>
          <w:p>
            <w:pPr>
              <w:numPr>
                <w:ilvl w:val="0"/>
                <w:numId w:val="0"/>
              </w:numPr>
              <w:jc w:val="left"/>
              <w:rPr>
                <w:rFonts w:hint="eastAsia" w:ascii="宋体" w:hAnsi="宋体" w:eastAsia="宋体" w:cs="宋体"/>
                <w:b w:val="0"/>
                <w:bCs/>
                <w:color w:val="000000"/>
                <w:kern w:val="0"/>
                <w:sz w:val="18"/>
                <w:szCs w:val="18"/>
                <w:lang w:eastAsia="zh-CN" w:bidi="ar"/>
              </w:rPr>
            </w:pPr>
            <w:r>
              <w:rPr>
                <w:rFonts w:hint="eastAsia" w:ascii="宋体" w:hAnsi="宋体" w:eastAsia="宋体" w:cs="宋体"/>
                <w:b w:val="0"/>
                <w:bCs/>
                <w:color w:val="000000"/>
                <w:kern w:val="0"/>
                <w:sz w:val="18"/>
                <w:szCs w:val="18"/>
                <w:lang w:val="en-US" w:eastAsia="zh-CN" w:bidi="ar"/>
              </w:rPr>
              <w:t>1、2024年05月30日前需出具检测报告（CNAS认证）并返回工器具；</w:t>
            </w:r>
          </w:p>
          <w:p>
            <w:pPr>
              <w:numPr>
                <w:ilvl w:val="0"/>
                <w:numId w:val="0"/>
              </w:numPr>
              <w:jc w:val="left"/>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color w:val="000000"/>
                <w:kern w:val="0"/>
                <w:sz w:val="18"/>
                <w:szCs w:val="18"/>
                <w:lang w:val="en-US" w:eastAsia="zh-CN" w:bidi="ar"/>
              </w:rPr>
              <w:t>2、可选择现场开展试验检验或是运输至投标人实验室开展相关工作。如需要运输至承包人实验室，运输由承包人负全责。如须在承包人现场开展作业，承包人应对现场作业人员开展安全教育，经发包人批准后，按照承包人现场安全工作规程要求开展作业，承包人对现场作业安全负全责。</w:t>
            </w:r>
          </w:p>
          <w:p>
            <w:pPr>
              <w:numPr>
                <w:ilvl w:val="0"/>
                <w:numId w:val="0"/>
              </w:numPr>
              <w:jc w:val="left"/>
              <w:rPr>
                <w:rFonts w:hint="eastAsia" w:ascii="宋体" w:hAnsi="宋体" w:eastAsia="宋体" w:cs="宋体"/>
                <w:b w:val="0"/>
                <w:bCs/>
                <w:color w:val="000000"/>
                <w:kern w:val="0"/>
                <w:sz w:val="18"/>
                <w:szCs w:val="18"/>
                <w:lang w:val="en-US" w:eastAsia="zh-CN" w:bidi="ar"/>
              </w:rPr>
            </w:pPr>
            <w:r>
              <w:rPr>
                <w:rFonts w:hint="eastAsia" w:ascii="宋体" w:hAnsi="宋体" w:eastAsia="宋体" w:cs="宋体"/>
                <w:b w:val="0"/>
                <w:bCs/>
                <w:color w:val="000000"/>
                <w:kern w:val="0"/>
                <w:sz w:val="18"/>
                <w:szCs w:val="18"/>
                <w:lang w:val="en-US" w:eastAsia="zh-CN" w:bidi="ar"/>
              </w:rPr>
              <w:t>3、由于作业不当或质量问题而引起工程量增加或造成人员伤亡和财产损失等情况，均由承包人负全责。</w:t>
            </w:r>
          </w:p>
          <w:p>
            <w:pPr>
              <w:numPr>
                <w:ilvl w:val="0"/>
                <w:numId w:val="0"/>
              </w:numPr>
              <w:jc w:val="left"/>
              <w:rPr>
                <w:rFonts w:hint="default" w:eastAsia="宋体"/>
                <w:lang w:val="en-US" w:eastAsia="zh-CN"/>
              </w:rPr>
            </w:pPr>
            <w:r>
              <w:rPr>
                <w:rFonts w:hint="eastAsia" w:ascii="宋体" w:hAnsi="宋体" w:eastAsia="宋体" w:cs="宋体"/>
                <w:b w:val="0"/>
                <w:bCs/>
                <w:color w:val="000000"/>
                <w:kern w:val="0"/>
                <w:sz w:val="18"/>
                <w:szCs w:val="18"/>
                <w:lang w:val="en-US" w:eastAsia="zh-CN" w:bidi="ar"/>
              </w:rPr>
              <w:t>4、承包人提供技术服务所产生的其他费用，如人员交通、食宿、仪器仪表、工器具、耗材、防疫等费用，均由承包人自行负责，费用由承包人在投标报价中予以考虑。</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CellMar>
            <w:top w:w="0" w:type="dxa"/>
            <w:left w:w="108" w:type="dxa"/>
            <w:bottom w:w="0" w:type="dxa"/>
            <w:right w:w="108" w:type="dxa"/>
          </w:tblCellMar>
        </w:tblPrEx>
        <w:trPr>
          <w:trHeight w:val="476" w:hRule="atLeast"/>
          <w:jc w:val="center"/>
        </w:trPr>
        <w:tc>
          <w:tcPr>
            <w:tcW w:w="15591" w:type="dxa"/>
            <w:gridSpan w:val="13"/>
            <w:tcBorders>
              <w:top w:val="single" w:color="auto" w:sz="8" w:space="0"/>
              <w:left w:val="single" w:color="auto" w:sz="8" w:space="0"/>
              <w:bottom w:val="single" w:color="auto" w:sz="8" w:space="0"/>
              <w:right w:val="single" w:color="auto" w:sz="8" w:space="0"/>
              <w:tl2br w:val="nil"/>
              <w:tr2bl w:val="nil"/>
            </w:tcBorders>
            <w:shd w:val="clear" w:color="auto" w:fill="D7D7D7" w:themeFill="background1" w:themeFillShade="D8"/>
            <w:vAlign w:val="center"/>
          </w:tcPr>
          <w:p>
            <w:pPr>
              <w:jc w:val="right"/>
              <w:rPr>
                <w:rFonts w:hAnsi="宋体"/>
                <w:sz w:val="18"/>
              </w:rPr>
            </w:pPr>
            <w:r>
              <w:rPr>
                <w:rFonts w:hAnsi="宋体"/>
                <w:sz w:val="18"/>
              </w:rPr>
              <w:t>总金额： 0.00元，总税额：0.00元，总价税合计：0.00元</w:t>
            </w:r>
          </w:p>
        </w:tc>
      </w:tr>
    </w:tbl>
    <w:p>
      <w:pPr>
        <w:ind w:right="223" w:rightChars="106"/>
        <w:jc w:val="left"/>
        <w:rPr>
          <w:rFonts w:hAnsi="宋体"/>
          <w:sz w:val="18"/>
        </w:rPr>
      </w:pPr>
      <w:r>
        <w:rPr>
          <w:rFonts w:hAnsi="宋体"/>
          <w:sz w:val="18"/>
        </w:rPr>
        <w:t>备注：</w:t>
      </w:r>
    </w:p>
    <w:p>
      <w:pPr>
        <w:ind w:right="223" w:rightChars="106"/>
        <w:jc w:val="left"/>
        <w:rPr>
          <w:rFonts w:ascii="宋体" w:hAnsi="宋体" w:eastAsia="宋体"/>
          <w:sz w:val="18"/>
        </w:rPr>
      </w:pPr>
      <w:r>
        <w:rPr>
          <w:rFonts w:hAnsi="宋体"/>
          <w:sz w:val="18"/>
        </w:rPr>
        <w:t>1、本单适用于</w:t>
      </w:r>
      <w:r>
        <w:rPr>
          <w:rFonts w:hint="eastAsia" w:hAnsi="宋体"/>
          <w:sz w:val="18"/>
        </w:rPr>
        <w:t>运行分公司</w:t>
      </w:r>
      <w:r>
        <w:rPr>
          <w:rFonts w:hAnsi="宋体"/>
          <w:sz w:val="18"/>
        </w:rPr>
        <w:t>所有零星采购项目市场询价。</w:t>
      </w:r>
    </w:p>
    <w:p>
      <w:pPr>
        <w:ind w:right="223" w:rightChars="106"/>
        <w:jc w:val="left"/>
        <w:rPr>
          <w:rFonts w:hAnsi="宋体"/>
          <w:sz w:val="18"/>
        </w:rPr>
      </w:pPr>
      <w:r>
        <w:rPr>
          <w:rFonts w:hAnsi="宋体"/>
          <w:sz w:val="18"/>
        </w:rPr>
        <w:t>2、超过截止报价时间的报价、报价单位未在</w:t>
      </w:r>
      <w:r>
        <w:rPr>
          <w:rFonts w:hint="eastAsia" w:hAnsi="宋体" w:eastAsia="宋体"/>
          <w:sz w:val="18"/>
        </w:rPr>
        <w:t>询价函</w:t>
      </w:r>
      <w:r>
        <w:rPr>
          <w:rFonts w:hAnsi="宋体"/>
          <w:sz w:val="18"/>
        </w:rPr>
        <w:t>上加盖公章，以上情况均视为报价无效。</w:t>
      </w:r>
    </w:p>
    <w:p>
      <w:pPr>
        <w:ind w:right="223" w:rightChars="106"/>
        <w:jc w:val="left"/>
        <w:rPr>
          <w:rFonts w:hAnsi="宋体"/>
          <w:sz w:val="18"/>
        </w:rPr>
      </w:pPr>
      <w:r>
        <w:rPr>
          <w:rFonts w:hAnsi="宋体"/>
          <w:sz w:val="18"/>
        </w:rPr>
        <w:t>3、报价单位应直接在本询价函样式内报价，灰色底纹部分为报价单位填写部分；</w:t>
      </w:r>
    </w:p>
    <w:p>
      <w:pPr>
        <w:ind w:right="223" w:rightChars="106"/>
        <w:jc w:val="left"/>
        <w:rPr>
          <w:rFonts w:hAnsi="宋体"/>
          <w:sz w:val="18"/>
        </w:rPr>
      </w:pPr>
      <w:r>
        <w:rPr>
          <w:rFonts w:hAnsi="宋体"/>
          <w:sz w:val="18"/>
        </w:rPr>
        <w:t>4、报价应含运输费、保险费及其他杂费，不再单独列支；</w:t>
      </w:r>
    </w:p>
    <w:p>
      <w:pPr>
        <w:ind w:right="223" w:rightChars="106"/>
        <w:jc w:val="left"/>
      </w:pPr>
      <w:r>
        <w:rPr>
          <w:rFonts w:hAnsi="宋体"/>
          <w:sz w:val="18"/>
        </w:rPr>
        <w:t>5、发票需开具增值税专用发票（税费应以增值税要求填报，如有税率要求请填写税率 ：</w:t>
      </w:r>
      <w:r>
        <w:rPr>
          <w:rFonts w:hAnsi="宋体"/>
          <w:sz w:val="18"/>
          <w:u w:val="single"/>
        </w:rPr>
        <w:t xml:space="preserve">  </w:t>
      </w:r>
      <w:r>
        <w:rPr>
          <w:rFonts w:hAnsi="宋体"/>
          <w:sz w:val="18"/>
        </w:rPr>
        <w:t xml:space="preserve"> %）</w:t>
      </w: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wYWQ4ZGUxN2YyNzM3YTNhZjliNWJlZTI2MjliMTgifQ=="/>
  </w:docVars>
  <w:rsids>
    <w:rsidRoot w:val="00CF22F0"/>
    <w:rsid w:val="00683FCC"/>
    <w:rsid w:val="00CF22F0"/>
    <w:rsid w:val="00D77B7D"/>
    <w:rsid w:val="00E70290"/>
    <w:rsid w:val="01074F35"/>
    <w:rsid w:val="02110FEC"/>
    <w:rsid w:val="03080D67"/>
    <w:rsid w:val="04756E77"/>
    <w:rsid w:val="04B2114F"/>
    <w:rsid w:val="05F11AFB"/>
    <w:rsid w:val="06A17EE7"/>
    <w:rsid w:val="06E951B8"/>
    <w:rsid w:val="070F1849"/>
    <w:rsid w:val="092A4A47"/>
    <w:rsid w:val="095D72BB"/>
    <w:rsid w:val="09C25E0C"/>
    <w:rsid w:val="0A6831E9"/>
    <w:rsid w:val="0AB81992"/>
    <w:rsid w:val="0AD215F9"/>
    <w:rsid w:val="0C797022"/>
    <w:rsid w:val="0FA20AF2"/>
    <w:rsid w:val="0FA26583"/>
    <w:rsid w:val="1410789B"/>
    <w:rsid w:val="15C9732D"/>
    <w:rsid w:val="17733009"/>
    <w:rsid w:val="186F3E34"/>
    <w:rsid w:val="19AD3F79"/>
    <w:rsid w:val="1A562AD9"/>
    <w:rsid w:val="1A797E8E"/>
    <w:rsid w:val="1B340C0E"/>
    <w:rsid w:val="1BD923BC"/>
    <w:rsid w:val="1D4B2EC0"/>
    <w:rsid w:val="20394436"/>
    <w:rsid w:val="217619E7"/>
    <w:rsid w:val="23063FB2"/>
    <w:rsid w:val="23A45380"/>
    <w:rsid w:val="23C50BFB"/>
    <w:rsid w:val="23D64232"/>
    <w:rsid w:val="24F22A5F"/>
    <w:rsid w:val="26753AFD"/>
    <w:rsid w:val="28574E0B"/>
    <w:rsid w:val="28AE52F5"/>
    <w:rsid w:val="28B863BF"/>
    <w:rsid w:val="28BA3373"/>
    <w:rsid w:val="2A094D30"/>
    <w:rsid w:val="2A872616"/>
    <w:rsid w:val="2AED7F51"/>
    <w:rsid w:val="2B9C39FE"/>
    <w:rsid w:val="2EF93C1C"/>
    <w:rsid w:val="30A0424B"/>
    <w:rsid w:val="320F60BC"/>
    <w:rsid w:val="34B273DE"/>
    <w:rsid w:val="355544E3"/>
    <w:rsid w:val="35B00AB3"/>
    <w:rsid w:val="380401E7"/>
    <w:rsid w:val="38BF1E47"/>
    <w:rsid w:val="39AC74FD"/>
    <w:rsid w:val="3A857BC6"/>
    <w:rsid w:val="3FE315E8"/>
    <w:rsid w:val="40453586"/>
    <w:rsid w:val="41070748"/>
    <w:rsid w:val="419F3002"/>
    <w:rsid w:val="421D031A"/>
    <w:rsid w:val="425112FB"/>
    <w:rsid w:val="42A571A8"/>
    <w:rsid w:val="439158EA"/>
    <w:rsid w:val="43CF7E17"/>
    <w:rsid w:val="442D7DA2"/>
    <w:rsid w:val="44C35EC8"/>
    <w:rsid w:val="45CD7C62"/>
    <w:rsid w:val="46273642"/>
    <w:rsid w:val="46606805"/>
    <w:rsid w:val="46A30F11"/>
    <w:rsid w:val="47111056"/>
    <w:rsid w:val="47FE0EDA"/>
    <w:rsid w:val="49503AFA"/>
    <w:rsid w:val="4A874789"/>
    <w:rsid w:val="4BD83564"/>
    <w:rsid w:val="4C102424"/>
    <w:rsid w:val="4C1A0FFE"/>
    <w:rsid w:val="4C2B6F9E"/>
    <w:rsid w:val="4C8B5C04"/>
    <w:rsid w:val="4C9B1C93"/>
    <w:rsid w:val="4DB17571"/>
    <w:rsid w:val="4E397415"/>
    <w:rsid w:val="53A055E9"/>
    <w:rsid w:val="54E51172"/>
    <w:rsid w:val="56FD4ED2"/>
    <w:rsid w:val="57133DEA"/>
    <w:rsid w:val="575D4F15"/>
    <w:rsid w:val="579E2363"/>
    <w:rsid w:val="57CA0861"/>
    <w:rsid w:val="58550535"/>
    <w:rsid w:val="58AD7CEC"/>
    <w:rsid w:val="59181DDC"/>
    <w:rsid w:val="5C32314D"/>
    <w:rsid w:val="5DE53061"/>
    <w:rsid w:val="5EDD7771"/>
    <w:rsid w:val="60A61537"/>
    <w:rsid w:val="60A962B3"/>
    <w:rsid w:val="60E814E0"/>
    <w:rsid w:val="61032A58"/>
    <w:rsid w:val="611658B6"/>
    <w:rsid w:val="61F1591C"/>
    <w:rsid w:val="62502C81"/>
    <w:rsid w:val="626A35C1"/>
    <w:rsid w:val="62F520E3"/>
    <w:rsid w:val="634B10FB"/>
    <w:rsid w:val="63E45237"/>
    <w:rsid w:val="64406BBC"/>
    <w:rsid w:val="68514D9C"/>
    <w:rsid w:val="68531583"/>
    <w:rsid w:val="6AF027B5"/>
    <w:rsid w:val="6BB25969"/>
    <w:rsid w:val="6DF40107"/>
    <w:rsid w:val="73E2763E"/>
    <w:rsid w:val="746B194D"/>
    <w:rsid w:val="753670F6"/>
    <w:rsid w:val="76D177A8"/>
    <w:rsid w:val="77791324"/>
    <w:rsid w:val="789376F5"/>
    <w:rsid w:val="79120B69"/>
    <w:rsid w:val="7972655A"/>
    <w:rsid w:val="797775F3"/>
    <w:rsid w:val="79A577D4"/>
    <w:rsid w:val="79BB7720"/>
    <w:rsid w:val="7C314FF5"/>
    <w:rsid w:val="7CBA0514"/>
    <w:rsid w:val="7E012DC3"/>
    <w:rsid w:val="7FB56B8F"/>
    <w:rsid w:val="7FDD0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99"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unhideWhenUsed/>
    <w:qFormat/>
    <w:uiPriority w:val="0"/>
    <w:pPr>
      <w:jc w:val="both"/>
    </w:pPr>
    <w:rPr>
      <w:rFonts w:ascii="Times New Roman" w:hAnsi="Times New Roman" w:eastAsia="Times New Roman" w:cs="Times New Roman"/>
      <w:kern w:val="2"/>
      <w:sz w:val="21"/>
      <w:lang w:val="en-US" w:eastAsia="zh-CN" w:bidi="ar-SA"/>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3"/>
    <w:next w:val="3"/>
    <w:autoRedefine/>
    <w:unhideWhenUsed/>
    <w:qFormat/>
    <w:uiPriority w:val="99"/>
    <w:pPr>
      <w:widowControl w:val="0"/>
      <w:spacing w:after="120"/>
      <w:jc w:val="both"/>
    </w:pPr>
    <w:rPr>
      <w:sz w:val="21"/>
    </w:rPr>
  </w:style>
  <w:style w:type="paragraph" w:styleId="3">
    <w:name w:val="Title"/>
    <w:basedOn w:val="1"/>
    <w:next w:val="1"/>
    <w:autoRedefine/>
    <w:unhideWhenUsed/>
    <w:qFormat/>
    <w:uiPriority w:val="99"/>
    <w:pPr>
      <w:spacing w:before="240" w:after="60"/>
      <w:jc w:val="center"/>
      <w:outlineLvl w:val="0"/>
    </w:pPr>
    <w:rPr>
      <w:rFonts w:hAnsi="Arial"/>
      <w:b/>
      <w:sz w:val="32"/>
    </w:rPr>
  </w:style>
  <w:style w:type="paragraph" w:styleId="4">
    <w:name w:val="footer"/>
    <w:basedOn w:val="1"/>
    <w:autoRedefine/>
    <w:unhideWhenUsed/>
    <w:qFormat/>
    <w:uiPriority w:val="99"/>
    <w:pPr>
      <w:tabs>
        <w:tab w:val="center" w:pos="4153"/>
        <w:tab w:val="right" w:pos="8306"/>
      </w:tabs>
      <w:snapToGrid w:val="0"/>
      <w:jc w:val="left"/>
    </w:pPr>
    <w:rPr>
      <w:sz w:val="18"/>
    </w:rPr>
  </w:style>
  <w:style w:type="paragraph" w:styleId="5">
    <w:name w:val="header"/>
    <w:basedOn w:val="1"/>
    <w:link w:val="10"/>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font41"/>
    <w:basedOn w:val="7"/>
    <w:autoRedefine/>
    <w:qFormat/>
    <w:uiPriority w:val="0"/>
    <w:rPr>
      <w:rFonts w:hint="eastAsia" w:ascii="宋体" w:hAnsi="宋体" w:eastAsia="宋体" w:cs="宋体"/>
      <w:b/>
      <w:color w:val="000000"/>
      <w:sz w:val="18"/>
      <w:szCs w:val="18"/>
      <w:u w:val="none"/>
    </w:rPr>
  </w:style>
  <w:style w:type="character" w:customStyle="1" w:styleId="9">
    <w:name w:val="font11"/>
    <w:basedOn w:val="7"/>
    <w:autoRedefine/>
    <w:qFormat/>
    <w:uiPriority w:val="0"/>
    <w:rPr>
      <w:rFonts w:hint="eastAsia" w:ascii="宋体" w:hAnsi="宋体" w:eastAsia="宋体" w:cs="宋体"/>
      <w:color w:val="000000"/>
      <w:sz w:val="18"/>
      <w:szCs w:val="18"/>
      <w:u w:val="none"/>
    </w:rPr>
  </w:style>
  <w:style w:type="character" w:customStyle="1" w:styleId="10">
    <w:name w:val="页眉 字符"/>
    <w:basedOn w:val="7"/>
    <w:link w:val="5"/>
    <w:autoRedefine/>
    <w:qFormat/>
    <w:uiPriority w:val="0"/>
    <w:rPr>
      <w:rFonts w:eastAsia="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144</Words>
  <Characters>822</Characters>
  <Lines>6</Lines>
  <Paragraphs>1</Paragraphs>
  <TotalTime>2</TotalTime>
  <ScaleCrop>false</ScaleCrop>
  <LinksUpToDate>false</LinksUpToDate>
  <CharactersWithSpaces>965</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HX</dc:creator>
  <cp:lastModifiedBy>hsw</cp:lastModifiedBy>
  <dcterms:modified xsi:type="dcterms:W3CDTF">2024-04-19T07:32:15Z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C6520C7BF1824FC29E27D0EF23421CF3_13</vt:lpwstr>
  </property>
</Properties>
</file>