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line="360" w:lineRule="auto"/>
        <w:jc w:val="left"/>
        <w:rPr>
          <w:rFonts w:eastAsia="黑体"/>
          <w:b/>
          <w:color w:val="auto"/>
          <w:sz w:val="36"/>
          <w:szCs w:val="36"/>
        </w:rPr>
      </w:pPr>
      <w:bookmarkStart w:id="0" w:name="SectionMark0"/>
      <w:r>
        <w:rPr>
          <w:color w:val="auto"/>
        </w:rPr>
        <w:drawing>
          <wp:anchor distT="0" distB="0" distL="114300" distR="114300" simplePos="0" relativeHeight="251659264" behindDoc="1" locked="0" layoutInCell="1" allowOverlap="1">
            <wp:simplePos x="0" y="0"/>
            <wp:positionH relativeFrom="column">
              <wp:posOffset>-828040</wp:posOffset>
            </wp:positionH>
            <wp:positionV relativeFrom="paragraph">
              <wp:posOffset>-1091565</wp:posOffset>
            </wp:positionV>
            <wp:extent cx="7548245" cy="3088640"/>
            <wp:effectExtent l="0" t="0" r="14605" b="0"/>
            <wp:wrapTight wrapText="bothSides">
              <wp:wrapPolygon>
                <wp:start x="0" y="0"/>
                <wp:lineTo x="0" y="21449"/>
                <wp:lineTo x="21533" y="21449"/>
                <wp:lineTo x="21533"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6" cstate="print"/>
                    <a:srcRect/>
                    <a:stretch>
                      <a:fillRect/>
                    </a:stretch>
                  </pic:blipFill>
                  <pic:spPr>
                    <a:xfrm>
                      <a:off x="0" y="0"/>
                      <a:ext cx="7548245" cy="3088640"/>
                    </a:xfrm>
                    <a:prstGeom prst="rect">
                      <a:avLst/>
                    </a:prstGeom>
                    <a:noFill/>
                    <a:ln w="9525">
                      <a:noFill/>
                      <a:miter lim="800000"/>
                      <a:headEnd/>
                      <a:tailEnd/>
                    </a:ln>
                  </pic:spPr>
                </pic:pic>
              </a:graphicData>
            </a:graphic>
          </wp:anchor>
        </w:drawing>
      </w:r>
    </w:p>
    <w:p>
      <w:pPr>
        <w:pStyle w:val="66"/>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b w:val="0"/>
          <w:bCs/>
          <w:color w:val="000000"/>
          <w:kern w:val="2"/>
          <w:sz w:val="44"/>
          <w:szCs w:val="44"/>
          <w:highlight w:val="none"/>
          <w:lang w:val="en-US" w:eastAsia="zh-CN" w:bidi="ar-SA"/>
        </w:rPr>
      </w:pPr>
      <w:r>
        <w:rPr>
          <w:rFonts w:hint="eastAsia" w:ascii="方正小标宋_GBK" w:hAnsi="方正小标宋_GBK" w:eastAsia="方正小标宋_GBK" w:cs="方正小标宋_GBK"/>
          <w:b w:val="0"/>
          <w:bCs/>
          <w:color w:val="000000"/>
          <w:sz w:val="44"/>
          <w:szCs w:val="44"/>
          <w:highlight w:val="none"/>
        </w:rPr>
        <w:t>数字电网科技公司2024年变电站自动化设备智能运维工具委托生产专项零星采购项目</w:t>
      </w:r>
    </w:p>
    <w:p>
      <w:pPr>
        <w:pStyle w:val="66"/>
        <w:keepNext w:val="0"/>
        <w:keepLines w:val="0"/>
        <w:pageBreakBefore w:val="0"/>
        <w:widowControl w:val="0"/>
        <w:kinsoku/>
        <w:wordWrap/>
        <w:overflowPunct/>
        <w:topLinePunct/>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b w:val="0"/>
          <w:bCs/>
          <w:color w:val="000000"/>
          <w:kern w:val="2"/>
          <w:sz w:val="44"/>
          <w:szCs w:val="44"/>
          <w:highlight w:val="none"/>
          <w:lang w:val="en-US" w:eastAsia="zh-CN" w:bidi="ar-SA"/>
        </w:rPr>
      </w:pPr>
      <w:r>
        <w:rPr>
          <w:rFonts w:hint="eastAsia" w:ascii="方正小标宋_GBK" w:hAnsi="方正小标宋_GBK" w:eastAsia="方正小标宋_GBK" w:cs="方正小标宋_GBK"/>
          <w:b w:val="0"/>
          <w:bCs/>
          <w:color w:val="000000"/>
          <w:kern w:val="2"/>
          <w:sz w:val="44"/>
          <w:szCs w:val="44"/>
          <w:highlight w:val="none"/>
          <w:lang w:val="en-US" w:eastAsia="zh-CN" w:bidi="ar-SA"/>
        </w:rPr>
        <w:t>技术规范书</w:t>
      </w:r>
    </w:p>
    <w:p>
      <w:pPr>
        <w:pStyle w:val="66"/>
        <w:spacing w:before="624" w:beforeLines="200"/>
        <w:ind w:firstLine="0" w:firstLineChars="0"/>
        <w:jc w:val="center"/>
        <w:rPr>
          <w:rFonts w:hint="eastAsia" w:asciiTheme="minorEastAsia" w:hAnsiTheme="minorEastAsia" w:eastAsiaTheme="minorEastAsia" w:cstheme="minorEastAsia"/>
          <w:b/>
          <w:spacing w:val="20"/>
          <w:w w:val="135"/>
          <w:sz w:val="28"/>
          <w:szCs w:val="28"/>
        </w:rPr>
      </w:pPr>
    </w:p>
    <w:p>
      <w:pPr>
        <w:pStyle w:val="66"/>
        <w:spacing w:before="624" w:beforeLines="200"/>
        <w:ind w:firstLine="0" w:firstLineChars="0"/>
        <w:jc w:val="center"/>
        <w:rPr>
          <w:rFonts w:hint="eastAsia" w:asciiTheme="minorEastAsia" w:hAnsiTheme="minorEastAsia" w:eastAsiaTheme="minorEastAsia" w:cstheme="minorEastAsia"/>
          <w:b/>
          <w:spacing w:val="20"/>
          <w:w w:val="135"/>
          <w:sz w:val="28"/>
          <w:szCs w:val="28"/>
        </w:rPr>
      </w:pPr>
    </w:p>
    <w:p>
      <w:pPr>
        <w:pStyle w:val="66"/>
        <w:spacing w:before="624" w:beforeLines="200"/>
        <w:ind w:firstLine="0" w:firstLineChars="0"/>
        <w:jc w:val="center"/>
        <w:rPr>
          <w:rFonts w:hint="eastAsia" w:asciiTheme="minorEastAsia" w:hAnsiTheme="minorEastAsia" w:eastAsiaTheme="minorEastAsia" w:cstheme="minorEastAsia"/>
          <w:b/>
          <w:spacing w:val="20"/>
          <w:w w:val="135"/>
          <w:sz w:val="28"/>
          <w:szCs w:val="28"/>
        </w:rPr>
      </w:pPr>
    </w:p>
    <w:p>
      <w:pPr>
        <w:pStyle w:val="66"/>
        <w:spacing w:before="624" w:beforeLines="200"/>
        <w:ind w:firstLine="0" w:firstLineChars="0"/>
        <w:jc w:val="center"/>
        <w:rPr>
          <w:rFonts w:hint="eastAsia" w:asciiTheme="minorEastAsia" w:hAnsiTheme="minorEastAsia" w:eastAsiaTheme="minorEastAsia" w:cstheme="minorEastAsia"/>
          <w:b/>
          <w:spacing w:val="20"/>
          <w:w w:val="135"/>
          <w:sz w:val="28"/>
          <w:szCs w:val="28"/>
        </w:rPr>
      </w:pPr>
    </w:p>
    <w:p>
      <w:pPr>
        <w:pStyle w:val="66"/>
        <w:spacing w:before="624" w:beforeLines="200"/>
        <w:ind w:firstLine="0" w:firstLineChars="0"/>
        <w:jc w:val="center"/>
        <w:rPr>
          <w:rFonts w:hint="eastAsia" w:asciiTheme="minorEastAsia" w:hAnsiTheme="minorEastAsia" w:eastAsiaTheme="minorEastAsia" w:cstheme="minorEastAsia"/>
          <w:b/>
          <w:spacing w:val="20"/>
          <w:w w:val="135"/>
          <w:sz w:val="28"/>
          <w:szCs w:val="28"/>
        </w:rPr>
      </w:pPr>
    </w:p>
    <w:p>
      <w:pPr>
        <w:pStyle w:val="66"/>
        <w:spacing w:before="624" w:beforeLines="200"/>
        <w:ind w:firstLine="0" w:firstLineChars="0"/>
        <w:jc w:val="center"/>
        <w:rPr>
          <w:rFonts w:hint="eastAsia" w:asciiTheme="minorEastAsia" w:hAnsiTheme="minorEastAsia" w:eastAsiaTheme="minorEastAsia" w:cstheme="minorEastAsia"/>
          <w:b/>
          <w:spacing w:val="20"/>
          <w:w w:val="135"/>
          <w:sz w:val="28"/>
          <w:szCs w:val="28"/>
        </w:rPr>
      </w:pPr>
    </w:p>
    <w:p>
      <w:pPr>
        <w:pStyle w:val="66"/>
        <w:keepNext w:val="0"/>
        <w:keepLines w:val="0"/>
        <w:pageBreakBefore w:val="0"/>
        <w:widowControl w:val="0"/>
        <w:kinsoku/>
        <w:wordWrap/>
        <w:overflowPunct/>
        <w:topLinePunct/>
        <w:autoSpaceDE/>
        <w:autoSpaceDN/>
        <w:bidi w:val="0"/>
        <w:adjustRightInd/>
        <w:snapToGrid/>
        <w:spacing w:line="360" w:lineRule="auto"/>
        <w:ind w:firstLine="0" w:firstLineChars="0"/>
        <w:jc w:val="center"/>
        <w:textAlignment w:val="auto"/>
        <w:rPr>
          <w:rFonts w:hint="eastAsia" w:ascii="宋体" w:hAnsi="宋体" w:eastAsia="宋体" w:cs="宋体"/>
          <w:b/>
          <w:bCs w:val="0"/>
          <w:sz w:val="30"/>
          <w:szCs w:val="30"/>
          <w:u w:val="none"/>
          <w:lang w:val="en-US" w:eastAsia="zh-CN"/>
        </w:rPr>
      </w:pPr>
      <w:r>
        <w:rPr>
          <w:rFonts w:hint="eastAsia" w:ascii="宋体" w:hAnsi="宋体" w:eastAsia="宋体" w:cs="宋体"/>
          <w:b/>
          <w:bCs w:val="0"/>
          <w:sz w:val="30"/>
          <w:szCs w:val="30"/>
          <w:u w:val="none"/>
          <w:lang w:val="en-US" w:eastAsia="zh-CN"/>
        </w:rPr>
        <w:t>南方电网数字电网科技（广东）有限公司</w:t>
      </w:r>
    </w:p>
    <w:p>
      <w:pPr>
        <w:pStyle w:val="66"/>
        <w:keepNext w:val="0"/>
        <w:keepLines w:val="0"/>
        <w:pageBreakBefore w:val="0"/>
        <w:widowControl w:val="0"/>
        <w:kinsoku/>
        <w:wordWrap/>
        <w:overflowPunct/>
        <w:topLinePunct/>
        <w:autoSpaceDE/>
        <w:autoSpaceDN/>
        <w:bidi w:val="0"/>
        <w:adjustRightInd/>
        <w:snapToGrid/>
        <w:spacing w:line="360" w:lineRule="auto"/>
        <w:ind w:firstLine="0" w:firstLineChars="0"/>
        <w:jc w:val="both"/>
        <w:textAlignment w:val="auto"/>
        <w:rPr>
          <w:rFonts w:hint="eastAsia" w:ascii="宋体" w:hAnsi="宋体" w:eastAsia="宋体" w:cs="宋体"/>
          <w:b/>
          <w:bCs w:val="0"/>
          <w:sz w:val="30"/>
          <w:szCs w:val="30"/>
          <w:u w:val="none"/>
          <w:lang w:val="en-US" w:eastAsia="zh-CN"/>
        </w:rPr>
      </w:pPr>
    </w:p>
    <w:p>
      <w:pPr>
        <w:pStyle w:val="66"/>
        <w:keepNext w:val="0"/>
        <w:keepLines w:val="0"/>
        <w:pageBreakBefore w:val="0"/>
        <w:widowControl w:val="0"/>
        <w:kinsoku/>
        <w:wordWrap/>
        <w:overflowPunct/>
        <w:topLinePunct/>
        <w:autoSpaceDE/>
        <w:autoSpaceDN/>
        <w:bidi w:val="0"/>
        <w:adjustRightInd/>
        <w:snapToGrid/>
        <w:spacing w:line="360" w:lineRule="auto"/>
        <w:ind w:firstLine="0" w:firstLineChars="0"/>
        <w:jc w:val="center"/>
        <w:textAlignment w:val="auto"/>
        <w:rPr>
          <w:rFonts w:hint="default" w:ascii="宋体" w:hAnsi="宋体" w:eastAsia="宋体" w:cs="宋体"/>
          <w:b/>
          <w:bCs w:val="0"/>
          <w:sz w:val="30"/>
          <w:szCs w:val="30"/>
          <w:u w:val="none"/>
          <w:lang w:val="en-US" w:eastAsia="zh-CN"/>
        </w:rPr>
      </w:pPr>
      <w:r>
        <w:rPr>
          <w:rFonts w:hint="eastAsia" w:ascii="宋体" w:hAnsi="宋体" w:eastAsia="宋体" w:cs="宋体"/>
          <w:b/>
          <w:bCs w:val="0"/>
          <w:sz w:val="30"/>
          <w:szCs w:val="30"/>
          <w:u w:val="none"/>
          <w:lang w:val="en-US" w:eastAsia="zh-CN"/>
        </w:rPr>
        <w:t>202</w:t>
      </w:r>
      <w:r>
        <w:rPr>
          <w:rFonts w:hint="eastAsia" w:cs="宋体"/>
          <w:b/>
          <w:bCs w:val="0"/>
          <w:sz w:val="30"/>
          <w:szCs w:val="30"/>
          <w:u w:val="none"/>
          <w:lang w:val="en-US" w:eastAsia="zh-CN"/>
        </w:rPr>
        <w:t>4</w:t>
      </w:r>
      <w:r>
        <w:rPr>
          <w:rFonts w:hint="eastAsia" w:ascii="宋体" w:hAnsi="宋体" w:eastAsia="宋体" w:cs="宋体"/>
          <w:b/>
          <w:bCs w:val="0"/>
          <w:sz w:val="30"/>
          <w:szCs w:val="30"/>
          <w:u w:val="none"/>
          <w:lang w:val="en-US" w:eastAsia="zh-CN"/>
        </w:rPr>
        <w:t>年4月</w:t>
      </w:r>
    </w:p>
    <w:bookmarkEnd w:id="0"/>
    <w:p>
      <w:pPr>
        <w:keepNext w:val="0"/>
        <w:keepLines w:val="0"/>
        <w:pageBreakBefore/>
        <w:widowControl w:val="0"/>
        <w:numPr>
          <w:ilvl w:val="0"/>
          <w:numId w:val="10"/>
        </w:numPr>
        <w:kinsoku/>
        <w:wordWrap/>
        <w:overflowPunct/>
        <w:topLinePunct w:val="0"/>
        <w:autoSpaceDE/>
        <w:autoSpaceDN/>
        <w:bidi w:val="0"/>
        <w:adjustRightInd w:val="0"/>
        <w:snapToGrid w:val="0"/>
        <w:spacing w:line="360" w:lineRule="auto"/>
        <w:textAlignment w:val="baseline"/>
        <w:outlineLvl w:val="0"/>
        <w:rPr>
          <w:rFonts w:ascii="宋体" w:hAnsi="宋体"/>
          <w:b/>
          <w:color w:val="auto"/>
          <w:kern w:val="0"/>
          <w:sz w:val="24"/>
        </w:rPr>
      </w:pPr>
      <w:bookmarkStart w:id="1" w:name="_Toc216"/>
      <w:bookmarkStart w:id="2" w:name="_Toc8356"/>
      <w:r>
        <w:rPr>
          <w:rFonts w:ascii="宋体" w:hAnsi="宋体"/>
          <w:b/>
          <w:color w:val="auto"/>
          <w:kern w:val="0"/>
          <w:sz w:val="24"/>
        </w:rPr>
        <w:t>总则</w:t>
      </w:r>
      <w:bookmarkEnd w:id="1"/>
      <w:bookmarkEnd w:id="2"/>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sz w:val="24"/>
          <w:szCs w:val="24"/>
        </w:rPr>
      </w:pPr>
      <w:r>
        <w:rPr>
          <w:rFonts w:ascii="宋体" w:hAnsi="宋体"/>
          <w:sz w:val="24"/>
          <w:szCs w:val="24"/>
        </w:rPr>
        <w:t>本</w:t>
      </w:r>
      <w:r>
        <w:rPr>
          <w:rFonts w:hint="eastAsia" w:ascii="宋体" w:hAnsi="宋体"/>
          <w:sz w:val="24"/>
          <w:szCs w:val="24"/>
          <w:lang w:eastAsia="zh-CN"/>
        </w:rPr>
        <w:t>技术</w:t>
      </w:r>
      <w:r>
        <w:rPr>
          <w:rFonts w:hint="eastAsia" w:ascii="宋体" w:hAnsi="宋体"/>
          <w:sz w:val="24"/>
          <w:szCs w:val="24"/>
          <w:lang w:val="en-US" w:eastAsia="zh-CN"/>
        </w:rPr>
        <w:t>规范书</w:t>
      </w:r>
      <w:r>
        <w:rPr>
          <w:rFonts w:ascii="宋体" w:hAnsi="宋体"/>
          <w:sz w:val="24"/>
          <w:szCs w:val="24"/>
        </w:rPr>
        <w:t>适用于</w:t>
      </w:r>
      <w:r>
        <w:rPr>
          <w:rFonts w:hint="eastAsia" w:ascii="宋体" w:hAnsi="宋体"/>
          <w:sz w:val="24"/>
          <w:szCs w:val="24"/>
          <w:lang w:eastAsia="zh-CN"/>
        </w:rPr>
        <w:t>变电站自动化设备智能运维工具</w:t>
      </w:r>
      <w:r>
        <w:rPr>
          <w:rFonts w:hint="eastAsia" w:ascii="宋体" w:hAnsi="宋体"/>
          <w:sz w:val="24"/>
          <w:szCs w:val="24"/>
        </w:rPr>
        <w:t>的功能设计、性能等方面的技术要求。</w:t>
      </w:r>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sz w:val="24"/>
          <w:szCs w:val="24"/>
        </w:rPr>
      </w:pPr>
      <w:r>
        <w:rPr>
          <w:rFonts w:hint="eastAsia" w:ascii="宋体" w:hAnsi="宋体"/>
          <w:sz w:val="24"/>
          <w:szCs w:val="24"/>
          <w:lang w:eastAsia="zh-CN"/>
        </w:rPr>
        <w:t>本项目</w:t>
      </w:r>
      <w:r>
        <w:rPr>
          <w:rFonts w:hint="eastAsia" w:ascii="宋体" w:hAnsi="宋体"/>
          <w:sz w:val="24"/>
          <w:szCs w:val="24"/>
        </w:rPr>
        <w:t>范围只包括南方电网数字电网科技（广东）有限公司</w:t>
      </w:r>
      <w:r>
        <w:rPr>
          <w:rFonts w:hint="eastAsia" w:ascii="宋体" w:hAnsi="宋体"/>
          <w:sz w:val="24"/>
          <w:szCs w:val="24"/>
          <w:lang w:eastAsia="zh-CN"/>
        </w:rPr>
        <w:t>变电站自动化设备智能运维工具委托生产</w:t>
      </w:r>
      <w:r>
        <w:rPr>
          <w:rFonts w:hint="eastAsia" w:ascii="宋体" w:hAnsi="宋体"/>
          <w:sz w:val="24"/>
          <w:szCs w:val="24"/>
        </w:rPr>
        <w:t>及其</w:t>
      </w:r>
      <w:r>
        <w:rPr>
          <w:rFonts w:hint="eastAsia" w:ascii="宋体" w:hAnsi="宋体"/>
          <w:sz w:val="24"/>
          <w:szCs w:val="24"/>
          <w:lang w:eastAsia="zh-CN"/>
        </w:rPr>
        <w:t>现场实施</w:t>
      </w:r>
      <w:r>
        <w:rPr>
          <w:rFonts w:hint="eastAsia" w:ascii="宋体" w:hAnsi="宋体"/>
          <w:sz w:val="24"/>
          <w:szCs w:val="24"/>
        </w:rPr>
        <w:t>服务。</w:t>
      </w:r>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sz w:val="24"/>
          <w:szCs w:val="24"/>
        </w:rPr>
      </w:pPr>
      <w:r>
        <w:rPr>
          <w:rFonts w:ascii="宋体" w:hAnsi="宋体"/>
          <w:sz w:val="24"/>
          <w:szCs w:val="24"/>
        </w:rPr>
        <w:t>本</w:t>
      </w:r>
      <w:r>
        <w:rPr>
          <w:rFonts w:hint="eastAsia" w:ascii="宋体" w:hAnsi="宋体"/>
          <w:sz w:val="24"/>
          <w:szCs w:val="24"/>
          <w:lang w:eastAsia="zh-CN"/>
        </w:rPr>
        <w:t>技术协议</w:t>
      </w:r>
      <w:r>
        <w:rPr>
          <w:rFonts w:ascii="宋体" w:hAnsi="宋体"/>
          <w:sz w:val="24"/>
          <w:szCs w:val="24"/>
        </w:rPr>
        <w:t>提出的是最低限度的技术要求，并未对一切技术细节作出规定，也未充分引述有关标准和规范的条文，</w:t>
      </w:r>
      <w:r>
        <w:rPr>
          <w:rFonts w:hint="eastAsia" w:ascii="宋体" w:hAnsi="宋体"/>
          <w:sz w:val="24"/>
          <w:szCs w:val="24"/>
          <w:lang w:eastAsia="zh-CN"/>
        </w:rPr>
        <w:t>报价方</w:t>
      </w:r>
      <w:r>
        <w:rPr>
          <w:rFonts w:ascii="宋体" w:hAnsi="宋体"/>
          <w:sz w:val="24"/>
          <w:szCs w:val="24"/>
        </w:rPr>
        <w:t>应提供符合本</w:t>
      </w:r>
      <w:bookmarkStart w:id="3" w:name="OLE_LINK1"/>
      <w:bookmarkStart w:id="4" w:name="OLE_LINK2"/>
      <w:r>
        <w:rPr>
          <w:rFonts w:hint="eastAsia" w:ascii="宋体" w:hAnsi="宋体"/>
          <w:sz w:val="24"/>
          <w:szCs w:val="24"/>
          <w:lang w:eastAsia="zh-CN"/>
        </w:rPr>
        <w:t>技术协议</w:t>
      </w:r>
      <w:r>
        <w:rPr>
          <w:rFonts w:hint="eastAsia" w:ascii="宋体" w:hAnsi="宋体"/>
          <w:sz w:val="24"/>
          <w:szCs w:val="24"/>
        </w:rPr>
        <w:t>及本</w:t>
      </w:r>
      <w:r>
        <w:rPr>
          <w:rFonts w:hint="eastAsia" w:ascii="宋体" w:hAnsi="宋体"/>
          <w:sz w:val="24"/>
          <w:szCs w:val="24"/>
          <w:lang w:eastAsia="zh-CN"/>
        </w:rPr>
        <w:t>技术协议</w:t>
      </w:r>
      <w:r>
        <w:rPr>
          <w:rFonts w:hint="eastAsia" w:ascii="宋体" w:hAnsi="宋体"/>
          <w:sz w:val="24"/>
          <w:szCs w:val="24"/>
        </w:rPr>
        <w:t>引用的国家标准和行业标准</w:t>
      </w:r>
      <w:bookmarkEnd w:id="3"/>
      <w:bookmarkEnd w:id="4"/>
      <w:r>
        <w:rPr>
          <w:rFonts w:ascii="宋体" w:hAnsi="宋体"/>
          <w:sz w:val="24"/>
          <w:szCs w:val="24"/>
        </w:rPr>
        <w:t>的优质产品。</w:t>
      </w:r>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sz w:val="24"/>
          <w:szCs w:val="24"/>
        </w:rPr>
      </w:pPr>
      <w:r>
        <w:rPr>
          <w:rFonts w:ascii="宋体" w:hAnsi="宋体"/>
          <w:sz w:val="24"/>
          <w:szCs w:val="24"/>
        </w:rPr>
        <w:t>本</w:t>
      </w:r>
      <w:r>
        <w:rPr>
          <w:rFonts w:hint="eastAsia" w:ascii="宋体" w:hAnsi="宋体"/>
          <w:sz w:val="24"/>
          <w:szCs w:val="24"/>
          <w:lang w:eastAsia="zh-CN"/>
        </w:rPr>
        <w:t>技术协议</w:t>
      </w:r>
      <w:r>
        <w:rPr>
          <w:rFonts w:ascii="宋体" w:hAnsi="宋体"/>
          <w:sz w:val="24"/>
          <w:szCs w:val="24"/>
        </w:rPr>
        <w:t>所</w:t>
      </w:r>
      <w:r>
        <w:rPr>
          <w:rFonts w:hint="eastAsia" w:ascii="宋体" w:hAnsi="宋体"/>
          <w:sz w:val="24"/>
          <w:szCs w:val="24"/>
          <w:lang w:eastAsia="zh-CN"/>
        </w:rPr>
        <w:t>要求</w:t>
      </w:r>
      <w:r>
        <w:rPr>
          <w:rFonts w:ascii="宋体" w:hAnsi="宋体"/>
          <w:sz w:val="24"/>
          <w:szCs w:val="24"/>
        </w:rPr>
        <w:t>的标准如与</w:t>
      </w:r>
      <w:r>
        <w:rPr>
          <w:rFonts w:hint="eastAsia" w:ascii="宋体" w:hAnsi="宋体"/>
          <w:sz w:val="24"/>
          <w:szCs w:val="24"/>
          <w:lang w:eastAsia="zh-CN"/>
        </w:rPr>
        <w:t>报价方</w:t>
      </w:r>
      <w:r>
        <w:rPr>
          <w:rFonts w:ascii="宋体" w:hAnsi="宋体"/>
          <w:sz w:val="24"/>
          <w:szCs w:val="24"/>
        </w:rPr>
        <w:t>所执行的标准不一致时，按较高标准执行。</w:t>
      </w:r>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sz w:val="24"/>
          <w:szCs w:val="24"/>
        </w:rPr>
      </w:pPr>
      <w:r>
        <w:rPr>
          <w:rFonts w:ascii="宋体" w:hAnsi="宋体"/>
          <w:sz w:val="24"/>
          <w:szCs w:val="24"/>
        </w:rPr>
        <w:t>本</w:t>
      </w:r>
      <w:r>
        <w:rPr>
          <w:rFonts w:hint="eastAsia" w:ascii="宋体" w:hAnsi="宋体"/>
          <w:sz w:val="24"/>
          <w:szCs w:val="24"/>
          <w:lang w:eastAsia="zh-CN"/>
        </w:rPr>
        <w:t>技术协议</w:t>
      </w:r>
      <w:r>
        <w:rPr>
          <w:rFonts w:ascii="宋体" w:hAnsi="宋体"/>
          <w:sz w:val="24"/>
          <w:szCs w:val="24"/>
        </w:rPr>
        <w:t>经</w:t>
      </w:r>
      <w:r>
        <w:rPr>
          <w:rFonts w:hint="eastAsia" w:ascii="宋体" w:hAnsi="宋体"/>
          <w:sz w:val="24"/>
          <w:szCs w:val="24"/>
          <w:lang w:val="en-US" w:eastAsia="zh-CN"/>
        </w:rPr>
        <w:t>采购方、成交方双</w:t>
      </w:r>
      <w:r>
        <w:rPr>
          <w:rFonts w:ascii="宋体" w:hAnsi="宋体"/>
          <w:sz w:val="24"/>
          <w:szCs w:val="24"/>
        </w:rPr>
        <w:t>方确认后作为订货合同的技术附件，与合同正文具有同等法律效力。</w:t>
      </w:r>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sz w:val="24"/>
          <w:szCs w:val="24"/>
        </w:rPr>
      </w:pPr>
      <w:r>
        <w:rPr>
          <w:rFonts w:ascii="宋体" w:hAnsi="宋体"/>
          <w:sz w:val="24"/>
          <w:szCs w:val="24"/>
        </w:rPr>
        <w:t>在执行合同的过程中，</w:t>
      </w:r>
      <w:r>
        <w:rPr>
          <w:rFonts w:hint="eastAsia" w:ascii="宋体" w:hAnsi="宋体"/>
          <w:sz w:val="24"/>
          <w:szCs w:val="24"/>
          <w:lang w:eastAsia="zh-CN"/>
        </w:rPr>
        <w:t>采购方若</w:t>
      </w:r>
      <w:r>
        <w:rPr>
          <w:rFonts w:ascii="宋体" w:hAnsi="宋体"/>
          <w:sz w:val="24"/>
          <w:szCs w:val="24"/>
        </w:rPr>
        <w:t>发现</w:t>
      </w:r>
      <w:r>
        <w:rPr>
          <w:rFonts w:hint="eastAsia" w:ascii="宋体" w:hAnsi="宋体"/>
          <w:sz w:val="24"/>
          <w:szCs w:val="24"/>
          <w:lang w:val="en-US" w:eastAsia="zh-CN"/>
        </w:rPr>
        <w:t>成交方</w:t>
      </w:r>
      <w:r>
        <w:rPr>
          <w:rFonts w:ascii="宋体" w:hAnsi="宋体"/>
          <w:sz w:val="24"/>
          <w:szCs w:val="24"/>
        </w:rPr>
        <w:t>提供的产品与</w:t>
      </w:r>
      <w:r>
        <w:rPr>
          <w:rFonts w:hint="eastAsia" w:ascii="宋体" w:hAnsi="宋体"/>
          <w:sz w:val="24"/>
          <w:szCs w:val="24"/>
          <w:lang w:eastAsia="zh-CN"/>
        </w:rPr>
        <w:t>技术协议</w:t>
      </w:r>
      <w:r>
        <w:rPr>
          <w:rFonts w:ascii="宋体" w:hAnsi="宋体"/>
          <w:sz w:val="24"/>
          <w:szCs w:val="24"/>
        </w:rPr>
        <w:t>的条文存在差异，</w:t>
      </w:r>
      <w:r>
        <w:rPr>
          <w:rFonts w:hint="eastAsia" w:ascii="宋体" w:hAnsi="宋体"/>
          <w:sz w:val="24"/>
          <w:szCs w:val="24"/>
          <w:lang w:eastAsia="zh-CN"/>
        </w:rPr>
        <w:t>采购方</w:t>
      </w:r>
      <w:r>
        <w:rPr>
          <w:rFonts w:ascii="宋体" w:hAnsi="宋体"/>
          <w:sz w:val="24"/>
          <w:szCs w:val="24"/>
        </w:rPr>
        <w:t>有权利要求退货。</w:t>
      </w:r>
    </w:p>
    <w:p>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ascii="宋体" w:hAnsi="宋体"/>
          <w:color w:val="auto"/>
          <w:sz w:val="24"/>
          <w:szCs w:val="24"/>
        </w:rPr>
      </w:pPr>
      <w:r>
        <w:rPr>
          <w:rFonts w:ascii="宋体" w:hAnsi="宋体"/>
          <w:sz w:val="24"/>
          <w:szCs w:val="24"/>
        </w:rPr>
        <w:t>本</w:t>
      </w:r>
      <w:r>
        <w:rPr>
          <w:rFonts w:hint="eastAsia" w:ascii="宋体" w:hAnsi="宋体"/>
          <w:sz w:val="24"/>
          <w:szCs w:val="24"/>
          <w:lang w:eastAsia="zh-CN"/>
        </w:rPr>
        <w:t>技术协议</w:t>
      </w:r>
      <w:r>
        <w:rPr>
          <w:rFonts w:ascii="宋体" w:hAnsi="宋体"/>
          <w:sz w:val="24"/>
          <w:szCs w:val="24"/>
        </w:rPr>
        <w:t>未尽事宜，由</w:t>
      </w:r>
      <w:r>
        <w:rPr>
          <w:rFonts w:hint="eastAsia" w:ascii="宋体" w:hAnsi="宋体"/>
          <w:sz w:val="24"/>
          <w:szCs w:val="24"/>
          <w:lang w:val="en-US" w:eastAsia="zh-CN"/>
        </w:rPr>
        <w:t>采购方、成交方</w:t>
      </w:r>
      <w:r>
        <w:rPr>
          <w:rFonts w:ascii="宋体" w:hAnsi="宋体"/>
          <w:sz w:val="24"/>
          <w:szCs w:val="24"/>
        </w:rPr>
        <w:t>双方协商确定。</w:t>
      </w:r>
    </w:p>
    <w:p>
      <w:pPr>
        <w:numPr>
          <w:ilvl w:val="0"/>
          <w:numId w:val="11"/>
        </w:numPr>
        <w:adjustRightInd w:val="0"/>
        <w:snapToGrid w:val="0"/>
        <w:spacing w:line="360" w:lineRule="auto"/>
        <w:ind w:firstLine="480" w:firstLineChars="200"/>
        <w:jc w:val="both"/>
        <w:outlineLvl w:val="9"/>
        <w:rPr>
          <w:rFonts w:hint="default" w:ascii="宋体" w:hAnsi="宋体" w:eastAsia="宋体"/>
          <w:sz w:val="24"/>
          <w:lang w:val="en-US" w:eastAsia="zh-CN"/>
        </w:rPr>
      </w:pPr>
      <w:r>
        <w:rPr>
          <w:rFonts w:hint="eastAsia" w:ascii="宋体" w:hAnsi="宋体"/>
          <w:sz w:val="24"/>
          <w:szCs w:val="24"/>
          <w:lang w:val="en-US" w:eastAsia="zh-CN"/>
        </w:rPr>
        <w:t>报价人</w:t>
      </w:r>
      <w:r>
        <w:rPr>
          <w:rFonts w:hint="default" w:ascii="宋体" w:hAnsi="宋体"/>
          <w:sz w:val="24"/>
          <w:szCs w:val="24"/>
          <w:lang w:val="en-US" w:eastAsia="zh-CN"/>
        </w:rPr>
        <w:t>若不能完全响应或优于响应</w:t>
      </w:r>
      <w:r>
        <w:rPr>
          <w:rFonts w:hint="eastAsia" w:ascii="宋体" w:hAnsi="宋体"/>
          <w:sz w:val="24"/>
          <w:szCs w:val="24"/>
          <w:lang w:val="en-US" w:eastAsia="zh-CN"/>
        </w:rPr>
        <w:t>本技术协议要</w:t>
      </w:r>
      <w:bookmarkStart w:id="29" w:name="_GoBack"/>
      <w:bookmarkEnd w:id="29"/>
      <w:r>
        <w:rPr>
          <w:rFonts w:hint="eastAsia" w:ascii="宋体" w:hAnsi="宋体"/>
          <w:sz w:val="24"/>
          <w:szCs w:val="24"/>
          <w:lang w:val="en-US" w:eastAsia="zh-CN"/>
        </w:rPr>
        <w:t>求，则视为报价无效。</w:t>
      </w:r>
    </w:p>
    <w:p>
      <w:pPr>
        <w:numPr>
          <w:ilvl w:val="0"/>
          <w:numId w:val="10"/>
        </w:numPr>
        <w:adjustRightInd w:val="0"/>
        <w:snapToGrid w:val="0"/>
        <w:spacing w:line="360" w:lineRule="auto"/>
        <w:textAlignment w:val="baseline"/>
        <w:outlineLvl w:val="0"/>
        <w:rPr>
          <w:rFonts w:ascii="宋体" w:hAnsi="宋体"/>
          <w:b/>
          <w:color w:val="auto"/>
          <w:kern w:val="0"/>
          <w:sz w:val="24"/>
        </w:rPr>
      </w:pPr>
      <w:bookmarkStart w:id="5" w:name="_Toc1766"/>
      <w:bookmarkStart w:id="6" w:name="_Toc6144"/>
      <w:r>
        <w:rPr>
          <w:rFonts w:ascii="宋体" w:hAnsi="宋体"/>
          <w:b/>
          <w:color w:val="auto"/>
          <w:kern w:val="0"/>
          <w:sz w:val="24"/>
        </w:rPr>
        <w:t>应遵循的主要标准</w:t>
      </w:r>
      <w:bookmarkEnd w:id="5"/>
      <w:bookmarkEnd w:id="6"/>
    </w:p>
    <w:p>
      <w:pPr>
        <w:tabs>
          <w:tab w:val="left" w:pos="1440"/>
          <w:tab w:val="left" w:pos="3960"/>
        </w:tabs>
        <w:adjustRightInd w:val="0"/>
        <w:snapToGrid w:val="0"/>
        <w:spacing w:line="360" w:lineRule="auto"/>
        <w:ind w:firstLine="480" w:firstLineChars="200"/>
        <w:rPr>
          <w:rFonts w:ascii="宋体" w:hAnsi="宋体"/>
          <w:color w:val="auto"/>
          <w:sz w:val="24"/>
        </w:rPr>
      </w:pPr>
      <w:r>
        <w:rPr>
          <w:rFonts w:ascii="宋体" w:hAnsi="宋体"/>
          <w:color w:val="auto"/>
          <w:sz w:val="24"/>
        </w:rPr>
        <w:t>下列标准所包含的条文，通过在本</w:t>
      </w:r>
      <w:r>
        <w:rPr>
          <w:rFonts w:hint="eastAsia" w:ascii="宋体" w:hAnsi="宋体"/>
          <w:color w:val="auto"/>
          <w:sz w:val="24"/>
          <w:lang w:eastAsia="zh-CN"/>
        </w:rPr>
        <w:t>技术协议</w:t>
      </w:r>
      <w:r>
        <w:rPr>
          <w:rFonts w:ascii="宋体" w:hAnsi="宋体"/>
          <w:color w:val="auto"/>
          <w:sz w:val="24"/>
        </w:rPr>
        <w:t>中引用而构成本</w:t>
      </w:r>
      <w:r>
        <w:rPr>
          <w:rFonts w:hint="eastAsia" w:ascii="宋体" w:hAnsi="宋体"/>
          <w:color w:val="auto"/>
          <w:sz w:val="24"/>
          <w:lang w:eastAsia="zh-CN"/>
        </w:rPr>
        <w:t>技术协议</w:t>
      </w:r>
      <w:r>
        <w:rPr>
          <w:rFonts w:ascii="宋体" w:hAnsi="宋体"/>
          <w:color w:val="auto"/>
          <w:sz w:val="24"/>
        </w:rPr>
        <w:t>的基本条文。在本</w:t>
      </w:r>
      <w:r>
        <w:rPr>
          <w:rFonts w:hint="eastAsia" w:ascii="宋体" w:hAnsi="宋体"/>
          <w:color w:val="auto"/>
          <w:sz w:val="24"/>
          <w:lang w:eastAsia="zh-CN"/>
        </w:rPr>
        <w:t>技术协议</w:t>
      </w:r>
      <w:r>
        <w:rPr>
          <w:rFonts w:ascii="宋体" w:hAnsi="宋体"/>
          <w:color w:val="auto"/>
          <w:sz w:val="24"/>
        </w:rPr>
        <w:t>出版时，所示版本均为有效。所有标准都会被修订，使用本</w:t>
      </w:r>
      <w:r>
        <w:rPr>
          <w:rFonts w:hint="eastAsia" w:ascii="宋体" w:hAnsi="宋体"/>
          <w:color w:val="auto"/>
          <w:sz w:val="24"/>
          <w:lang w:eastAsia="zh-CN"/>
        </w:rPr>
        <w:t>技术协议</w:t>
      </w:r>
      <w:r>
        <w:rPr>
          <w:rFonts w:ascii="宋体" w:hAnsi="宋体"/>
          <w:color w:val="auto"/>
          <w:sz w:val="24"/>
        </w:rPr>
        <w:t>的各方应探讨使用下列标准最新版本的可能性。按标准号顺序排列标准，如果各标准要求有所不同，满足更高的标准要求。</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color w:val="000000"/>
          <w:sz w:val="24"/>
          <w:szCs w:val="24"/>
          <w:lang w:val="sv-SE"/>
        </w:rPr>
      </w:pPr>
      <w:bookmarkStart w:id="7" w:name="_Toc24736"/>
      <w:bookmarkStart w:id="8" w:name="_Toc12013"/>
      <w:bookmarkStart w:id="9" w:name="_Toc306129423"/>
      <w:r>
        <w:rPr>
          <w:color w:val="000000"/>
          <w:sz w:val="24"/>
          <w:szCs w:val="24"/>
          <w:lang w:val="sv-SE"/>
        </w:rPr>
        <w:t>《</w:t>
      </w:r>
      <w:r>
        <w:rPr>
          <w:rFonts w:hint="eastAsia"/>
          <w:color w:val="000000"/>
          <w:sz w:val="24"/>
          <w:szCs w:val="24"/>
          <w:lang w:val="sv-SE"/>
        </w:rPr>
        <w:t>电力监控系统安全防护规定</w:t>
      </w:r>
      <w:r>
        <w:rPr>
          <w:color w:val="000000"/>
          <w:sz w:val="24"/>
          <w:szCs w:val="24"/>
          <w:lang w:val="sv-SE"/>
        </w:rPr>
        <w:t>》</w:t>
      </w:r>
      <w:r>
        <w:rPr>
          <w:rFonts w:hint="eastAsia"/>
          <w:color w:val="000000"/>
          <w:sz w:val="24"/>
          <w:szCs w:val="24"/>
          <w:lang w:val="sv-SE"/>
        </w:rPr>
        <w:t>(国家发展和改革委员会令2014年第14号令)</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color w:val="000000"/>
          <w:sz w:val="24"/>
          <w:szCs w:val="24"/>
          <w:lang w:val="sv-SE"/>
        </w:rPr>
      </w:pPr>
      <w:r>
        <w:rPr>
          <w:rFonts w:hint="eastAsia"/>
          <w:color w:val="000000"/>
          <w:sz w:val="24"/>
          <w:szCs w:val="24"/>
          <w:lang w:val="sv-SE"/>
        </w:rPr>
        <w:t>《国家能源局关于印发电力监控系统安全防护总统方案等安全防护方案和评估规范的通知》（国能安全[2015]36号）</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rFonts w:hint="eastAsia"/>
          <w:color w:val="000000"/>
          <w:sz w:val="24"/>
          <w:szCs w:val="24"/>
          <w:lang w:val="sv-SE"/>
        </w:rPr>
      </w:pPr>
      <w:r>
        <w:rPr>
          <w:rFonts w:hint="eastAsia"/>
          <w:color w:val="000000"/>
          <w:sz w:val="24"/>
          <w:szCs w:val="24"/>
          <w:lang w:val="sv-SE"/>
        </w:rPr>
        <w:t>GB/T 32890     继电保护 IEC 61850 工程应用模型</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rFonts w:hint="eastAsia"/>
          <w:color w:val="000000"/>
          <w:sz w:val="24"/>
          <w:szCs w:val="24"/>
          <w:lang w:val="sv-SE"/>
        </w:rPr>
      </w:pPr>
      <w:r>
        <w:rPr>
          <w:rFonts w:hint="eastAsia"/>
          <w:color w:val="000000"/>
          <w:sz w:val="24"/>
          <w:szCs w:val="24"/>
          <w:lang w:val="sv-SE"/>
        </w:rPr>
        <w:t>GB/T 34121     智能变电站继电保护配置工具技术规范</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rFonts w:hint="eastAsia"/>
          <w:color w:val="000000"/>
          <w:sz w:val="24"/>
          <w:szCs w:val="24"/>
          <w:lang w:val="sv-SE"/>
        </w:rPr>
      </w:pPr>
      <w:r>
        <w:rPr>
          <w:rFonts w:hint="eastAsia"/>
          <w:color w:val="000000"/>
          <w:sz w:val="24"/>
          <w:szCs w:val="24"/>
          <w:lang w:val="sv-SE"/>
        </w:rPr>
        <w:t>DL/T 860       电力自动化通信网络和系统</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rFonts w:hint="eastAsia"/>
          <w:color w:val="000000"/>
          <w:sz w:val="24"/>
          <w:szCs w:val="24"/>
          <w:lang w:val="sv-SE"/>
        </w:rPr>
      </w:pPr>
      <w:r>
        <w:rPr>
          <w:rFonts w:hint="eastAsia"/>
          <w:color w:val="000000"/>
          <w:sz w:val="24"/>
          <w:szCs w:val="24"/>
          <w:lang w:val="sv-SE"/>
        </w:rPr>
        <w:t>DL/T 1146      DL/T 860 实施技术规范</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rFonts w:hint="eastAsia"/>
          <w:color w:val="000000"/>
          <w:sz w:val="24"/>
          <w:szCs w:val="24"/>
          <w:lang w:val="sv-SE"/>
        </w:rPr>
      </w:pPr>
      <w:r>
        <w:rPr>
          <w:rFonts w:hint="eastAsia"/>
          <w:color w:val="000000"/>
          <w:sz w:val="24"/>
          <w:szCs w:val="24"/>
          <w:lang w:val="sv-SE"/>
        </w:rPr>
        <w:t>Q/CSG1203065   变电站IEC61850工程通用应用模型</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901" w:leftChars="0" w:right="0" w:rightChars="0" w:hanging="420" w:firstLineChars="0"/>
        <w:jc w:val="both"/>
        <w:textAlignment w:val="auto"/>
        <w:outlineLvl w:val="9"/>
        <w:rPr>
          <w:rFonts w:hint="eastAsia"/>
          <w:color w:val="000000"/>
          <w:sz w:val="24"/>
          <w:szCs w:val="24"/>
          <w:lang w:val="sv-SE"/>
        </w:rPr>
      </w:pPr>
      <w:r>
        <w:rPr>
          <w:rFonts w:hint="eastAsia"/>
          <w:color w:val="000000"/>
          <w:sz w:val="24"/>
          <w:szCs w:val="24"/>
          <w:lang w:val="sv-SE"/>
        </w:rPr>
        <w:t>Q/CSG1203066   变电站过程层以太网交换机技术规范</w:t>
      </w:r>
    </w:p>
    <w:p>
      <w:pPr>
        <w:keepNext w:val="0"/>
        <w:keepLines w:val="0"/>
        <w:pageBreakBefore w:val="0"/>
        <w:widowControl w:val="0"/>
        <w:numPr>
          <w:ilvl w:val="0"/>
          <w:numId w:val="10"/>
        </w:numPr>
        <w:kinsoku/>
        <w:wordWrap/>
        <w:overflowPunct/>
        <w:topLinePunct w:val="0"/>
        <w:autoSpaceDE/>
        <w:autoSpaceDN/>
        <w:bidi w:val="0"/>
        <w:adjustRightInd w:val="0"/>
        <w:snapToGrid w:val="0"/>
        <w:spacing w:before="313" w:beforeLines="100" w:line="360" w:lineRule="auto"/>
        <w:ind w:left="0" w:leftChars="0" w:right="0" w:rightChars="0" w:firstLine="0" w:firstLineChars="0"/>
        <w:jc w:val="both"/>
        <w:textAlignment w:val="baseline"/>
        <w:outlineLvl w:val="0"/>
        <w:rPr>
          <w:rFonts w:ascii="宋体" w:hAnsi="宋体"/>
          <w:b/>
          <w:color w:val="auto"/>
          <w:kern w:val="0"/>
          <w:sz w:val="24"/>
        </w:rPr>
      </w:pPr>
      <w:r>
        <w:rPr>
          <w:rFonts w:hint="eastAsia" w:ascii="宋体" w:hAnsi="宋体"/>
          <w:b/>
          <w:color w:val="auto"/>
          <w:kern w:val="0"/>
          <w:sz w:val="24"/>
        </w:rPr>
        <w:t>使用条件</w:t>
      </w:r>
      <w:bookmarkEnd w:id="7"/>
      <w:bookmarkEnd w:id="8"/>
    </w:p>
    <w:p>
      <w:pPr>
        <w:numPr>
          <w:ilvl w:val="0"/>
          <w:numId w:val="13"/>
        </w:numPr>
        <w:adjustRightInd w:val="0"/>
        <w:snapToGrid w:val="0"/>
        <w:spacing w:line="360" w:lineRule="auto"/>
        <w:rPr>
          <w:rFonts w:ascii="宋体" w:hAnsi="宋体"/>
          <w:color w:val="auto"/>
          <w:sz w:val="24"/>
        </w:rPr>
      </w:pPr>
      <w:r>
        <w:rPr>
          <w:rFonts w:hint="eastAsia" w:ascii="宋体" w:hAnsi="宋体"/>
          <w:color w:val="auto"/>
          <w:sz w:val="24"/>
        </w:rPr>
        <w:t>工作环境条件</w:t>
      </w:r>
    </w:p>
    <w:p>
      <w:pPr>
        <w:numPr>
          <w:ilvl w:val="0"/>
          <w:numId w:val="14"/>
        </w:numPr>
        <w:adjustRightInd w:val="0"/>
        <w:snapToGrid w:val="0"/>
        <w:spacing w:line="360" w:lineRule="auto"/>
        <w:rPr>
          <w:rFonts w:ascii="宋体" w:hAnsi="宋体"/>
          <w:color w:val="auto"/>
          <w:sz w:val="24"/>
        </w:rPr>
      </w:pPr>
      <w:r>
        <w:rPr>
          <w:rFonts w:hint="eastAsia" w:ascii="宋体" w:hAnsi="宋体"/>
          <w:color w:val="auto"/>
          <w:sz w:val="24"/>
        </w:rPr>
        <w:t>环境温度：-5℃～+45℃；</w:t>
      </w:r>
    </w:p>
    <w:p>
      <w:pPr>
        <w:numPr>
          <w:ilvl w:val="0"/>
          <w:numId w:val="14"/>
        </w:numPr>
        <w:adjustRightInd w:val="0"/>
        <w:snapToGrid w:val="0"/>
        <w:spacing w:line="360" w:lineRule="auto"/>
        <w:rPr>
          <w:rFonts w:ascii="宋体" w:hAnsi="宋体"/>
          <w:color w:val="auto"/>
          <w:sz w:val="24"/>
        </w:rPr>
      </w:pPr>
      <w:r>
        <w:rPr>
          <w:rFonts w:hint="eastAsia" w:ascii="宋体" w:hAnsi="宋体"/>
          <w:color w:val="auto"/>
          <w:sz w:val="24"/>
        </w:rPr>
        <w:t>相对湿度：5%～95％；</w:t>
      </w:r>
    </w:p>
    <w:p>
      <w:pPr>
        <w:numPr>
          <w:ilvl w:val="0"/>
          <w:numId w:val="14"/>
        </w:numPr>
        <w:adjustRightInd w:val="0"/>
        <w:snapToGrid w:val="0"/>
        <w:spacing w:line="360" w:lineRule="auto"/>
        <w:rPr>
          <w:rFonts w:ascii="宋体" w:hAnsi="宋体"/>
          <w:color w:val="auto"/>
          <w:sz w:val="24"/>
        </w:rPr>
      </w:pPr>
      <w:r>
        <w:rPr>
          <w:rFonts w:hint="eastAsia" w:ascii="宋体" w:hAnsi="宋体"/>
          <w:color w:val="auto"/>
          <w:sz w:val="24"/>
        </w:rPr>
        <w:t>大气压力：</w:t>
      </w:r>
      <w:r>
        <w:rPr>
          <w:rFonts w:ascii="宋体" w:hAnsi="宋体"/>
          <w:color w:val="auto"/>
          <w:sz w:val="24"/>
        </w:rPr>
        <w:t xml:space="preserve"> 70kPa～106kPa；</w:t>
      </w:r>
    </w:p>
    <w:p>
      <w:pPr>
        <w:numPr>
          <w:ilvl w:val="0"/>
          <w:numId w:val="13"/>
        </w:numPr>
        <w:adjustRightInd w:val="0"/>
        <w:snapToGrid w:val="0"/>
        <w:spacing w:line="360" w:lineRule="auto"/>
        <w:rPr>
          <w:rFonts w:ascii="宋体" w:hAnsi="宋体"/>
          <w:color w:val="auto"/>
          <w:sz w:val="24"/>
        </w:rPr>
      </w:pPr>
      <w:r>
        <w:rPr>
          <w:rFonts w:hint="eastAsia" w:ascii="宋体" w:hAnsi="宋体"/>
          <w:color w:val="auto"/>
          <w:sz w:val="24"/>
        </w:rPr>
        <w:t>贮存、运输极限环境温度</w:t>
      </w:r>
    </w:p>
    <w:p>
      <w:pPr>
        <w:adjustRightInd w:val="0"/>
        <w:snapToGrid w:val="0"/>
        <w:spacing w:line="360" w:lineRule="auto"/>
        <w:ind w:firstLine="480" w:firstLineChars="200"/>
        <w:rPr>
          <w:rFonts w:hint="eastAsia" w:ascii="宋体" w:hAnsi="宋体"/>
          <w:color w:val="auto"/>
          <w:sz w:val="24"/>
        </w:rPr>
      </w:pPr>
      <w:r>
        <w:rPr>
          <w:rFonts w:hint="eastAsia" w:ascii="宋体" w:hAnsi="宋体"/>
          <w:color w:val="auto"/>
          <w:sz w:val="24"/>
        </w:rPr>
        <w:t>贮存、运输环境温度极限值为-25℃～+70℃，在不施加任何激励量的条件下，装置应不出现不可逆变化。温度恢复正常后，装置的性能应仍符合本部分中的有关要求。</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rPr>
      </w:pPr>
    </w:p>
    <w:p>
      <w:pPr>
        <w:numPr>
          <w:ilvl w:val="0"/>
          <w:numId w:val="10"/>
        </w:numPr>
        <w:adjustRightInd w:val="0"/>
        <w:snapToGrid w:val="0"/>
        <w:spacing w:line="360" w:lineRule="auto"/>
        <w:textAlignment w:val="baseline"/>
        <w:rPr>
          <w:rFonts w:hint="eastAsia" w:ascii="宋体" w:hAnsi="宋体" w:eastAsia="宋体"/>
          <w:b/>
          <w:color w:val="auto"/>
          <w:kern w:val="0"/>
          <w:sz w:val="24"/>
          <w:lang w:val="en-US" w:eastAsia="zh-CN"/>
        </w:rPr>
      </w:pPr>
      <w:r>
        <w:rPr>
          <w:rFonts w:hint="eastAsia" w:ascii="宋体" w:hAnsi="宋体"/>
          <w:b/>
          <w:color w:val="auto"/>
          <w:kern w:val="0"/>
          <w:sz w:val="24"/>
          <w:lang w:val="en-US" w:eastAsia="zh-CN"/>
        </w:rPr>
        <w:t>交货时间：2024年5月20日前</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lang w:val="en-US" w:eastAsia="zh-CN"/>
        </w:rPr>
      </w:pPr>
    </w:p>
    <w:p>
      <w:pPr>
        <w:numPr>
          <w:ilvl w:val="0"/>
          <w:numId w:val="10"/>
        </w:numPr>
        <w:adjustRightInd w:val="0"/>
        <w:snapToGrid w:val="0"/>
        <w:spacing w:line="360" w:lineRule="auto"/>
        <w:textAlignment w:val="baseline"/>
        <w:outlineLvl w:val="0"/>
        <w:rPr>
          <w:rFonts w:ascii="宋体" w:hAnsi="宋体"/>
          <w:b/>
          <w:color w:val="auto"/>
          <w:sz w:val="24"/>
        </w:rPr>
      </w:pPr>
      <w:bookmarkStart w:id="10" w:name="_Toc21795"/>
      <w:bookmarkStart w:id="11" w:name="_Toc8488"/>
      <w:r>
        <w:rPr>
          <w:rFonts w:hint="eastAsia" w:ascii="宋体" w:hAnsi="宋体"/>
          <w:b/>
          <w:color w:val="auto"/>
          <w:kern w:val="0"/>
          <w:sz w:val="24"/>
        </w:rPr>
        <w:t>技术</w:t>
      </w:r>
      <w:bookmarkEnd w:id="9"/>
      <w:bookmarkEnd w:id="10"/>
      <w:bookmarkEnd w:id="11"/>
      <w:r>
        <w:rPr>
          <w:rFonts w:hint="eastAsia" w:ascii="宋体" w:hAnsi="宋体"/>
          <w:b/>
          <w:color w:val="auto"/>
          <w:kern w:val="0"/>
          <w:sz w:val="24"/>
          <w:lang w:val="en-US" w:eastAsia="zh-CN"/>
        </w:rPr>
        <w:t>要求</w:t>
      </w:r>
    </w:p>
    <w:p>
      <w:pPr>
        <w:numPr>
          <w:ilvl w:val="0"/>
          <w:numId w:val="15"/>
        </w:numPr>
        <w:adjustRightInd w:val="0"/>
        <w:snapToGrid w:val="0"/>
        <w:spacing w:line="360" w:lineRule="auto"/>
        <w:outlineLvl w:val="1"/>
        <w:rPr>
          <w:rFonts w:ascii="宋体" w:hAnsi="宋体"/>
          <w:b/>
          <w:color w:val="auto"/>
          <w:sz w:val="24"/>
        </w:rPr>
      </w:pPr>
      <w:r>
        <w:rPr>
          <w:rFonts w:hint="eastAsia" w:ascii="宋体" w:hAnsi="宋体"/>
          <w:b/>
          <w:color w:val="auto"/>
          <w:sz w:val="24"/>
        </w:rPr>
        <w:t>总体要求</w:t>
      </w:r>
    </w:p>
    <w:p>
      <w:pPr>
        <w:pStyle w:val="97"/>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配置工具包括系统配置和IED配置功能。遵循Q/CSG1203065及相关装置技术规范的智能变电站间隔层、过程层设备，实现标准规定的系统配置和IED配置。</w:t>
      </w:r>
    </w:p>
    <w:p>
      <w:pPr>
        <w:pStyle w:val="97"/>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具备Schema语法、语义校核功能。</w:t>
      </w:r>
    </w:p>
    <w:p>
      <w:pPr>
        <w:pStyle w:val="97"/>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配置工具生成的SCD文件满足Q/CSG1203065要求，相关配置信息完整、准确、无缺漏。</w:t>
      </w:r>
    </w:p>
    <w:p>
      <w:pPr>
        <w:pStyle w:val="97"/>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★以SCD文件作为唯一数据源，生成并导出符合DL/T 860、Q/CSG1203065、Q/CSG1203066标准要求的CID、CCD、CSD文件，还需具备导出CAD图形文件等高级功能。</w:t>
      </w:r>
    </w:p>
    <w:p>
      <w:pPr>
        <w:pStyle w:val="97"/>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具备采用列表方式查看IED的厂家、型号、ICD文件版本及CRC校验码。</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eastAsia" w:ascii="宋体" w:hAnsi="宋体"/>
          <w:b/>
          <w:bCs/>
          <w:color w:val="auto"/>
          <w:sz w:val="28"/>
          <w:szCs w:val="28"/>
          <w:lang w:val="en-US" w:eastAsia="zh-CN"/>
        </w:rPr>
      </w:pPr>
      <w:r>
        <w:rPr>
          <w:rFonts w:hint="eastAsia" w:ascii="宋体" w:hAnsi="宋体"/>
          <w:b/>
          <w:bCs/>
          <w:color w:val="auto"/>
          <w:sz w:val="28"/>
          <w:szCs w:val="28"/>
          <w:lang w:val="en-US" w:eastAsia="zh-CN"/>
        </w:rPr>
        <w:t>报价人响应：</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b/>
          <w:bCs/>
          <w:color w:val="auto"/>
          <w:sz w:val="28"/>
          <w:szCs w:val="28"/>
          <w:lang w:val="en-US" w:eastAsia="zh-CN"/>
        </w:rPr>
      </w:pPr>
    </w:p>
    <w:p>
      <w:pPr>
        <w:numPr>
          <w:ilvl w:val="0"/>
          <w:numId w:val="15"/>
        </w:numPr>
        <w:adjustRightInd w:val="0"/>
        <w:snapToGrid w:val="0"/>
        <w:spacing w:line="360" w:lineRule="auto"/>
        <w:outlineLvl w:val="1"/>
        <w:rPr>
          <w:rFonts w:hint="eastAsia" w:ascii="宋体" w:hAnsi="宋体"/>
          <w:b/>
          <w:color w:val="auto"/>
          <w:sz w:val="24"/>
        </w:rPr>
      </w:pPr>
      <w:r>
        <w:rPr>
          <w:rFonts w:hint="eastAsia" w:ascii="宋体" w:hAnsi="宋体"/>
          <w:b/>
          <w:color w:val="auto"/>
          <w:sz w:val="24"/>
        </w:rPr>
        <w:t>基本功能</w:t>
      </w:r>
    </w:p>
    <w:p>
      <w:pPr>
        <w:pStyle w:val="97"/>
        <w:keepNext w:val="0"/>
        <w:keepLines w:val="0"/>
        <w:pageBreakBefore w:val="0"/>
        <w:widowControl w:val="0"/>
        <w:numPr>
          <w:ilvl w:val="0"/>
          <w:numId w:val="1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具备友好的中文人机界面，如具备菜单栏、工具栏、右键操作、快捷键、帮助菜单，其中帮助菜单包括工具帮助文档，工具版本号。</w:t>
      </w:r>
    </w:p>
    <w:p>
      <w:pPr>
        <w:pStyle w:val="97"/>
        <w:keepNext w:val="0"/>
        <w:keepLines w:val="0"/>
        <w:pageBreakBefore w:val="0"/>
        <w:widowControl w:val="0"/>
        <w:numPr>
          <w:ilvl w:val="0"/>
          <w:numId w:val="1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具备稳定性高的软件基本特性。</w:t>
      </w:r>
    </w:p>
    <w:p>
      <w:pPr>
        <w:pStyle w:val="97"/>
        <w:keepNext w:val="0"/>
        <w:keepLines w:val="0"/>
        <w:pageBreakBefore w:val="0"/>
        <w:widowControl w:val="0"/>
        <w:numPr>
          <w:ilvl w:val="0"/>
          <w:numId w:val="1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明确说明硬件、操作系统使用环境。</w:t>
      </w:r>
    </w:p>
    <w:p>
      <w:pPr>
        <w:pStyle w:val="97"/>
        <w:keepNext w:val="0"/>
        <w:keepLines w:val="0"/>
        <w:pageBreakBefore w:val="0"/>
        <w:widowControl w:val="0"/>
        <w:numPr>
          <w:ilvl w:val="0"/>
          <w:numId w:val="1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具备对虚回路图形化、可视化显示和配置功能。</w:t>
      </w:r>
    </w:p>
    <w:p>
      <w:pPr>
        <w:pStyle w:val="97"/>
        <w:keepNext w:val="0"/>
        <w:keepLines w:val="0"/>
        <w:pageBreakBefore w:val="0"/>
        <w:widowControl w:val="0"/>
        <w:numPr>
          <w:ilvl w:val="0"/>
          <w:numId w:val="1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将过程层交换机视为IED设备一并配置，配置信息包含交换机IEDname、交换机业务端口等基本信息，以及网络拓扑关系、GOOSE/SV转发端口信息等。</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eastAsia" w:ascii="宋体" w:hAnsi="宋体"/>
          <w:color w:val="auto"/>
          <w:sz w:val="24"/>
        </w:rPr>
      </w:pPr>
    </w:p>
    <w:p>
      <w:pPr>
        <w:numPr>
          <w:ilvl w:val="0"/>
          <w:numId w:val="15"/>
        </w:numPr>
        <w:adjustRightInd w:val="0"/>
        <w:snapToGrid w:val="0"/>
        <w:spacing w:line="360" w:lineRule="auto"/>
        <w:outlineLvl w:val="1"/>
        <w:rPr>
          <w:rFonts w:hint="eastAsia" w:ascii="宋体" w:hAnsi="宋体"/>
          <w:b/>
          <w:color w:val="auto"/>
          <w:sz w:val="24"/>
          <w:highlight w:val="none"/>
        </w:rPr>
      </w:pPr>
      <w:r>
        <w:rPr>
          <w:rFonts w:hint="eastAsia" w:ascii="宋体" w:hAnsi="宋体"/>
          <w:b/>
          <w:color w:val="auto"/>
          <w:sz w:val="24"/>
          <w:highlight w:val="none"/>
        </w:rPr>
        <w:t>系统配置功能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.1　应在保存文件时提示用户保存详细配置历史记录并自动保存。</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.2　★应具备SCD文件比对功能，包括虚端子连接关系、网络拓扑关系、通信参数、CRC校验码等配置变更时应提示给用户。</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.3　提示SCD文件Header元素的id属性配置为变电站名称；自动配置CID文件的id属性与IED元素的type属性一致。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.4　管理配置文件的版本及修订记录</w:t>
      </w:r>
    </w:p>
    <w:p>
      <w:pPr>
        <w:pStyle w:val="97"/>
        <w:keepNext w:val="0"/>
        <w:keepLines w:val="0"/>
        <w:pageBreakBefore w:val="0"/>
        <w:widowControl w:val="0"/>
        <w:numPr>
          <w:ilvl w:val="0"/>
          <w:numId w:val="18"/>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按Q/CSG1203065的要求，自动记录工具名称（tool ID），自动生成版本(version)、修订版本(revision)和生成时间(when)等属性。应提示配置人员填写修改人(who)、修改什么(what)和修改原因(why)。SCD文件版本与文件修订版本应支持手动修改；</w:t>
      </w:r>
    </w:p>
    <w:p>
      <w:pPr>
        <w:pStyle w:val="97"/>
        <w:keepNext w:val="0"/>
        <w:keepLines w:val="0"/>
        <w:pageBreakBefore w:val="0"/>
        <w:widowControl w:val="0"/>
        <w:numPr>
          <w:ilvl w:val="0"/>
          <w:numId w:val="18"/>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SCD文件版本从1.0开始，当文件增加了新的IED或某个IED模型实例升级时，以步长0.1向上累加；修订版本从1.0开始，当文件做了通信配置、参数、描述修改时，以步长0.1向上累加。SCD文件版本增加时，文件修订版本置1.0；</w:t>
      </w:r>
    </w:p>
    <w:p>
      <w:pPr>
        <w:pStyle w:val="97"/>
        <w:keepNext w:val="0"/>
        <w:keepLines w:val="0"/>
        <w:pageBreakBefore w:val="0"/>
        <w:widowControl w:val="0"/>
        <w:numPr>
          <w:ilvl w:val="0"/>
          <w:numId w:val="18"/>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按Q/CSG 1203066要求，配置CSD文件的Header元素和History元素。</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.5　配置文件的校验码</w:t>
      </w:r>
    </w:p>
    <w:p>
      <w:pPr>
        <w:pStyle w:val="97"/>
        <w:keepNext w:val="0"/>
        <w:keepLines w:val="0"/>
        <w:pageBreakBefore w:val="0"/>
        <w:widowControl w:val="0"/>
        <w:numPr>
          <w:ilvl w:val="0"/>
          <w:numId w:val="1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配置工具在导入ICD文件时，计算ICD文件的CRC校验码, 与ICD文件名中的CRC校验码比较，若比较结果一致，才允许ICD文件导入到SCD文件中，生成（或替换）校验码应符合Q/CSG1203065要求；</w:t>
      </w:r>
    </w:p>
    <w:p>
      <w:pPr>
        <w:pStyle w:val="97"/>
        <w:keepNext w:val="0"/>
        <w:keepLines w:val="0"/>
        <w:pageBreakBefore w:val="0"/>
        <w:widowControl w:val="0"/>
        <w:numPr>
          <w:ilvl w:val="0"/>
          <w:numId w:val="1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在保存SCD文件时，配置工具应按Q/CSG1203065要求生成（或替换）全站过程层虚端子、每个IED元素过程层虚端子连接的CRC校验码；</w:t>
      </w:r>
    </w:p>
    <w:p>
      <w:pPr>
        <w:pStyle w:val="97"/>
        <w:keepNext w:val="0"/>
        <w:keepLines w:val="0"/>
        <w:pageBreakBefore w:val="0"/>
        <w:widowControl w:val="0"/>
        <w:numPr>
          <w:ilvl w:val="0"/>
          <w:numId w:val="1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应按Q/CSG1203066要求生成（或替换）CSD文件的CRC校验码。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.6　★Substation段配置</w:t>
      </w:r>
    </w:p>
    <w:p>
      <w:pPr>
        <w:pStyle w:val="97"/>
        <w:keepNext w:val="0"/>
        <w:keepLines w:val="0"/>
        <w:pageBreakBefore w:val="0"/>
        <w:widowControl w:val="0"/>
        <w:numPr>
          <w:ilvl w:val="0"/>
          <w:numId w:val="2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宜具备SSD文件配置功能；</w:t>
      </w:r>
    </w:p>
    <w:p>
      <w:pPr>
        <w:pStyle w:val="97"/>
        <w:keepNext w:val="0"/>
        <w:keepLines w:val="0"/>
        <w:pageBreakBefore w:val="0"/>
        <w:widowControl w:val="0"/>
        <w:numPr>
          <w:ilvl w:val="0"/>
          <w:numId w:val="2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宜具备图形化方式创建全站的电气接线图功能，自动生成变电站系统配置并保存在SCD文件中，可支持SSD文件形式导出；</w:t>
      </w:r>
    </w:p>
    <w:p>
      <w:pPr>
        <w:pStyle w:val="97"/>
        <w:keepNext w:val="0"/>
        <w:keepLines w:val="0"/>
        <w:pageBreakBefore w:val="0"/>
        <w:widowControl w:val="0"/>
        <w:numPr>
          <w:ilvl w:val="0"/>
          <w:numId w:val="2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宜具备图形化方式实现IED的逻辑节点与一次设备关联配置，满足变电站虚回路自动配置和智能录波器自动配置的需求；</w:t>
      </w:r>
    </w:p>
    <w:p>
      <w:pPr>
        <w:pStyle w:val="97"/>
        <w:keepNext w:val="0"/>
        <w:keepLines w:val="0"/>
        <w:pageBreakBefore w:val="0"/>
        <w:widowControl w:val="0"/>
        <w:numPr>
          <w:ilvl w:val="0"/>
          <w:numId w:val="2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宜具备图形编辑功能和模型编辑功能；其中图形编辑功能用于绘制图纸和扩展属性定义功能，模型编辑功能用于最终生成模型文件，支持文件的导入、导出、编辑和校验等高级功能。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.7　★Communication段配置</w:t>
      </w:r>
    </w:p>
    <w:p>
      <w:pPr>
        <w:pStyle w:val="97"/>
        <w:keepNext w:val="0"/>
        <w:keepLines w:val="0"/>
        <w:pageBreakBefore w:val="0"/>
        <w:widowControl w:val="0"/>
        <w:numPr>
          <w:ilvl w:val="0"/>
          <w:numId w:val="21"/>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应按Q/CSG1203065的要求实现Communication段配置；</w:t>
      </w:r>
    </w:p>
    <w:p>
      <w:pPr>
        <w:pStyle w:val="97"/>
        <w:keepNext w:val="0"/>
        <w:keepLines w:val="0"/>
        <w:pageBreakBefore w:val="0"/>
        <w:widowControl w:val="0"/>
        <w:numPr>
          <w:ilvl w:val="0"/>
          <w:numId w:val="21"/>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应具备子网配置功能。配置双重化网络时，不应误告警并宜满足便捷配置的需求；</w:t>
      </w:r>
    </w:p>
    <w:p>
      <w:pPr>
        <w:pStyle w:val="97"/>
        <w:keepNext w:val="0"/>
        <w:keepLines w:val="0"/>
        <w:pageBreakBefore w:val="0"/>
        <w:widowControl w:val="0"/>
        <w:numPr>
          <w:ilvl w:val="0"/>
          <w:numId w:val="21"/>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应具备IP地址、MAC地址、APPID、VLAN-ID和VLAN-PRIORITY属性值类型和范围自动限定功能，具体要求如下：</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IP及子网掩码地址范围：0.0.0.0～255.255.255.255；</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MAC地址范围：01-0C-CD-01-00-00～01-0C-CD-01-FF-FF(GOOSE)，01-0C-CD-04-00-00～01-0C-CD-04-FF-FF(SV)；</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APPID范围：0x000～0x3FFFH（GOOSE，高位为0时应保留），0x4000～0x7FFFH（SV，高位为0时应保留）；</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VLAN-ID范围：0x000～0xFFFH（高位为0时应保留）；</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VLAN-Priority范围：0～7。</w:t>
      </w:r>
    </w:p>
    <w:p>
      <w:pPr>
        <w:pStyle w:val="97"/>
        <w:keepNext w:val="0"/>
        <w:keepLines w:val="0"/>
        <w:pageBreakBefore w:val="0"/>
        <w:widowControl w:val="0"/>
        <w:numPr>
          <w:ilvl w:val="0"/>
          <w:numId w:val="21"/>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宜具备自动配置通信参数的功能，但应支持手动修改功能；</w:t>
      </w:r>
    </w:p>
    <w:p>
      <w:pPr>
        <w:pStyle w:val="97"/>
        <w:keepNext w:val="0"/>
        <w:keepLines w:val="0"/>
        <w:pageBreakBefore w:val="0"/>
        <w:widowControl w:val="0"/>
        <w:numPr>
          <w:ilvl w:val="0"/>
          <w:numId w:val="21"/>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宜具备可视化配置装置端口连接关系的功能：</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宜提供便捷的端口连接或取消连接的配置功能，避免端口连接两侧重复配置；</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对于已连接的端口，宜能通过提示等手段避免端口多次连接；</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宜自动生成&lt;P type="Cable"&gt;所表征的端口连接物理线缆标识符，自动生成的物理线缆标识符应能唯一表示一对端口间的连接；</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自动生成的物理线缆标识符宜采用“[IED1name]:[Port1]_[IED2 name]:[Port2]”格式进行命名。</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.8　★IED段配置</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应按Q/CSG1203065的要求实现IED段配置；</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应完整无误地导入ICD文件中的模型信息和赋值，包括含私有命名空间的元素；</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配置工具在导入ICD文件时，应自动提示各类模版冲突并提供忽略、替换、增加前/后缀（重命名）等解决方法；</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配置工具在导入ICD文件时，应校验Header元素的id属性与IED元素下的type属性，version属性与IED元素下的configVersion属性，不一致时不得导入；</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配置工具在导入ICD文件时，应校验Signal Map元素和LinkInRef元素，不符合Q/CSG1203065的要求时不得导入；</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配置工具在导入语法错误、模型与模版不一致、控制块引用数据集无效、数据集成员无效的ICD文件时应告警提示；</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交换机的ICD文件相同时，SCD文件可采用灵活的记录格式表述其配置信息；</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应支持数据集及其成员配置；</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应支持GOOSE控制块、采样值控制块、报告控制块、日志控制块及相关参数配置，其中GOOSE控制块的appID和采样值控制块的smvID参数应支持自动配置，并保证唯一性；</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应支持按数据集对特定数据成员配置自描述信息，包括属性赋值“dU”和中文描述“desc”；</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应支持GOOSE和SV虚端子连线配置；针对标准化建模的保护装置，配置工具可自动生成虚端子连线；</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应支持物理端口配置，配置结果应符合Q/CSG1203065的要求；</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应具备IED更新功能，更新时应可选择性保留虚端子连接、网络拓扑关系、地址参数、控制块信息、自描述信息等配置；</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应具备按间隔或按装置复制IED功能；</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宜具备全站二次设备物理建模功能，所建立的物理模型宜能体现装置所属小室、屏柜以及装置端口等；</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宜具备依据站内网络设计完成全站二次光缆接线设计的功能；</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宜对以下功能约束为“CF”的数据属性配置工程赋值：</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测量死区db；</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测量零值死区zeroDb；</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测量范围最小值rangeC.min；</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测量范围最大值rangeC.max；</w:t>
      </w:r>
    </w:p>
    <w:p>
      <w:pPr>
        <w:keepNext w:val="0"/>
        <w:keepLines w:val="0"/>
        <w:pageBreakBefore w:val="0"/>
        <w:widowControl w:val="0"/>
        <w:numPr>
          <w:ilvl w:val="0"/>
          <w:numId w:val="22"/>
        </w:numPr>
        <w:kinsoku/>
        <w:wordWrap/>
        <w:overflowPunct/>
        <w:topLinePunct w:val="0"/>
        <w:autoSpaceDE/>
        <w:autoSpaceDN/>
        <w:bidi w:val="0"/>
        <w:adjustRightInd w:val="0"/>
        <w:snapToGrid w:val="0"/>
        <w:spacing w:line="360" w:lineRule="auto"/>
        <w:ind w:left="0" w:leftChars="0" w:right="0" w:rightChars="0" w:firstLine="960" w:firstLineChars="400"/>
        <w:jc w:val="both"/>
        <w:textAlignment w:val="auto"/>
        <w:outlineLvl w:val="9"/>
        <w:rPr>
          <w:rFonts w:hint="eastAsia" w:ascii="宋体" w:hAnsi="宋体"/>
          <w:color w:val="auto"/>
          <w:sz w:val="24"/>
        </w:rPr>
      </w:pPr>
      <w:r>
        <w:rPr>
          <w:rFonts w:hint="eastAsia" w:ascii="宋体" w:hAnsi="宋体"/>
          <w:color w:val="auto"/>
          <w:sz w:val="24"/>
        </w:rPr>
        <w:t>控制选择超时时间sboTimeout。</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应具备图形化展示装置物理端口与虚端子、虚端子与软压板关联信息；</w:t>
      </w:r>
    </w:p>
    <w:p>
      <w:pPr>
        <w:pStyle w:val="97"/>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宜具备图形化展示过程层网络、单装置的虚端子连接信息。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.9　文件校验功能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color w:val="auto"/>
          <w:sz w:val="24"/>
        </w:rPr>
      </w:pPr>
      <w:r>
        <w:rPr>
          <w:rFonts w:hint="eastAsia" w:ascii="宋体" w:hAnsi="宋体"/>
          <w:color w:val="auto"/>
          <w:sz w:val="24"/>
        </w:rPr>
        <w:t>校验内容包括但不限于：</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Schema语法校验，宜按照DL/T 860标准的XML Schema 2003版本进行校验；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模型实例与模版一致性校验；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控制块引用数据集有效性校验；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数据集成员有效性校验；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虚端子关联部分内外端子合法性、一致性校验；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IED名称、IP地址、MAC地址、APPID、appID、smvID、rptID、Cable的唯一性、正确性和缺失校验；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与一次设备关联的二次设备逻辑节点存在性校验；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访问点通信配置重复校验；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宜能实现基于模板的全站二次装置逻辑联系检验；</w:t>
      </w:r>
    </w:p>
    <w:p>
      <w:pPr>
        <w:pStyle w:val="97"/>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宜按照Q/CSG1203065及相关装置技术规范的要求，对ICD、SCD、CCD、CID和CSD等文件的依从性、规范性校验功能。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4.3</w:t>
      </w:r>
      <w:r>
        <w:rPr>
          <w:rFonts w:hint="eastAsia" w:ascii="宋体" w:hAnsi="宋体"/>
          <w:color w:val="auto"/>
          <w:sz w:val="24"/>
        </w:rPr>
        <w:t>.10　导出功能</w:t>
      </w:r>
    </w:p>
    <w:p>
      <w:pPr>
        <w:pStyle w:val="97"/>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宜支持导出虚端子关联表、光纤联系表文件，且表格项目可调整；</w:t>
      </w:r>
    </w:p>
    <w:p>
      <w:pPr>
        <w:pStyle w:val="97"/>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宜支持以表格文件导出CCD和CSD文件的校验码，包含IED名称、IED描述、CRC三列内容，见附录A.8；</w:t>
      </w:r>
    </w:p>
    <w:p>
      <w:pPr>
        <w:pStyle w:val="97"/>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宜支持导出全站信息点表功能表格文件；</w:t>
      </w:r>
    </w:p>
    <w:p>
      <w:pPr>
        <w:pStyle w:val="97"/>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宜支持导出全站IED通信参数表格文件，见附录A.9；</w:t>
      </w:r>
    </w:p>
    <w:p>
      <w:pPr>
        <w:pStyle w:val="97"/>
        <w:keepNext w:val="0"/>
        <w:keepLines w:val="0"/>
        <w:pageBreakBefore w:val="0"/>
        <w:widowControl w:val="0"/>
        <w:numPr>
          <w:ilvl w:val="0"/>
          <w:numId w:val="25"/>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可采用辅助设计制图软件的格式输出及保存各种图纸资料，如设备原理图、设备虚端子连接表（图）、过程层局域网络、光纤联系图等</w:t>
      </w:r>
      <w:r>
        <w:rPr>
          <w:rFonts w:hint="eastAsia" w:ascii="宋体" w:hAnsi="宋体"/>
          <w:color w:val="auto"/>
          <w:sz w:val="24"/>
          <w:lang w:eastAsia="zh-CN"/>
        </w:rPr>
        <w:t>。</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eastAsia" w:ascii="宋体" w:hAnsi="宋体"/>
          <w:color w:val="auto"/>
          <w:sz w:val="24"/>
        </w:rPr>
      </w:pPr>
    </w:p>
    <w:p>
      <w:pPr>
        <w:numPr>
          <w:ilvl w:val="0"/>
          <w:numId w:val="15"/>
        </w:numPr>
        <w:adjustRightInd w:val="0"/>
        <w:snapToGrid w:val="0"/>
        <w:spacing w:line="360" w:lineRule="auto"/>
        <w:outlineLvl w:val="1"/>
        <w:rPr>
          <w:rFonts w:hint="eastAsia" w:ascii="宋体" w:hAnsi="宋体"/>
          <w:b/>
          <w:color w:val="auto"/>
          <w:sz w:val="24"/>
          <w:highlight w:val="none"/>
        </w:rPr>
      </w:pPr>
      <w:r>
        <w:rPr>
          <w:rFonts w:hint="eastAsia" w:ascii="宋体" w:hAnsi="宋体"/>
          <w:b/>
          <w:color w:val="auto"/>
          <w:sz w:val="24"/>
          <w:highlight w:val="none"/>
        </w:rPr>
        <w:t>IED配置功能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.1</w:t>
      </w:r>
      <w:r>
        <w:rPr>
          <w:rFonts w:hint="eastAsia" w:ascii="宋体" w:hAnsi="宋体"/>
          <w:color w:val="auto"/>
          <w:sz w:val="24"/>
          <w:lang w:val="en-US" w:eastAsia="zh-CN"/>
        </w:rPr>
        <w:t xml:space="preserve"> ★</w:t>
      </w:r>
      <w:r>
        <w:rPr>
          <w:rFonts w:hint="eastAsia" w:ascii="宋体" w:hAnsi="宋体"/>
          <w:color w:val="auto"/>
          <w:sz w:val="24"/>
        </w:rPr>
        <w:t>CID文件配置</w:t>
      </w:r>
    </w:p>
    <w:p>
      <w:pPr>
        <w:pStyle w:val="97"/>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应具备校验CID文件通信Communication信息的功能；</w:t>
      </w:r>
    </w:p>
    <w:p>
      <w:pPr>
        <w:pStyle w:val="97"/>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应具备校验数据集的数目不应超过&lt;ConfDataSet&gt;的max属性值的功能；</w:t>
      </w:r>
    </w:p>
    <w:p>
      <w:pPr>
        <w:pStyle w:val="97"/>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应具备校验数据集中配置的FCDA数目不应超过&lt;ConfDataSet&gt;的maxAttributes属性值的功能；</w:t>
      </w:r>
    </w:p>
    <w:p>
      <w:pPr>
        <w:pStyle w:val="97"/>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应具备校验报告控制块的数目不应超过&lt;ConfReportControl&gt;的max属性值的功能；</w:t>
      </w:r>
    </w:p>
    <w:p>
      <w:pPr>
        <w:pStyle w:val="97"/>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应具备校验日志控制块的数目不应超过&lt;ConfLogControl&gt;的max属性值的功能；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.2</w:t>
      </w:r>
      <w:r>
        <w:rPr>
          <w:rFonts w:hint="eastAsia" w:ascii="宋体" w:hAnsi="宋体"/>
          <w:color w:val="auto"/>
          <w:sz w:val="24"/>
          <w:lang w:val="en-US" w:eastAsia="zh-CN"/>
        </w:rPr>
        <w:t xml:space="preserve"> </w:t>
      </w:r>
      <w:r>
        <w:rPr>
          <w:rFonts w:hint="eastAsia" w:ascii="宋体" w:hAnsi="宋体"/>
          <w:color w:val="auto"/>
          <w:sz w:val="24"/>
        </w:rPr>
        <w:t>CCD文件配置</w:t>
      </w:r>
    </w:p>
    <w:p>
      <w:pPr>
        <w:pStyle w:val="97"/>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应具备校验CCD文件二次虚端子回路信息、通信Communication信息的功能；</w:t>
      </w:r>
    </w:p>
    <w:p>
      <w:pPr>
        <w:pStyle w:val="97"/>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应具备校验CCD文件的CRC与SCD文件IED节点的CRC是否一致的功能；</w:t>
      </w:r>
    </w:p>
    <w:p>
      <w:pPr>
        <w:pStyle w:val="97"/>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应具备校验待下装的CCD文件与装置内部CCD文件ConfigVersion、Manufacturer、Type三个属性是否一致的功能。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.3</w:t>
      </w:r>
      <w:r>
        <w:rPr>
          <w:rFonts w:hint="eastAsia" w:ascii="宋体" w:hAnsi="宋体"/>
          <w:color w:val="auto"/>
          <w:sz w:val="24"/>
          <w:lang w:val="en-US" w:eastAsia="zh-CN"/>
        </w:rPr>
        <w:t xml:space="preserve"> ★</w:t>
      </w:r>
      <w:r>
        <w:rPr>
          <w:rFonts w:hint="eastAsia" w:ascii="宋体" w:hAnsi="宋体"/>
          <w:color w:val="auto"/>
          <w:sz w:val="24"/>
        </w:rPr>
        <w:t>CSD文件配置</w:t>
      </w:r>
    </w:p>
    <w:p>
      <w:pPr>
        <w:pStyle w:val="97"/>
        <w:keepNext w:val="0"/>
        <w:keepLines w:val="0"/>
        <w:pageBreakBefore w:val="0"/>
        <w:widowControl w:val="0"/>
        <w:numPr>
          <w:ilvl w:val="0"/>
          <w:numId w:val="28"/>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应具备校验CSD文件语法语义符合Q/CSG1203066规范的功能</w:t>
      </w:r>
      <w:r>
        <w:rPr>
          <w:rFonts w:hint="eastAsia" w:ascii="宋体" w:hAnsi="宋体"/>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.4★应能导入符合DL/T 860标准的SCD文件，并能导出指定IED相关的模型、自描述信息、通信参数、控制块参数、数据集、虚端子关联、物理端口连接等配置，无需手动配置制造商私有参数。</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.5配置工具在下装配置文件过程中，不得响应编辑和修改操作。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.6★应具备上传、下装CID、CCD等文件的功能，还应具备一键生成和下装CID、CCD文件的功能。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.7配置工具在导出某IED的配置文件时，如果SCD文件中与该IED相关部分有错误时应能自动提示导出失败和具体原因，包括但不限于：</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模型实例与模版不匹配；</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数据集成员不存在（或内部变量名缺失）；</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数据集成员数量超出已声明的最大值；</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报告、日志、定值、GOOSE、SV控制块配置参数缺失、错误；</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虚端子关联部分内部虚端子不存在或重复关联；</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虚端子关联部分外部信号不在GOOSE、SV数据集；</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虚端子类型不匹配；</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外部信号相关控制块配置参数缺失；</w:t>
      </w:r>
    </w:p>
    <w:p>
      <w:pPr>
        <w:pStyle w:val="97"/>
        <w:keepNext w:val="0"/>
        <w:keepLines w:val="0"/>
        <w:pageBreakBefore w:val="0"/>
        <w:widowControl w:val="0"/>
        <w:numPr>
          <w:ilvl w:val="0"/>
          <w:numId w:val="29"/>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通信参数缺失。</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.8配置工具上传、下装应简单和可靠，应从装置调试端口（RJ45）上传、下装，下装完毕，保护等装置宜自动重启一次并生效。</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rPr>
      </w:pPr>
      <w:r>
        <w:rPr>
          <w:rFonts w:hint="eastAsia" w:ascii="宋体" w:hAnsi="宋体"/>
          <w:color w:val="auto"/>
          <w:sz w:val="24"/>
          <w:lang w:val="en-US" w:eastAsia="zh-CN"/>
        </w:rPr>
        <w:t>4.4</w:t>
      </w:r>
      <w:r>
        <w:rPr>
          <w:rFonts w:hint="eastAsia" w:ascii="宋体" w:hAnsi="宋体"/>
          <w:color w:val="auto"/>
          <w:sz w:val="24"/>
        </w:rPr>
        <w:t>.</w:t>
      </w:r>
      <w:r>
        <w:rPr>
          <w:rFonts w:hint="eastAsia" w:ascii="宋体" w:hAnsi="宋体"/>
          <w:color w:val="auto"/>
          <w:sz w:val="24"/>
          <w:lang w:val="en-US" w:eastAsia="zh-CN"/>
        </w:rPr>
        <w:t>9</w:t>
      </w:r>
      <w:r>
        <w:rPr>
          <w:rFonts w:hint="eastAsia" w:ascii="宋体" w:hAnsi="宋体"/>
          <w:color w:val="auto"/>
          <w:sz w:val="24"/>
        </w:rPr>
        <w:t>应具备防止误下装功能：</w:t>
      </w:r>
    </w:p>
    <w:p>
      <w:pPr>
        <w:pStyle w:val="97"/>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装置型号与配置文件不符时，提示是否继续下装；</w:t>
      </w:r>
    </w:p>
    <w:p>
      <w:pPr>
        <w:pStyle w:val="97"/>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装置上召的CID、CCD文件版本与待下装配置文件不符合时，提示是否继续下装；</w:t>
      </w:r>
    </w:p>
    <w:p>
      <w:pPr>
        <w:pStyle w:val="97"/>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color w:val="auto"/>
          <w:sz w:val="24"/>
        </w:rPr>
      </w:pPr>
      <w:r>
        <w:rPr>
          <w:rFonts w:hint="eastAsia" w:ascii="宋体" w:hAnsi="宋体"/>
          <w:color w:val="auto"/>
          <w:sz w:val="24"/>
        </w:rPr>
        <w:t>除交换机外，应确认装置在检修状态才可以下装。</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eastAsia" w:ascii="宋体" w:hAnsi="宋体"/>
          <w:color w:val="auto"/>
          <w:sz w:val="24"/>
        </w:rPr>
      </w:pPr>
    </w:p>
    <w:p>
      <w:pPr>
        <w:numPr>
          <w:ilvl w:val="0"/>
          <w:numId w:val="15"/>
        </w:numPr>
        <w:adjustRightInd w:val="0"/>
        <w:snapToGrid w:val="0"/>
        <w:spacing w:line="360" w:lineRule="auto"/>
        <w:outlineLvl w:val="1"/>
        <w:rPr>
          <w:rFonts w:hint="eastAsia" w:ascii="宋体" w:hAnsi="宋体"/>
          <w:b/>
          <w:color w:val="auto"/>
          <w:sz w:val="24"/>
          <w:highlight w:val="none"/>
        </w:rPr>
      </w:pPr>
      <w:r>
        <w:rPr>
          <w:rFonts w:hint="eastAsia" w:ascii="宋体" w:hAnsi="宋体"/>
          <w:b/>
          <w:color w:val="auto"/>
          <w:sz w:val="24"/>
          <w:highlight w:val="none"/>
        </w:rPr>
        <w:t>性能要求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highlight w:val="none"/>
        </w:rPr>
      </w:pPr>
      <w:r>
        <w:rPr>
          <w:rFonts w:hint="eastAsia" w:ascii="宋体" w:hAnsi="宋体"/>
          <w:color w:val="auto"/>
          <w:sz w:val="24"/>
          <w:highlight w:val="none"/>
          <w:lang w:val="en-US" w:eastAsia="zh-CN"/>
        </w:rPr>
        <w:t>4.5</w:t>
      </w:r>
      <w:r>
        <w:rPr>
          <w:rFonts w:hint="eastAsia" w:ascii="宋体" w:hAnsi="宋体"/>
          <w:color w:val="auto"/>
          <w:sz w:val="24"/>
          <w:highlight w:val="none"/>
        </w:rPr>
        <w:t>.1应满足多次导入、导出SCD文件的要求。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highlight w:val="none"/>
        </w:rPr>
      </w:pPr>
      <w:r>
        <w:rPr>
          <w:rFonts w:hint="eastAsia" w:ascii="宋体" w:hAnsi="宋体"/>
          <w:color w:val="auto"/>
          <w:sz w:val="24"/>
          <w:highlight w:val="none"/>
          <w:lang w:val="en-US" w:eastAsia="zh-CN"/>
        </w:rPr>
        <w:t>4.5</w:t>
      </w:r>
      <w:r>
        <w:rPr>
          <w:rFonts w:hint="eastAsia" w:ascii="宋体" w:hAnsi="宋体"/>
          <w:color w:val="auto"/>
          <w:sz w:val="24"/>
          <w:highlight w:val="none"/>
        </w:rPr>
        <w:t>.2应满足导入SCD文件，导出多个CID、CCD、CSD文件的要求。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rFonts w:hint="eastAsia" w:ascii="宋体" w:hAnsi="宋体"/>
          <w:color w:val="auto"/>
          <w:sz w:val="24"/>
          <w:highlight w:val="none"/>
        </w:rPr>
      </w:pPr>
      <w:r>
        <w:rPr>
          <w:rFonts w:hint="eastAsia" w:ascii="宋体" w:hAnsi="宋体"/>
          <w:color w:val="auto"/>
          <w:sz w:val="24"/>
          <w:highlight w:val="none"/>
          <w:lang w:val="en-US" w:eastAsia="zh-CN"/>
        </w:rPr>
        <w:t>4.5</w:t>
      </w:r>
      <w:r>
        <w:rPr>
          <w:rFonts w:hint="eastAsia" w:ascii="宋体" w:hAnsi="宋体"/>
          <w:color w:val="auto"/>
          <w:sz w:val="24"/>
          <w:highlight w:val="none"/>
        </w:rPr>
        <w:t>.3</w:t>
      </w:r>
      <w:r>
        <w:rPr>
          <w:rFonts w:hint="eastAsia" w:ascii="宋体" w:hAnsi="宋体"/>
          <w:color w:val="auto"/>
          <w:sz w:val="24"/>
        </w:rPr>
        <w:t>★</w:t>
      </w:r>
      <w:r>
        <w:rPr>
          <w:rFonts w:hint="eastAsia" w:ascii="宋体" w:hAnsi="宋体"/>
          <w:color w:val="auto"/>
          <w:sz w:val="24"/>
          <w:highlight w:val="none"/>
        </w:rPr>
        <w:t>不使用交换机</w:t>
      </w:r>
      <w:r>
        <w:rPr>
          <w:rFonts w:hint="eastAsia" w:ascii="宋体" w:hAnsi="宋体"/>
          <w:color w:val="auto"/>
          <w:sz w:val="24"/>
          <w:highlight w:val="none"/>
          <w:lang w:eastAsia="zh-CN"/>
        </w:rPr>
        <w:t>导出</w:t>
      </w:r>
      <w:r>
        <w:rPr>
          <w:rFonts w:hint="eastAsia" w:ascii="宋体" w:hAnsi="宋体"/>
          <w:color w:val="auto"/>
          <w:sz w:val="24"/>
          <w:highlight w:val="none"/>
        </w:rPr>
        <w:t>ICD文件时，支持操作SCD文件包含的IED数不低于300个，导入文件时间小于60秒，导出单个CID、CCD等文件时间小于30秒，CPU使用率不大于75%，内存占用率不大于80%。</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rPr>
      </w:pPr>
    </w:p>
    <w:p>
      <w:pPr>
        <w:numPr>
          <w:ilvl w:val="0"/>
          <w:numId w:val="10"/>
        </w:numPr>
        <w:adjustRightInd w:val="0"/>
        <w:snapToGrid w:val="0"/>
        <w:spacing w:line="360" w:lineRule="auto"/>
        <w:textAlignment w:val="baseline"/>
        <w:outlineLvl w:val="0"/>
        <w:rPr>
          <w:rFonts w:hint="eastAsia" w:ascii="宋体" w:hAnsi="宋体"/>
          <w:b/>
          <w:color w:val="auto"/>
          <w:kern w:val="0"/>
          <w:sz w:val="24"/>
          <w:lang w:eastAsia="zh-CN"/>
        </w:rPr>
      </w:pPr>
      <w:r>
        <w:rPr>
          <w:rFonts w:hint="eastAsia" w:ascii="宋体" w:hAnsi="宋体"/>
          <w:b/>
          <w:color w:val="auto"/>
          <w:kern w:val="0"/>
          <w:sz w:val="24"/>
          <w:lang w:eastAsia="zh-CN"/>
        </w:rPr>
        <w:t>设备生产</w:t>
      </w:r>
    </w:p>
    <w:p>
      <w:pPr>
        <w:pStyle w:val="49"/>
        <w:tabs>
          <w:tab w:val="center" w:pos="4201"/>
          <w:tab w:val="right" w:leader="dot" w:pos="9298"/>
        </w:tabs>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需完成</w:t>
      </w:r>
      <w:r>
        <w:rPr>
          <w:rFonts w:hint="eastAsia" w:asciiTheme="minorEastAsia" w:hAnsiTheme="minorEastAsia" w:eastAsiaTheme="minorEastAsia" w:cstheme="minorEastAsia"/>
          <w:sz w:val="24"/>
          <w:szCs w:val="24"/>
          <w:lang w:eastAsia="zh-CN"/>
        </w:rPr>
        <w:t>变电站自动化设备智能运维工具</w:t>
      </w:r>
      <w:r>
        <w:rPr>
          <w:rFonts w:hint="eastAsia" w:asciiTheme="minorEastAsia" w:hAnsiTheme="minorEastAsia" w:eastAsiaTheme="minorEastAsia" w:cstheme="minorEastAsia"/>
          <w:sz w:val="24"/>
          <w:szCs w:val="24"/>
        </w:rPr>
        <w:t>的生产工作，</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需明确以下</w:t>
      </w:r>
      <w:r>
        <w:rPr>
          <w:rFonts w:hint="eastAsia" w:asciiTheme="minorEastAsia" w:hAnsiTheme="minorEastAsia" w:eastAsiaTheme="minorEastAsia" w:cstheme="minorEastAsia"/>
          <w:color w:val="000000"/>
          <w:sz w:val="24"/>
          <w:szCs w:val="24"/>
          <w:lang w:eastAsia="zh-CN"/>
        </w:rPr>
        <w:t>内容</w:t>
      </w:r>
      <w:r>
        <w:rPr>
          <w:rFonts w:hint="eastAsia" w:asciiTheme="minorEastAsia" w:hAnsiTheme="minorEastAsia" w:eastAsiaTheme="minorEastAsia" w:cstheme="minorEastAsia"/>
          <w:color w:val="000000"/>
          <w:sz w:val="24"/>
          <w:szCs w:val="24"/>
        </w:rPr>
        <w:t xml:space="preserve">： </w:t>
      </w:r>
    </w:p>
    <w:p>
      <w:pPr>
        <w:keepNext w:val="0"/>
        <w:keepLines w:val="0"/>
        <w:pageBreakBefore w:val="0"/>
        <w:widowControl/>
        <w:numPr>
          <w:ilvl w:val="0"/>
          <w:numId w:val="31"/>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设备生产由</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负责，并提供设备的相关资料。</w:t>
      </w:r>
    </w:p>
    <w:p>
      <w:pPr>
        <w:keepNext w:val="0"/>
        <w:keepLines w:val="0"/>
        <w:pageBreakBefore w:val="0"/>
        <w:widowControl/>
        <w:numPr>
          <w:ilvl w:val="0"/>
          <w:numId w:val="31"/>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设备生产时使用的工具、设备由</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提供。</w:t>
      </w:r>
    </w:p>
    <w:p>
      <w:pPr>
        <w:keepNext w:val="0"/>
        <w:keepLines w:val="0"/>
        <w:pageBreakBefore w:val="0"/>
        <w:widowControl/>
        <w:numPr>
          <w:ilvl w:val="0"/>
          <w:numId w:val="31"/>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需说明每月最大设备生产能力。</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rPr>
      </w:pPr>
    </w:p>
    <w:p>
      <w:pPr>
        <w:numPr>
          <w:ilvl w:val="0"/>
          <w:numId w:val="10"/>
        </w:numPr>
        <w:adjustRightInd w:val="0"/>
        <w:snapToGrid w:val="0"/>
        <w:spacing w:line="360" w:lineRule="auto"/>
        <w:textAlignment w:val="baseline"/>
        <w:outlineLvl w:val="0"/>
        <w:rPr>
          <w:rFonts w:hint="eastAsia" w:ascii="宋体" w:hAnsi="宋体"/>
          <w:b/>
          <w:color w:val="auto"/>
          <w:kern w:val="0"/>
          <w:sz w:val="24"/>
          <w:lang w:eastAsia="zh-CN"/>
        </w:rPr>
      </w:pPr>
      <w:bookmarkStart w:id="12" w:name="_Toc75893344"/>
      <w:bookmarkStart w:id="13" w:name="_Toc74918148"/>
      <w:bookmarkStart w:id="14" w:name="_Toc74925183"/>
      <w:r>
        <w:rPr>
          <w:rFonts w:hint="eastAsia" w:ascii="宋体" w:hAnsi="宋体"/>
          <w:b/>
          <w:color w:val="auto"/>
          <w:kern w:val="0"/>
          <w:sz w:val="24"/>
          <w:lang w:eastAsia="zh-CN"/>
        </w:rPr>
        <w:t>设备</w:t>
      </w:r>
      <w:bookmarkEnd w:id="12"/>
      <w:bookmarkEnd w:id="13"/>
      <w:bookmarkEnd w:id="14"/>
      <w:r>
        <w:rPr>
          <w:rFonts w:hint="eastAsia" w:ascii="宋体" w:hAnsi="宋体"/>
          <w:b/>
          <w:color w:val="auto"/>
          <w:kern w:val="0"/>
          <w:sz w:val="24"/>
          <w:lang w:eastAsia="zh-CN"/>
        </w:rPr>
        <w:t>培训</w:t>
      </w:r>
    </w:p>
    <w:p>
      <w:pPr>
        <w:pStyle w:val="49"/>
        <w:tabs>
          <w:tab w:val="center" w:pos="4201"/>
          <w:tab w:val="right" w:leader="dot" w:pos="9298"/>
        </w:tabs>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应负责设备的</w:t>
      </w:r>
      <w:r>
        <w:rPr>
          <w:rFonts w:hint="eastAsia" w:asciiTheme="minorEastAsia" w:hAnsiTheme="minorEastAsia" w:eastAsiaTheme="minorEastAsia" w:cstheme="minorEastAsia"/>
          <w:color w:val="000000"/>
          <w:sz w:val="24"/>
          <w:szCs w:val="24"/>
          <w:lang w:eastAsia="zh-CN"/>
        </w:rPr>
        <w:t>培训</w:t>
      </w:r>
      <w:r>
        <w:rPr>
          <w:rFonts w:hint="eastAsia" w:asciiTheme="minorEastAsia" w:hAnsiTheme="minorEastAsia" w:eastAsiaTheme="minorEastAsia" w:cstheme="minorEastAsia"/>
          <w:color w:val="000000"/>
          <w:sz w:val="24"/>
          <w:szCs w:val="24"/>
        </w:rPr>
        <w:t>，保障设备正常</w:t>
      </w:r>
      <w:r>
        <w:rPr>
          <w:rFonts w:hint="eastAsia" w:asciiTheme="minorEastAsia" w:hAnsiTheme="minorEastAsia" w:eastAsiaTheme="minorEastAsia" w:cstheme="minorEastAsia"/>
          <w:color w:val="000000"/>
          <w:sz w:val="24"/>
          <w:szCs w:val="24"/>
          <w:lang w:eastAsia="zh-CN"/>
        </w:rPr>
        <w:t>使用</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需明确以下</w:t>
      </w:r>
      <w:r>
        <w:rPr>
          <w:rFonts w:hint="eastAsia" w:asciiTheme="minorEastAsia" w:hAnsiTheme="minorEastAsia" w:eastAsiaTheme="minorEastAsia" w:cstheme="minorEastAsia"/>
          <w:color w:val="000000"/>
          <w:sz w:val="24"/>
          <w:szCs w:val="24"/>
          <w:lang w:eastAsia="zh-CN"/>
        </w:rPr>
        <w:t>内容</w:t>
      </w:r>
      <w:r>
        <w:rPr>
          <w:rFonts w:hint="eastAsia" w:asciiTheme="minorEastAsia" w:hAnsiTheme="minorEastAsia" w:eastAsiaTheme="minorEastAsia" w:cstheme="minorEastAsia"/>
          <w:color w:val="000000"/>
          <w:sz w:val="24"/>
          <w:szCs w:val="24"/>
        </w:rPr>
        <w:t xml:space="preserve">： </w:t>
      </w:r>
    </w:p>
    <w:p>
      <w:pPr>
        <w:keepNext w:val="0"/>
        <w:keepLines w:val="0"/>
        <w:pageBreakBefore w:val="0"/>
        <w:widowControl/>
        <w:numPr>
          <w:ilvl w:val="0"/>
          <w:numId w:val="32"/>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设备</w:t>
      </w:r>
      <w:r>
        <w:rPr>
          <w:rFonts w:hint="eastAsia" w:asciiTheme="minorEastAsia" w:hAnsiTheme="minorEastAsia" w:eastAsiaTheme="minorEastAsia" w:cstheme="minorEastAsia"/>
          <w:color w:val="000000"/>
          <w:sz w:val="24"/>
          <w:szCs w:val="24"/>
          <w:lang w:eastAsia="zh-CN"/>
        </w:rPr>
        <w:t>培训</w:t>
      </w:r>
      <w:r>
        <w:rPr>
          <w:rFonts w:hint="eastAsia" w:asciiTheme="minorEastAsia" w:hAnsiTheme="minorEastAsia" w:eastAsiaTheme="minorEastAsia" w:cstheme="minorEastAsia"/>
          <w:color w:val="000000"/>
          <w:sz w:val="24"/>
          <w:szCs w:val="24"/>
        </w:rPr>
        <w:t>由</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负责。</w:t>
      </w:r>
    </w:p>
    <w:p>
      <w:pPr>
        <w:keepNext w:val="0"/>
        <w:keepLines w:val="0"/>
        <w:pageBreakBefore w:val="0"/>
        <w:widowControl/>
        <w:numPr>
          <w:ilvl w:val="0"/>
          <w:numId w:val="32"/>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lang w:eastAsia="zh-CN"/>
        </w:rPr>
        <w:t>培训</w:t>
      </w:r>
      <w:r>
        <w:rPr>
          <w:rFonts w:hint="eastAsia" w:asciiTheme="minorEastAsia" w:hAnsiTheme="minorEastAsia" w:eastAsiaTheme="minorEastAsia" w:cstheme="minorEastAsia"/>
          <w:color w:val="000000"/>
          <w:sz w:val="24"/>
          <w:szCs w:val="24"/>
        </w:rPr>
        <w:t>前应提出完整的</w:t>
      </w:r>
      <w:r>
        <w:rPr>
          <w:rFonts w:hint="eastAsia" w:asciiTheme="minorEastAsia" w:hAnsiTheme="minorEastAsia" w:eastAsiaTheme="minorEastAsia" w:cstheme="minorEastAsia"/>
          <w:color w:val="000000"/>
          <w:sz w:val="24"/>
          <w:szCs w:val="24"/>
          <w:lang w:eastAsia="zh-CN"/>
        </w:rPr>
        <w:t>培训</w:t>
      </w:r>
      <w:r>
        <w:rPr>
          <w:rFonts w:hint="eastAsia" w:asciiTheme="minorEastAsia" w:hAnsiTheme="minorEastAsia" w:eastAsiaTheme="minorEastAsia" w:cstheme="minorEastAsia"/>
          <w:color w:val="000000"/>
          <w:sz w:val="24"/>
          <w:szCs w:val="24"/>
        </w:rPr>
        <w:t>计划并经</w:t>
      </w:r>
      <w:r>
        <w:rPr>
          <w:rFonts w:hint="eastAsia" w:asciiTheme="minorEastAsia" w:hAnsiTheme="minorEastAsia" w:eastAsiaTheme="minorEastAsia" w:cstheme="minorEastAsia"/>
          <w:color w:val="000000"/>
          <w:sz w:val="24"/>
          <w:szCs w:val="24"/>
          <w:lang w:eastAsia="zh-CN"/>
        </w:rPr>
        <w:t>采购方</w:t>
      </w:r>
      <w:r>
        <w:rPr>
          <w:rFonts w:hint="eastAsia" w:asciiTheme="minorEastAsia" w:hAnsiTheme="minorEastAsia" w:eastAsiaTheme="minorEastAsia" w:cstheme="minorEastAsia"/>
          <w:color w:val="000000"/>
          <w:sz w:val="24"/>
          <w:szCs w:val="24"/>
        </w:rPr>
        <w:t>确认，包括设备</w:t>
      </w:r>
      <w:r>
        <w:rPr>
          <w:rFonts w:hint="eastAsia" w:asciiTheme="minorEastAsia" w:hAnsiTheme="minorEastAsia" w:eastAsiaTheme="minorEastAsia" w:cstheme="minorEastAsia"/>
          <w:color w:val="000000"/>
          <w:sz w:val="24"/>
          <w:szCs w:val="24"/>
          <w:lang w:eastAsia="zh-CN"/>
        </w:rPr>
        <w:t>培训</w:t>
      </w:r>
      <w:r>
        <w:rPr>
          <w:rFonts w:hint="eastAsia" w:asciiTheme="minorEastAsia" w:hAnsiTheme="minorEastAsia" w:eastAsiaTheme="minorEastAsia" w:cstheme="minorEastAsia"/>
          <w:color w:val="000000"/>
          <w:sz w:val="24"/>
          <w:szCs w:val="24"/>
        </w:rPr>
        <w:t>的内容、项目、指标、方法和进度。</w:t>
      </w:r>
      <w:r>
        <w:rPr>
          <w:rFonts w:hint="eastAsia" w:asciiTheme="minorEastAsia" w:hAnsiTheme="minorEastAsia" w:eastAsiaTheme="minorEastAsia" w:cstheme="minorEastAsia"/>
          <w:color w:val="000000"/>
          <w:sz w:val="24"/>
          <w:szCs w:val="24"/>
          <w:lang w:eastAsia="zh-CN"/>
        </w:rPr>
        <w:t>报价方</w:t>
      </w:r>
      <w:r>
        <w:rPr>
          <w:rFonts w:hint="eastAsia" w:asciiTheme="minorEastAsia" w:hAnsiTheme="minorEastAsia" w:eastAsiaTheme="minorEastAsia" w:cstheme="minorEastAsia"/>
          <w:color w:val="000000"/>
          <w:sz w:val="24"/>
          <w:szCs w:val="24"/>
        </w:rPr>
        <w:t>有责任对</w:t>
      </w:r>
      <w:r>
        <w:rPr>
          <w:rFonts w:hint="eastAsia" w:asciiTheme="minorEastAsia" w:hAnsiTheme="minorEastAsia" w:eastAsiaTheme="minorEastAsia" w:cstheme="minorEastAsia"/>
          <w:color w:val="000000"/>
          <w:sz w:val="24"/>
          <w:szCs w:val="24"/>
          <w:lang w:eastAsia="zh-CN"/>
        </w:rPr>
        <w:t>采购方</w:t>
      </w:r>
      <w:r>
        <w:rPr>
          <w:rFonts w:hint="eastAsia" w:asciiTheme="minorEastAsia" w:hAnsiTheme="minorEastAsia" w:eastAsiaTheme="minorEastAsia" w:cstheme="minorEastAsia"/>
          <w:color w:val="000000"/>
          <w:sz w:val="24"/>
          <w:szCs w:val="24"/>
        </w:rPr>
        <w:t>的技术人员提出的问题做出解答。</w:t>
      </w:r>
      <w:r>
        <w:rPr>
          <w:rFonts w:hint="eastAsia" w:asciiTheme="minorEastAsia" w:hAnsiTheme="minorEastAsia" w:eastAsiaTheme="minorEastAsia" w:cstheme="minorEastAsia"/>
          <w:color w:val="000000"/>
          <w:sz w:val="24"/>
          <w:szCs w:val="24"/>
          <w:lang w:eastAsia="zh-CN"/>
        </w:rPr>
        <w:t>培训应</w:t>
      </w:r>
      <w:r>
        <w:rPr>
          <w:rFonts w:hint="eastAsia" w:asciiTheme="minorEastAsia" w:hAnsiTheme="minorEastAsia" w:eastAsiaTheme="minorEastAsia" w:cstheme="minorEastAsia"/>
          <w:color w:val="000000"/>
          <w:sz w:val="24"/>
          <w:szCs w:val="24"/>
        </w:rPr>
        <w:t>进行详细记录，</w:t>
      </w:r>
      <w:r>
        <w:rPr>
          <w:rFonts w:hint="eastAsia" w:asciiTheme="minorEastAsia" w:hAnsiTheme="minorEastAsia" w:eastAsiaTheme="minorEastAsia" w:cstheme="minorEastAsia"/>
          <w:color w:val="000000"/>
          <w:sz w:val="24"/>
          <w:szCs w:val="24"/>
          <w:lang w:eastAsia="zh-CN"/>
        </w:rPr>
        <w:t>培训</w:t>
      </w:r>
      <w:r>
        <w:rPr>
          <w:rFonts w:hint="eastAsia" w:asciiTheme="minorEastAsia" w:hAnsiTheme="minorEastAsia" w:eastAsiaTheme="minorEastAsia" w:cstheme="minorEastAsia"/>
          <w:color w:val="000000"/>
          <w:sz w:val="24"/>
          <w:szCs w:val="24"/>
        </w:rPr>
        <w:t>结束后，由</w:t>
      </w:r>
      <w:r>
        <w:rPr>
          <w:rFonts w:hint="eastAsia" w:asciiTheme="minorEastAsia" w:hAnsiTheme="minorEastAsia" w:eastAsiaTheme="minorEastAsia" w:cstheme="minorEastAsia"/>
          <w:color w:val="000000"/>
          <w:sz w:val="24"/>
          <w:szCs w:val="24"/>
          <w:lang w:eastAsia="zh-CN"/>
        </w:rPr>
        <w:t>报价方</w:t>
      </w:r>
      <w:r>
        <w:rPr>
          <w:rFonts w:hint="eastAsia" w:asciiTheme="minorEastAsia" w:hAnsiTheme="minorEastAsia" w:eastAsiaTheme="minorEastAsia" w:cstheme="minorEastAsia"/>
          <w:color w:val="000000"/>
          <w:sz w:val="24"/>
          <w:szCs w:val="24"/>
        </w:rPr>
        <w:t>技术人员签字后交给</w:t>
      </w:r>
      <w:r>
        <w:rPr>
          <w:rFonts w:hint="eastAsia" w:asciiTheme="minorEastAsia" w:hAnsiTheme="minorEastAsia" w:eastAsiaTheme="minorEastAsia" w:cstheme="minorEastAsia"/>
          <w:color w:val="000000"/>
          <w:sz w:val="24"/>
          <w:szCs w:val="24"/>
          <w:lang w:eastAsia="zh-CN"/>
        </w:rPr>
        <w:t>采购方</w:t>
      </w:r>
      <w:r>
        <w:rPr>
          <w:rFonts w:hint="eastAsia" w:asciiTheme="minorEastAsia" w:hAnsiTheme="minorEastAsia" w:eastAsiaTheme="minorEastAsia" w:cstheme="minorEastAsia"/>
          <w:color w:val="000000"/>
          <w:sz w:val="24"/>
          <w:szCs w:val="24"/>
        </w:rPr>
        <w:t>验收。</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rPr>
      </w:pPr>
    </w:p>
    <w:p>
      <w:pPr>
        <w:numPr>
          <w:ilvl w:val="0"/>
          <w:numId w:val="10"/>
        </w:numPr>
        <w:adjustRightInd w:val="0"/>
        <w:snapToGrid w:val="0"/>
        <w:spacing w:line="360" w:lineRule="auto"/>
        <w:textAlignment w:val="baseline"/>
        <w:outlineLvl w:val="0"/>
        <w:rPr>
          <w:rFonts w:hint="eastAsia" w:ascii="宋体" w:hAnsi="宋体"/>
          <w:b/>
          <w:color w:val="auto"/>
          <w:kern w:val="0"/>
          <w:sz w:val="24"/>
          <w:lang w:eastAsia="zh-CN"/>
        </w:rPr>
      </w:pPr>
      <w:r>
        <w:rPr>
          <w:rFonts w:hint="eastAsia" w:ascii="宋体" w:hAnsi="宋体"/>
          <w:b/>
          <w:color w:val="auto"/>
          <w:kern w:val="0"/>
          <w:sz w:val="24"/>
          <w:lang w:eastAsia="zh-CN"/>
        </w:rPr>
        <w:t>技术服务</w:t>
      </w:r>
    </w:p>
    <w:p>
      <w:pPr>
        <w:numPr>
          <w:ilvl w:val="0"/>
          <w:numId w:val="0"/>
        </w:numPr>
        <w:adjustRightInd w:val="0"/>
        <w:snapToGrid w:val="0"/>
        <w:spacing w:line="360" w:lineRule="auto"/>
        <w:ind w:leftChars="0"/>
        <w:outlineLvl w:val="1"/>
        <w:rPr>
          <w:rFonts w:hint="eastAsia" w:ascii="宋体" w:hAnsi="宋体"/>
          <w:b/>
          <w:color w:val="auto"/>
          <w:sz w:val="24"/>
        </w:rPr>
      </w:pPr>
      <w:r>
        <w:rPr>
          <w:rFonts w:hint="eastAsia" w:ascii="宋体" w:hAnsi="宋体"/>
          <w:b/>
          <w:color w:val="auto"/>
          <w:sz w:val="24"/>
          <w:lang w:val="en-US" w:eastAsia="zh-CN"/>
        </w:rPr>
        <w:t>8.1</w:t>
      </w:r>
      <w:r>
        <w:rPr>
          <w:rFonts w:hint="eastAsia" w:ascii="宋体" w:hAnsi="宋体"/>
          <w:b/>
          <w:color w:val="auto"/>
          <w:sz w:val="24"/>
        </w:rPr>
        <w:t>技术支持</w:t>
      </w:r>
    </w:p>
    <w:p>
      <w:pPr>
        <w:overflowPunct w:val="0"/>
        <w:topLinePunct/>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必须向</w:t>
      </w:r>
      <w:r>
        <w:rPr>
          <w:rFonts w:hint="eastAsia" w:asciiTheme="minorEastAsia" w:hAnsiTheme="minorEastAsia" w:eastAsiaTheme="minorEastAsia" w:cstheme="minorEastAsia"/>
          <w:color w:val="000000"/>
          <w:sz w:val="24"/>
          <w:szCs w:val="24"/>
          <w:lang w:eastAsia="zh-CN"/>
        </w:rPr>
        <w:t>采购方</w:t>
      </w:r>
      <w:r>
        <w:rPr>
          <w:rFonts w:hint="eastAsia" w:asciiTheme="minorEastAsia" w:hAnsiTheme="minorEastAsia" w:eastAsiaTheme="minorEastAsia" w:cstheme="minorEastAsia"/>
          <w:color w:val="000000"/>
          <w:sz w:val="24"/>
          <w:szCs w:val="24"/>
        </w:rPr>
        <w:t>承诺技术支持。</w:t>
      </w:r>
    </w:p>
    <w:p>
      <w:pPr>
        <w:numPr>
          <w:ilvl w:val="0"/>
          <w:numId w:val="0"/>
        </w:numPr>
        <w:adjustRightInd w:val="0"/>
        <w:snapToGrid w:val="0"/>
        <w:spacing w:line="360" w:lineRule="auto"/>
        <w:ind w:leftChars="0"/>
        <w:outlineLvl w:val="1"/>
        <w:rPr>
          <w:rFonts w:hint="eastAsia" w:ascii="宋体" w:hAnsi="宋体"/>
          <w:b/>
          <w:color w:val="auto"/>
          <w:sz w:val="24"/>
        </w:rPr>
      </w:pPr>
      <w:r>
        <w:rPr>
          <w:rFonts w:hint="eastAsia" w:ascii="宋体" w:hAnsi="宋体"/>
          <w:b/>
          <w:color w:val="auto"/>
          <w:sz w:val="24"/>
          <w:lang w:val="en-US" w:eastAsia="zh-CN"/>
        </w:rPr>
        <w:t>8.2</w:t>
      </w:r>
      <w:r>
        <w:rPr>
          <w:rFonts w:hint="eastAsia" w:ascii="宋体" w:hAnsi="宋体"/>
          <w:b/>
          <w:color w:val="auto"/>
          <w:sz w:val="24"/>
        </w:rPr>
        <w:t>远程技术支持</w:t>
      </w:r>
    </w:p>
    <w:p>
      <w:pPr>
        <w:overflowPunct w:val="0"/>
        <w:topLinePunct/>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能通过电话、电子邮件、传真等手段，提供技术咨询、各级故障排除等远程技术支持服务。</w:t>
      </w:r>
    </w:p>
    <w:p>
      <w:pPr>
        <w:numPr>
          <w:ilvl w:val="0"/>
          <w:numId w:val="0"/>
        </w:numPr>
        <w:adjustRightInd w:val="0"/>
        <w:snapToGrid w:val="0"/>
        <w:spacing w:line="360" w:lineRule="auto"/>
        <w:ind w:leftChars="0"/>
        <w:outlineLvl w:val="1"/>
        <w:rPr>
          <w:rFonts w:hint="eastAsia" w:ascii="宋体" w:hAnsi="宋体"/>
          <w:b/>
          <w:color w:val="auto"/>
          <w:sz w:val="24"/>
        </w:rPr>
      </w:pPr>
      <w:bookmarkStart w:id="15" w:name="_Toc27734"/>
      <w:bookmarkStart w:id="16" w:name="_Toc306799826"/>
      <w:bookmarkStart w:id="17" w:name="_Toc293907321"/>
      <w:bookmarkStart w:id="18" w:name="_Toc306801490"/>
      <w:bookmarkStart w:id="19" w:name="_Toc292976451"/>
      <w:r>
        <w:rPr>
          <w:rFonts w:hint="eastAsia" w:ascii="宋体" w:hAnsi="宋体"/>
          <w:b/>
          <w:color w:val="auto"/>
          <w:sz w:val="24"/>
          <w:lang w:val="en-US" w:eastAsia="zh-CN"/>
        </w:rPr>
        <w:t>8.3</w:t>
      </w:r>
      <w:r>
        <w:rPr>
          <w:rFonts w:hint="eastAsia" w:ascii="宋体" w:hAnsi="宋体"/>
          <w:b/>
          <w:color w:val="auto"/>
          <w:sz w:val="24"/>
        </w:rPr>
        <w:t>现场技术支持</w:t>
      </w:r>
      <w:bookmarkEnd w:id="15"/>
      <w:bookmarkEnd w:id="16"/>
      <w:bookmarkEnd w:id="17"/>
      <w:bookmarkEnd w:id="18"/>
      <w:bookmarkEnd w:id="19"/>
    </w:p>
    <w:p>
      <w:pPr>
        <w:overflowPunct w:val="0"/>
        <w:topLinePunct/>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color w:val="000000"/>
          <w:sz w:val="24"/>
          <w:szCs w:val="24"/>
        </w:rPr>
        <w:t>针对远程技术支持无法解决的事项，按规定时限派出专业技术人员进行现场排除故障的服务。</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rPr>
      </w:pPr>
    </w:p>
    <w:p>
      <w:pPr>
        <w:numPr>
          <w:ilvl w:val="0"/>
          <w:numId w:val="10"/>
        </w:numPr>
        <w:adjustRightInd w:val="0"/>
        <w:snapToGrid w:val="0"/>
        <w:spacing w:line="360" w:lineRule="auto"/>
        <w:textAlignment w:val="baseline"/>
        <w:outlineLvl w:val="0"/>
        <w:rPr>
          <w:rFonts w:hint="eastAsia" w:ascii="宋体" w:hAnsi="宋体"/>
          <w:b/>
          <w:color w:val="auto"/>
          <w:kern w:val="0"/>
          <w:sz w:val="24"/>
          <w:lang w:eastAsia="zh-CN"/>
        </w:rPr>
      </w:pPr>
      <w:r>
        <w:rPr>
          <w:rFonts w:hint="eastAsia" w:ascii="宋体" w:hAnsi="宋体"/>
          <w:b/>
          <w:color w:val="auto"/>
          <w:kern w:val="0"/>
          <w:sz w:val="24"/>
          <w:lang w:eastAsia="zh-CN"/>
        </w:rPr>
        <w:t>质量保证</w:t>
      </w:r>
    </w:p>
    <w:p>
      <w:pPr>
        <w:pStyle w:val="14"/>
        <w:numPr>
          <w:ilvl w:val="1"/>
          <w:numId w:val="33"/>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lang w:eastAsia="zh-CN"/>
        </w:rPr>
        <w:t>方</w:t>
      </w:r>
      <w:r>
        <w:rPr>
          <w:rFonts w:hint="eastAsia" w:asciiTheme="minorEastAsia" w:hAnsiTheme="minorEastAsia" w:eastAsiaTheme="minorEastAsia" w:cstheme="minorEastAsia"/>
          <w:sz w:val="24"/>
          <w:szCs w:val="24"/>
        </w:rPr>
        <w:t>应确保其所提供的设备和材料的完整性和可用性，保证设备能够投入正常运行。</w:t>
      </w:r>
    </w:p>
    <w:p>
      <w:pPr>
        <w:pStyle w:val="14"/>
        <w:numPr>
          <w:ilvl w:val="1"/>
          <w:numId w:val="33"/>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在设计、制造、交货的各个阶段，均应满足设备运行的高度可靠性。</w:t>
      </w:r>
    </w:p>
    <w:p>
      <w:pPr>
        <w:pStyle w:val="14"/>
        <w:numPr>
          <w:ilvl w:val="1"/>
          <w:numId w:val="33"/>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应提供设备制造商的详细质量保障体系文档供</w:t>
      </w:r>
      <w:r>
        <w:rPr>
          <w:rFonts w:hint="eastAsia" w:asciiTheme="minorEastAsia" w:hAnsiTheme="minorEastAsia" w:eastAsiaTheme="minorEastAsia" w:cstheme="minorEastAsia"/>
          <w:sz w:val="24"/>
          <w:szCs w:val="24"/>
          <w:lang w:eastAsia="zh-CN"/>
        </w:rPr>
        <w:t>采购方</w:t>
      </w:r>
      <w:r>
        <w:rPr>
          <w:rFonts w:hint="eastAsia" w:asciiTheme="minorEastAsia" w:hAnsiTheme="minorEastAsia" w:eastAsiaTheme="minorEastAsia" w:cstheme="minorEastAsia"/>
          <w:sz w:val="24"/>
          <w:szCs w:val="24"/>
        </w:rPr>
        <w:t>对其质量保障体系有效性进行评估。</w:t>
      </w:r>
    </w:p>
    <w:p>
      <w:pPr>
        <w:pStyle w:val="14"/>
        <w:numPr>
          <w:ilvl w:val="1"/>
          <w:numId w:val="33"/>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现场验收合格后即进入质量保证期，在保证期内系统出现故障时</w:t>
      </w:r>
      <w:r>
        <w:rPr>
          <w:rFonts w:hint="eastAsia" w:asciiTheme="minorEastAsia" w:hAnsiTheme="minorEastAsia" w:eastAsiaTheme="minorEastAsia" w:cstheme="minorEastAsia"/>
          <w:sz w:val="24"/>
          <w:szCs w:val="24"/>
          <w:lang w:eastAsia="zh-CN"/>
        </w:rPr>
        <w:t>采购方</w:t>
      </w:r>
      <w:r>
        <w:rPr>
          <w:rFonts w:hint="eastAsia" w:asciiTheme="minorEastAsia" w:hAnsiTheme="minorEastAsia" w:eastAsiaTheme="minorEastAsia" w:cstheme="minorEastAsia"/>
          <w:sz w:val="24"/>
          <w:szCs w:val="24"/>
        </w:rPr>
        <w:t>负责及时通知</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w:t>
      </w:r>
    </w:p>
    <w:p>
      <w:pPr>
        <w:pStyle w:val="14"/>
        <w:numPr>
          <w:ilvl w:val="1"/>
          <w:numId w:val="33"/>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质量保证期：1年。</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14"/>
        <w:numPr>
          <w:ilvl w:val="-1"/>
          <w:numId w:val="0"/>
        </w:numPr>
        <w:ind w:left="426" w:firstLine="0" w:firstLineChars="0"/>
        <w:rPr>
          <w:rFonts w:hint="eastAsia" w:asciiTheme="minorEastAsia" w:hAnsiTheme="minorEastAsia" w:eastAsiaTheme="minorEastAsia" w:cstheme="minorEastAsia"/>
          <w:sz w:val="24"/>
          <w:szCs w:val="24"/>
        </w:rPr>
      </w:pPr>
    </w:p>
    <w:p>
      <w:pPr>
        <w:numPr>
          <w:ilvl w:val="0"/>
          <w:numId w:val="10"/>
        </w:numPr>
        <w:adjustRightInd w:val="0"/>
        <w:snapToGrid w:val="0"/>
        <w:spacing w:line="360" w:lineRule="auto"/>
        <w:textAlignment w:val="baseline"/>
        <w:outlineLvl w:val="0"/>
        <w:rPr>
          <w:rFonts w:hint="eastAsia" w:ascii="宋体" w:hAnsi="宋体"/>
          <w:b/>
          <w:color w:val="auto"/>
          <w:kern w:val="0"/>
          <w:sz w:val="24"/>
          <w:lang w:eastAsia="zh-CN"/>
        </w:rPr>
      </w:pPr>
      <w:bookmarkStart w:id="20" w:name="_Toc44186753"/>
      <w:bookmarkEnd w:id="20"/>
      <w:bookmarkStart w:id="21" w:name="_Toc279695723"/>
      <w:bookmarkEnd w:id="21"/>
      <w:bookmarkStart w:id="22" w:name="_Toc16989"/>
      <w:bookmarkStart w:id="23" w:name="_Toc53310380"/>
      <w:r>
        <w:rPr>
          <w:rFonts w:hint="eastAsia" w:ascii="宋体" w:hAnsi="宋体"/>
          <w:b/>
          <w:color w:val="auto"/>
          <w:kern w:val="0"/>
          <w:sz w:val="24"/>
          <w:lang w:eastAsia="zh-CN"/>
        </w:rPr>
        <w:t>包装、运输、贮存</w:t>
      </w:r>
      <w:bookmarkEnd w:id="22"/>
      <w:bookmarkEnd w:id="23"/>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设备制造完成并通过试验后应及时包装，否则应得到切实的保护，确保其不受污损。</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所有部件经妥善包装或装箱后，在运输过程中尚应采取其它防护措施，以免散失损坏或被盗。</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在包装箱外应标明需方的订货号、发货号。</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各种包装应能确保各零部件在运输过程中不致遭到损坏、丢失、变形、受潮和腐蚀。</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随产品提供的技术资料应完整无缺。</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应保证制造过程中的所有工艺、材料等（包括</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的外购件在内）均应符合本</w:t>
      </w:r>
      <w:r>
        <w:rPr>
          <w:rFonts w:hint="eastAsia" w:asciiTheme="minorEastAsia" w:hAnsiTheme="minorEastAsia" w:eastAsiaTheme="minorEastAsia" w:cstheme="minorEastAsia"/>
          <w:sz w:val="24"/>
          <w:szCs w:val="24"/>
          <w:lang w:eastAsia="zh-CN"/>
        </w:rPr>
        <w:t>技术协议</w:t>
      </w:r>
      <w:r>
        <w:rPr>
          <w:rFonts w:hint="eastAsia" w:asciiTheme="minorEastAsia" w:hAnsiTheme="minorEastAsia" w:eastAsiaTheme="minorEastAsia" w:cstheme="minorEastAsia"/>
          <w:sz w:val="24"/>
          <w:szCs w:val="24"/>
        </w:rPr>
        <w:t>的规定。</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应遵守本</w:t>
      </w:r>
      <w:r>
        <w:rPr>
          <w:rFonts w:hint="eastAsia" w:asciiTheme="minorEastAsia" w:hAnsiTheme="minorEastAsia" w:eastAsiaTheme="minorEastAsia" w:cstheme="minorEastAsia"/>
          <w:sz w:val="24"/>
          <w:szCs w:val="24"/>
          <w:lang w:eastAsia="zh-CN"/>
        </w:rPr>
        <w:t>技术协议</w:t>
      </w:r>
      <w:r>
        <w:rPr>
          <w:rFonts w:hint="eastAsia" w:asciiTheme="minorEastAsia" w:hAnsiTheme="minorEastAsia" w:eastAsiaTheme="minorEastAsia" w:cstheme="minorEastAsia"/>
          <w:sz w:val="24"/>
          <w:szCs w:val="24"/>
        </w:rPr>
        <w:t>中各条款和工作项目的ISO9000、GB/T19000质量保证体系，该质量保证体系已经过国家认证和正常运转。</w:t>
      </w:r>
    </w:p>
    <w:p>
      <w:pPr>
        <w:pStyle w:val="14"/>
        <w:numPr>
          <w:ilvl w:val="1"/>
          <w:numId w:val="34"/>
        </w:numPr>
        <w:ind w:left="0" w:firstLine="426"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质保期间，因制造质量问题而发生损坏，或不能正常工作时，</w:t>
      </w:r>
      <w:r>
        <w:rPr>
          <w:rFonts w:hint="eastAsia" w:asciiTheme="minorEastAsia" w:hAnsiTheme="minorEastAsia" w:eastAsiaTheme="minorEastAsia" w:cstheme="minorEastAsia"/>
          <w:sz w:val="24"/>
          <w:szCs w:val="24"/>
          <w:lang w:eastAsia="zh-CN"/>
        </w:rPr>
        <w:t>报</w:t>
      </w:r>
      <w:r>
        <w:rPr>
          <w:rFonts w:hint="eastAsia" w:asciiTheme="minorEastAsia" w:hAnsiTheme="minorEastAsia" w:eastAsiaTheme="minorEastAsia" w:cstheme="minorEastAsia"/>
          <w:color w:val="000000"/>
          <w:sz w:val="24"/>
          <w:szCs w:val="24"/>
          <w:lang w:val="en-US" w:eastAsia="zh-CN"/>
        </w:rPr>
        <w:t>成交方</w:t>
      </w:r>
      <w:r>
        <w:rPr>
          <w:rFonts w:hint="eastAsia" w:asciiTheme="minorEastAsia" w:hAnsiTheme="minorEastAsia" w:eastAsiaTheme="minorEastAsia" w:cstheme="minorEastAsia"/>
          <w:sz w:val="24"/>
          <w:szCs w:val="24"/>
        </w:rPr>
        <w:t>应免费为</w:t>
      </w:r>
      <w:r>
        <w:rPr>
          <w:rFonts w:hint="eastAsia" w:asciiTheme="minorEastAsia" w:hAnsiTheme="minorEastAsia" w:eastAsiaTheme="minorEastAsia" w:cstheme="minorEastAsia"/>
          <w:sz w:val="24"/>
          <w:szCs w:val="24"/>
          <w:lang w:eastAsia="zh-CN"/>
        </w:rPr>
        <w:t>采购方</w:t>
      </w:r>
      <w:r>
        <w:rPr>
          <w:rFonts w:hint="eastAsia" w:asciiTheme="minorEastAsia" w:hAnsiTheme="minorEastAsia" w:eastAsiaTheme="minorEastAsia" w:cstheme="minorEastAsia"/>
          <w:sz w:val="24"/>
          <w:szCs w:val="24"/>
        </w:rPr>
        <w:t>修理或更换零部件。</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9"/>
        <w:rPr>
          <w:rFonts w:hint="eastAsia"/>
        </w:rPr>
      </w:pPr>
    </w:p>
    <w:p>
      <w:pPr>
        <w:keepNext w:val="0"/>
        <w:keepLines w:val="0"/>
        <w:pageBreakBefore w:val="0"/>
        <w:widowControl w:val="0"/>
        <w:numPr>
          <w:ilvl w:val="0"/>
          <w:numId w:val="10"/>
        </w:numPr>
        <w:kinsoku/>
        <w:wordWrap/>
        <w:overflowPunct/>
        <w:topLinePunct w:val="0"/>
        <w:autoSpaceDE/>
        <w:autoSpaceDN/>
        <w:bidi w:val="0"/>
        <w:adjustRightInd w:val="0"/>
        <w:snapToGrid w:val="0"/>
        <w:spacing w:before="313" w:beforeLines="100" w:line="360" w:lineRule="auto"/>
        <w:ind w:left="0" w:leftChars="0" w:right="0" w:rightChars="0" w:firstLine="0" w:firstLineChars="0"/>
        <w:jc w:val="both"/>
        <w:textAlignment w:val="baseline"/>
        <w:outlineLvl w:val="0"/>
        <w:rPr>
          <w:rFonts w:ascii="宋体" w:hAnsi="宋体"/>
          <w:b/>
          <w:color w:val="auto"/>
          <w:kern w:val="0"/>
          <w:sz w:val="28"/>
          <w:szCs w:val="28"/>
        </w:rPr>
      </w:pPr>
      <w:bookmarkStart w:id="24" w:name="_Toc94411974"/>
      <w:bookmarkStart w:id="25" w:name="_Toc158111226"/>
      <w:bookmarkStart w:id="26" w:name="_Toc154395061"/>
      <w:r>
        <w:rPr>
          <w:rFonts w:hint="eastAsia" w:ascii="宋体" w:hAnsi="宋体"/>
          <w:b/>
          <w:color w:val="auto"/>
          <w:kern w:val="0"/>
          <w:sz w:val="28"/>
          <w:szCs w:val="28"/>
        </w:rPr>
        <w:t>售后要求</w:t>
      </w:r>
    </w:p>
    <w:p>
      <w:pPr>
        <w:adjustRightInd w:val="0"/>
        <w:snapToGrid w:val="0"/>
        <w:spacing w:line="360" w:lineRule="auto"/>
        <w:ind w:firstLine="420"/>
        <w:rPr>
          <w:rFonts w:ascii="宋体" w:hAnsi="宋体"/>
          <w:color w:val="auto"/>
          <w:sz w:val="24"/>
        </w:rPr>
      </w:pPr>
      <w:r>
        <w:rPr>
          <w:rFonts w:hint="eastAsia" w:ascii="宋体" w:hAnsi="宋体"/>
          <w:color w:val="auto"/>
          <w:sz w:val="24"/>
        </w:rPr>
        <w:t>1）培训：</w:t>
      </w:r>
    </w:p>
    <w:p>
      <w:pPr>
        <w:adjustRightInd w:val="0"/>
        <w:snapToGrid w:val="0"/>
        <w:spacing w:line="360" w:lineRule="auto"/>
        <w:ind w:firstLine="420"/>
        <w:rPr>
          <w:rFonts w:ascii="宋体" w:hAnsi="宋体"/>
          <w:color w:val="auto"/>
          <w:sz w:val="24"/>
        </w:rPr>
      </w:pPr>
      <w:r>
        <w:rPr>
          <w:rFonts w:hint="eastAsia" w:ascii="宋体" w:hAnsi="宋体"/>
          <w:color w:val="auto"/>
          <w:sz w:val="24"/>
        </w:rPr>
        <w:t>a)</w:t>
      </w:r>
      <w:r>
        <w:rPr>
          <w:rFonts w:hint="eastAsia" w:asciiTheme="minorEastAsia" w:hAnsiTheme="minorEastAsia" w:eastAsiaTheme="minorEastAsia" w:cstheme="minorEastAsia"/>
          <w:color w:val="000000"/>
          <w:sz w:val="24"/>
          <w:szCs w:val="24"/>
          <w:lang w:val="en-US" w:eastAsia="zh-CN"/>
        </w:rPr>
        <w:t>成交方</w:t>
      </w:r>
      <w:r>
        <w:rPr>
          <w:rFonts w:hint="eastAsia" w:ascii="宋体" w:hAnsi="宋体"/>
          <w:color w:val="auto"/>
          <w:sz w:val="24"/>
        </w:rPr>
        <w:t>负责对</w:t>
      </w:r>
      <w:r>
        <w:rPr>
          <w:rFonts w:hint="eastAsia" w:ascii="宋体" w:hAnsi="宋体"/>
          <w:color w:val="auto"/>
          <w:sz w:val="24"/>
          <w:lang w:eastAsia="zh-CN"/>
        </w:rPr>
        <w:t>采购方</w:t>
      </w:r>
      <w:r>
        <w:rPr>
          <w:rFonts w:hint="eastAsia" w:ascii="宋体" w:hAnsi="宋体"/>
          <w:color w:val="auto"/>
          <w:sz w:val="24"/>
        </w:rPr>
        <w:t>技术人员及运行、维护人员的现场培训；</w:t>
      </w:r>
    </w:p>
    <w:p>
      <w:pPr>
        <w:adjustRightInd w:val="0"/>
        <w:snapToGrid w:val="0"/>
        <w:spacing w:line="360" w:lineRule="auto"/>
        <w:ind w:firstLine="420"/>
        <w:rPr>
          <w:rFonts w:ascii="宋体" w:hAnsi="宋体"/>
          <w:color w:val="auto"/>
          <w:sz w:val="24"/>
        </w:rPr>
      </w:pPr>
      <w:r>
        <w:rPr>
          <w:rFonts w:hint="eastAsia" w:ascii="宋体" w:hAnsi="宋体"/>
          <w:color w:val="auto"/>
          <w:sz w:val="24"/>
        </w:rPr>
        <w:t>b) 培训内容为系统结构、设计原理、设备接口、现场安装、调试、维护、故障诊断等；</w:t>
      </w:r>
    </w:p>
    <w:p>
      <w:pPr>
        <w:adjustRightInd w:val="0"/>
        <w:snapToGrid w:val="0"/>
        <w:spacing w:line="360" w:lineRule="auto"/>
        <w:ind w:firstLine="420"/>
        <w:rPr>
          <w:rFonts w:ascii="宋体" w:hAnsi="宋体"/>
          <w:color w:val="auto"/>
          <w:sz w:val="24"/>
        </w:rPr>
      </w:pPr>
      <w:r>
        <w:rPr>
          <w:rFonts w:hint="eastAsia" w:ascii="宋体" w:hAnsi="宋体"/>
          <w:color w:val="auto"/>
          <w:sz w:val="24"/>
          <w:lang w:val="en-US" w:eastAsia="zh-CN"/>
        </w:rPr>
        <w:t>2</w:t>
      </w:r>
      <w:r>
        <w:rPr>
          <w:rFonts w:hint="eastAsia" w:ascii="宋体" w:hAnsi="宋体"/>
          <w:color w:val="auto"/>
          <w:sz w:val="24"/>
        </w:rPr>
        <w:t>）硬件维护：</w:t>
      </w:r>
    </w:p>
    <w:p>
      <w:pPr>
        <w:adjustRightInd w:val="0"/>
        <w:snapToGrid w:val="0"/>
        <w:spacing w:line="360" w:lineRule="auto"/>
        <w:ind w:firstLine="420"/>
        <w:rPr>
          <w:rFonts w:ascii="宋体" w:hAnsi="宋体"/>
          <w:color w:val="auto"/>
          <w:sz w:val="24"/>
        </w:rPr>
      </w:pPr>
      <w:r>
        <w:rPr>
          <w:rFonts w:hint="eastAsia" w:ascii="宋体" w:hAnsi="宋体"/>
          <w:color w:val="auto"/>
          <w:sz w:val="24"/>
        </w:rPr>
        <w:t xml:space="preserve">a) </w:t>
      </w:r>
      <w:r>
        <w:rPr>
          <w:rFonts w:hint="eastAsia" w:asciiTheme="minorEastAsia" w:hAnsiTheme="minorEastAsia" w:eastAsiaTheme="minorEastAsia" w:cstheme="minorEastAsia"/>
          <w:color w:val="000000"/>
          <w:sz w:val="24"/>
          <w:szCs w:val="24"/>
          <w:lang w:val="en-US" w:eastAsia="zh-CN"/>
        </w:rPr>
        <w:t>成交方</w:t>
      </w:r>
      <w:r>
        <w:rPr>
          <w:rFonts w:hint="eastAsia" w:ascii="宋体" w:hAnsi="宋体"/>
          <w:color w:val="auto"/>
          <w:sz w:val="24"/>
        </w:rPr>
        <w:t>应提供7×24小时的技术支持服务，制定相对固定的技术负责人及联络电话、传真号码、e-mail地址等；</w:t>
      </w:r>
    </w:p>
    <w:p>
      <w:pPr>
        <w:adjustRightInd w:val="0"/>
        <w:snapToGrid w:val="0"/>
        <w:spacing w:line="360" w:lineRule="auto"/>
        <w:ind w:firstLine="420"/>
        <w:rPr>
          <w:rFonts w:ascii="宋体" w:hAnsi="宋体"/>
          <w:color w:val="auto"/>
          <w:sz w:val="24"/>
        </w:rPr>
      </w:pPr>
      <w:r>
        <w:rPr>
          <w:rFonts w:hint="eastAsia" w:ascii="宋体" w:hAnsi="宋体"/>
          <w:color w:val="auto"/>
          <w:sz w:val="24"/>
        </w:rPr>
        <w:t>b) 保修期内硬件故障时，所提供的替代硬件设备的性能应等于和高于原产品的性能；</w:t>
      </w:r>
    </w:p>
    <w:p>
      <w:pPr>
        <w:adjustRightInd w:val="0"/>
        <w:snapToGrid w:val="0"/>
        <w:spacing w:line="360" w:lineRule="auto"/>
        <w:ind w:firstLine="420"/>
        <w:rPr>
          <w:rFonts w:ascii="宋体" w:hAnsi="宋体"/>
          <w:color w:val="auto"/>
          <w:sz w:val="24"/>
        </w:rPr>
      </w:pPr>
      <w:r>
        <w:rPr>
          <w:rFonts w:hint="eastAsia" w:ascii="宋体" w:hAnsi="宋体"/>
          <w:color w:val="auto"/>
          <w:sz w:val="24"/>
        </w:rPr>
        <w:t>c) 48小时内故障应得以解决；</w:t>
      </w:r>
    </w:p>
    <w:p>
      <w:pPr>
        <w:adjustRightInd w:val="0"/>
        <w:snapToGrid w:val="0"/>
        <w:spacing w:line="360" w:lineRule="auto"/>
        <w:ind w:firstLine="420"/>
        <w:rPr>
          <w:rFonts w:ascii="宋体" w:hAnsi="宋体"/>
          <w:color w:val="auto"/>
          <w:sz w:val="24"/>
        </w:rPr>
      </w:pPr>
      <w:r>
        <w:rPr>
          <w:rFonts w:hint="eastAsia" w:ascii="宋体" w:hAnsi="宋体"/>
          <w:color w:val="auto"/>
          <w:sz w:val="24"/>
          <w:lang w:val="en-US" w:eastAsia="zh-CN"/>
        </w:rPr>
        <w:t>3</w:t>
      </w:r>
      <w:r>
        <w:rPr>
          <w:rFonts w:hint="eastAsia" w:ascii="宋体" w:hAnsi="宋体"/>
          <w:color w:val="auto"/>
          <w:sz w:val="24"/>
        </w:rPr>
        <w:t>）软件维护：</w:t>
      </w:r>
    </w:p>
    <w:p>
      <w:pPr>
        <w:adjustRightInd w:val="0"/>
        <w:snapToGrid w:val="0"/>
        <w:spacing w:line="360" w:lineRule="auto"/>
        <w:ind w:firstLine="420"/>
        <w:rPr>
          <w:rFonts w:hint="eastAsia" w:ascii="宋体" w:hAnsi="宋体"/>
          <w:color w:val="auto"/>
          <w:sz w:val="24"/>
        </w:rPr>
      </w:pPr>
      <w:r>
        <w:rPr>
          <w:rFonts w:hint="eastAsia" w:ascii="宋体" w:hAnsi="宋体"/>
          <w:color w:val="auto"/>
          <w:sz w:val="24"/>
        </w:rPr>
        <w:t>a) 自工程投运之日起五年，</w:t>
      </w:r>
      <w:r>
        <w:rPr>
          <w:rFonts w:hint="eastAsia" w:asciiTheme="minorEastAsia" w:hAnsiTheme="minorEastAsia" w:eastAsiaTheme="minorEastAsia" w:cstheme="minorEastAsia"/>
          <w:color w:val="000000"/>
          <w:sz w:val="24"/>
          <w:szCs w:val="24"/>
          <w:lang w:val="en-US" w:eastAsia="zh-CN"/>
        </w:rPr>
        <w:t>成交方</w:t>
      </w:r>
      <w:r>
        <w:rPr>
          <w:rFonts w:hint="eastAsia" w:ascii="宋体" w:hAnsi="宋体"/>
          <w:color w:val="auto"/>
          <w:sz w:val="24"/>
        </w:rPr>
        <w:t>应免费提供系统软件升级、培训、设计联络、技术服务，优惠提供有关扩建工程的软件扩容服务；</w:t>
      </w:r>
    </w:p>
    <w:p>
      <w:pPr>
        <w:adjustRightInd w:val="0"/>
        <w:snapToGrid w:val="0"/>
        <w:spacing w:line="360" w:lineRule="auto"/>
        <w:ind w:firstLine="420"/>
        <w:rPr>
          <w:rFonts w:hint="eastAsia" w:ascii="宋体" w:hAnsi="宋体"/>
          <w:color w:val="auto"/>
          <w:sz w:val="24"/>
        </w:rPr>
      </w:pPr>
      <w:r>
        <w:rPr>
          <w:rFonts w:hint="eastAsia" w:ascii="宋体" w:hAnsi="宋体"/>
          <w:color w:val="auto"/>
          <w:sz w:val="24"/>
        </w:rPr>
        <w:t>b) 提供7×24小时的技术支持服务，制定相对固定的技术负责人及联络电话、传真号码、e-mail地址等；</w:t>
      </w:r>
    </w:p>
    <w:p>
      <w:pPr>
        <w:adjustRightInd w:val="0"/>
        <w:snapToGrid w:val="0"/>
        <w:spacing w:line="360" w:lineRule="auto"/>
        <w:ind w:firstLine="420"/>
        <w:rPr>
          <w:rFonts w:hint="eastAsia" w:ascii="宋体" w:hAnsi="宋体"/>
          <w:color w:val="auto"/>
          <w:sz w:val="24"/>
        </w:rPr>
      </w:pPr>
      <w:r>
        <w:rPr>
          <w:rFonts w:hint="eastAsia" w:ascii="宋体" w:hAnsi="宋体"/>
          <w:color w:val="auto"/>
          <w:sz w:val="24"/>
        </w:rPr>
        <w:t>c) 在用户发现软件故障时，</w:t>
      </w:r>
      <w:r>
        <w:rPr>
          <w:rFonts w:hint="eastAsia" w:asciiTheme="minorEastAsia" w:hAnsiTheme="minorEastAsia" w:eastAsiaTheme="minorEastAsia" w:cstheme="minorEastAsia"/>
          <w:color w:val="000000"/>
          <w:sz w:val="24"/>
          <w:szCs w:val="24"/>
          <w:lang w:val="en-US" w:eastAsia="zh-CN"/>
        </w:rPr>
        <w:t>成交方</w:t>
      </w:r>
      <w:r>
        <w:rPr>
          <w:rFonts w:hint="eastAsia" w:ascii="宋体" w:hAnsi="宋体"/>
          <w:color w:val="auto"/>
          <w:sz w:val="24"/>
        </w:rPr>
        <w:t>必须在用户提出维护要求的4小时内作出响应，24小时内提交故障分析报告和解决方案，48小时内故障得以解决；</w:t>
      </w:r>
    </w:p>
    <w:p>
      <w:pPr>
        <w:adjustRightInd w:val="0"/>
        <w:snapToGrid w:val="0"/>
        <w:spacing w:line="360" w:lineRule="auto"/>
        <w:ind w:firstLine="420"/>
        <w:rPr>
          <w:rFonts w:hint="eastAsia" w:ascii="宋体" w:hAnsi="宋体"/>
          <w:color w:val="auto"/>
          <w:sz w:val="24"/>
        </w:rPr>
      </w:pPr>
      <w:r>
        <w:rPr>
          <w:rFonts w:hint="eastAsia" w:ascii="宋体" w:hAnsi="宋体"/>
          <w:color w:val="auto"/>
          <w:sz w:val="24"/>
        </w:rPr>
        <w:t>d) 对于用户提出的软件性能提高、功能增加等改进要求，如属“招标书”或“合同”的范畴，</w:t>
      </w:r>
      <w:r>
        <w:rPr>
          <w:rFonts w:hint="eastAsia" w:asciiTheme="minorEastAsia" w:hAnsiTheme="minorEastAsia" w:eastAsiaTheme="minorEastAsia" w:cstheme="minorEastAsia"/>
          <w:color w:val="000000"/>
          <w:sz w:val="24"/>
          <w:szCs w:val="24"/>
          <w:lang w:val="en-US" w:eastAsia="zh-CN"/>
        </w:rPr>
        <w:t>成交方</w:t>
      </w:r>
      <w:r>
        <w:rPr>
          <w:rFonts w:hint="eastAsia" w:ascii="宋体" w:hAnsi="宋体"/>
          <w:color w:val="auto"/>
          <w:sz w:val="24"/>
        </w:rPr>
        <w:t>应在2周内予以解决；如属“招标书”或“合同”以外的功能开发，也应提供优惠服务。</w:t>
      </w:r>
    </w:p>
    <w:p>
      <w:pPr>
        <w:pStyle w:val="97"/>
        <w:keepNext w:val="0"/>
        <w:keepLines w:val="0"/>
        <w:pageBreakBefore w:val="0"/>
        <w:widowControl w:val="0"/>
        <w:numPr>
          <w:ilvl w:val="-1"/>
          <w:numId w:val="0"/>
        </w:numPr>
        <w:kinsoku/>
        <w:wordWrap/>
        <w:overflowPunct/>
        <w:topLinePunct w:val="0"/>
        <w:autoSpaceDE/>
        <w:autoSpaceDN/>
        <w:bidi w:val="0"/>
        <w:adjustRightInd w:val="0"/>
        <w:snapToGrid w:val="0"/>
        <w:spacing w:line="360" w:lineRule="auto"/>
        <w:ind w:left="420" w:leftChars="200" w:right="0" w:rightChars="0" w:firstLine="0" w:firstLineChars="0"/>
        <w:jc w:val="left"/>
        <w:textAlignment w:val="auto"/>
        <w:outlineLvl w:val="9"/>
        <w:rPr>
          <w:rFonts w:hint="default" w:ascii="宋体" w:hAnsi="宋体" w:eastAsia="宋体"/>
          <w:b/>
          <w:bCs/>
          <w:color w:val="auto"/>
          <w:sz w:val="28"/>
          <w:szCs w:val="28"/>
          <w:lang w:val="en-US" w:eastAsia="zh-CN"/>
        </w:rPr>
      </w:pPr>
      <w:r>
        <w:rPr>
          <w:rFonts w:hint="eastAsia" w:ascii="宋体" w:hAnsi="宋体"/>
          <w:b/>
          <w:bCs/>
          <w:color w:val="auto"/>
          <w:sz w:val="28"/>
          <w:szCs w:val="28"/>
          <w:lang w:val="en-US" w:eastAsia="zh-CN"/>
        </w:rPr>
        <w:t>报价人响应：</w:t>
      </w:r>
    </w:p>
    <w:p>
      <w:pPr>
        <w:pStyle w:val="2"/>
        <w:jc w:val="both"/>
        <w:rPr>
          <w:rFonts w:hint="eastAsia"/>
        </w:rPr>
      </w:pPr>
    </w:p>
    <w:bookmarkEnd w:id="24"/>
    <w:bookmarkEnd w:id="25"/>
    <w:bookmarkEnd w:id="26"/>
    <w:p>
      <w:pPr>
        <w:numPr>
          <w:ilvl w:val="0"/>
          <w:numId w:val="10"/>
        </w:numPr>
        <w:adjustRightInd w:val="0"/>
        <w:snapToGrid w:val="0"/>
        <w:spacing w:line="360" w:lineRule="auto"/>
        <w:textAlignment w:val="baseline"/>
        <w:outlineLvl w:val="0"/>
        <w:rPr>
          <w:rFonts w:ascii="宋体" w:hAnsi="宋体"/>
          <w:b/>
          <w:color w:val="auto"/>
          <w:kern w:val="0"/>
          <w:sz w:val="28"/>
          <w:szCs w:val="28"/>
        </w:rPr>
      </w:pPr>
      <w:bookmarkStart w:id="27" w:name="_Toc11721"/>
      <w:bookmarkStart w:id="28" w:name="_Toc5636"/>
      <w:r>
        <w:rPr>
          <w:rFonts w:hint="eastAsia" w:ascii="宋体" w:hAnsi="宋体"/>
          <w:b/>
          <w:color w:val="auto"/>
          <w:kern w:val="0"/>
          <w:sz w:val="28"/>
          <w:szCs w:val="28"/>
          <w:lang w:val="en-US" w:eastAsia="zh-CN"/>
        </w:rPr>
        <w:t>配置</w:t>
      </w:r>
      <w:r>
        <w:rPr>
          <w:rFonts w:hint="eastAsia" w:ascii="宋体" w:hAnsi="宋体"/>
          <w:b/>
          <w:color w:val="auto"/>
          <w:kern w:val="0"/>
          <w:sz w:val="28"/>
          <w:szCs w:val="28"/>
        </w:rPr>
        <w:t>清单</w:t>
      </w:r>
      <w:bookmarkEnd w:id="27"/>
      <w:bookmarkEnd w:id="28"/>
    </w:p>
    <w:tbl>
      <w:tblPr>
        <w:tblStyle w:val="35"/>
        <w:tblpPr w:leftFromText="180" w:rightFromText="180" w:vertAnchor="text" w:horzAnchor="page" w:tblpX="1305" w:tblpY="342"/>
        <w:tblOverlap w:val="never"/>
        <w:tblW w:w="95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7"/>
        <w:gridCol w:w="2494"/>
        <w:gridCol w:w="1050"/>
        <w:gridCol w:w="840"/>
        <w:gridCol w:w="2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blHeader/>
        </w:trPr>
        <w:tc>
          <w:tcPr>
            <w:tcW w:w="2417" w:type="dxa"/>
            <w:shd w:val="clear" w:color="auto" w:fill="auto"/>
            <w:vAlign w:val="center"/>
          </w:tcPr>
          <w:p>
            <w:pPr>
              <w:widowControl/>
              <w:spacing w:line="360" w:lineRule="auto"/>
              <w:jc w:val="center"/>
              <w:textAlignment w:val="center"/>
              <w:rPr>
                <w:rFonts w:ascii="宋体" w:hAnsi="宋体" w:cs="宋体"/>
                <w:b/>
                <w:bCs/>
                <w:color w:val="auto"/>
                <w:kern w:val="0"/>
                <w:szCs w:val="21"/>
              </w:rPr>
            </w:pPr>
            <w:r>
              <w:rPr>
                <w:rFonts w:hint="eastAsia" w:ascii="宋体" w:hAnsi="宋体" w:cs="宋体"/>
                <w:b/>
                <w:bCs/>
                <w:color w:val="auto"/>
                <w:kern w:val="0"/>
                <w:szCs w:val="21"/>
              </w:rPr>
              <w:t>设备名称</w:t>
            </w:r>
          </w:p>
        </w:tc>
        <w:tc>
          <w:tcPr>
            <w:tcW w:w="2494" w:type="dxa"/>
            <w:shd w:val="clear" w:color="auto" w:fill="auto"/>
            <w:vAlign w:val="center"/>
          </w:tcPr>
          <w:p>
            <w:pPr>
              <w:widowControl/>
              <w:spacing w:line="360" w:lineRule="auto"/>
              <w:jc w:val="center"/>
              <w:textAlignment w:val="center"/>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lang w:val="en-US" w:eastAsia="zh-CN"/>
              </w:rPr>
              <w:t>配置</w:t>
            </w:r>
          </w:p>
        </w:tc>
        <w:tc>
          <w:tcPr>
            <w:tcW w:w="1050" w:type="dxa"/>
            <w:shd w:val="clear" w:color="auto" w:fill="auto"/>
            <w:vAlign w:val="center"/>
          </w:tcPr>
          <w:p>
            <w:pPr>
              <w:widowControl/>
              <w:spacing w:line="360" w:lineRule="auto"/>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840" w:type="dxa"/>
            <w:shd w:val="clear" w:color="auto" w:fill="auto"/>
            <w:vAlign w:val="center"/>
          </w:tcPr>
          <w:p>
            <w:pPr>
              <w:widowControl/>
              <w:spacing w:line="360" w:lineRule="auto"/>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2702" w:type="dxa"/>
            <w:vAlign w:val="center"/>
          </w:tcPr>
          <w:p>
            <w:pPr>
              <w:widowControl/>
              <w:spacing w:line="360" w:lineRule="auto"/>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blHeader/>
        </w:trPr>
        <w:tc>
          <w:tcPr>
            <w:tcW w:w="2417" w:type="dxa"/>
            <w:shd w:val="clear" w:color="auto" w:fill="auto"/>
            <w:vAlign w:val="center"/>
          </w:tcPr>
          <w:p>
            <w:pPr>
              <w:pStyle w:val="2"/>
              <w:jc w:val="center"/>
              <w:rPr>
                <w:rFonts w:hint="default" w:ascii="Times New Roman" w:hAnsi="Times New Roman" w:cs="Times New Roman"/>
                <w:b w:val="0"/>
                <w:bCs w:val="0"/>
                <w:sz w:val="24"/>
                <w:szCs w:val="24"/>
                <w:highlight w:val="none"/>
                <w:lang w:val="en-US" w:eastAsia="zh-CN"/>
              </w:rPr>
            </w:pPr>
            <w:r>
              <w:rPr>
                <w:rFonts w:hint="eastAsia" w:ascii="Times New Roman" w:hAnsi="Times New Roman" w:cs="Times New Roman"/>
                <w:b w:val="0"/>
                <w:bCs w:val="0"/>
                <w:sz w:val="24"/>
                <w:szCs w:val="24"/>
                <w:highlight w:val="none"/>
                <w:lang w:val="en-US" w:eastAsia="zh-CN"/>
              </w:rPr>
              <w:t>变电站自动化设备智能运维工具</w:t>
            </w:r>
          </w:p>
        </w:tc>
        <w:tc>
          <w:tcPr>
            <w:tcW w:w="2494" w:type="dxa"/>
            <w:shd w:val="clear" w:color="auto" w:fill="auto"/>
            <w:vAlign w:val="center"/>
          </w:tcPr>
          <w:p>
            <w:pPr>
              <w:pStyle w:val="2"/>
              <w:jc w:val="center"/>
              <w:rPr>
                <w:rFonts w:hint="eastAsia" w:ascii="Times New Roman" w:hAnsi="Times New Roman" w:cs="Times New Roman"/>
                <w:b w:val="0"/>
                <w:bCs w:val="0"/>
                <w:sz w:val="24"/>
                <w:szCs w:val="24"/>
                <w:highlight w:val="none"/>
                <w:lang w:val="en-US" w:eastAsia="zh-CN"/>
              </w:rPr>
            </w:pPr>
            <w:r>
              <w:rPr>
                <w:rFonts w:hint="eastAsia" w:ascii="Times New Roman" w:hAnsi="Times New Roman" w:cs="Times New Roman"/>
                <w:b w:val="0"/>
                <w:bCs w:val="0"/>
                <w:sz w:val="24"/>
                <w:szCs w:val="24"/>
                <w:highlight w:val="none"/>
                <w:lang w:val="en-US" w:eastAsia="zh-CN"/>
              </w:rPr>
              <w:t>加密U盘，内存不小于64G</w:t>
            </w:r>
          </w:p>
        </w:tc>
        <w:tc>
          <w:tcPr>
            <w:tcW w:w="1050" w:type="dxa"/>
            <w:shd w:val="clear" w:color="auto" w:fill="auto"/>
            <w:vAlign w:val="center"/>
          </w:tcPr>
          <w:p>
            <w:pPr>
              <w:widowControl/>
              <w:spacing w:line="360" w:lineRule="auto"/>
              <w:jc w:val="center"/>
              <w:textAlignment w:val="center"/>
              <w:rPr>
                <w:rFonts w:hint="eastAsia"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套</w:t>
            </w:r>
          </w:p>
        </w:tc>
        <w:tc>
          <w:tcPr>
            <w:tcW w:w="840" w:type="dxa"/>
            <w:shd w:val="clear" w:color="auto" w:fill="auto"/>
            <w:vAlign w:val="center"/>
          </w:tcPr>
          <w:p>
            <w:pPr>
              <w:widowControl/>
              <w:spacing w:line="360" w:lineRule="auto"/>
              <w:jc w:val="center"/>
              <w:textAlignment w:val="center"/>
              <w:rPr>
                <w:rFonts w:hint="eastAsia"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w:t>
            </w:r>
          </w:p>
        </w:tc>
        <w:tc>
          <w:tcPr>
            <w:tcW w:w="2702" w:type="dxa"/>
            <w:vAlign w:val="center"/>
          </w:tcPr>
          <w:p>
            <w:pPr>
              <w:widowControl/>
              <w:spacing w:line="360" w:lineRule="auto"/>
              <w:jc w:val="center"/>
              <w:textAlignment w:val="center"/>
              <w:rPr>
                <w:rFonts w:hint="eastAsia" w:ascii="宋体" w:hAnsi="宋体" w:eastAsia="宋体" w:cs="宋体"/>
                <w:b w:val="0"/>
                <w:bCs w:val="0"/>
                <w:color w:val="auto"/>
                <w:kern w:val="0"/>
                <w:sz w:val="24"/>
                <w:szCs w:val="24"/>
                <w:highlight w:val="none"/>
                <w:lang w:eastAsia="zh-CN"/>
              </w:rPr>
            </w:pPr>
          </w:p>
        </w:tc>
      </w:tr>
    </w:tbl>
    <w:p>
      <w:pPr>
        <w:pStyle w:val="3"/>
        <w:spacing w:line="360" w:lineRule="auto"/>
        <w:ind w:left="420" w:leftChars="200" w:firstLine="0" w:firstLineChars="0"/>
        <w:jc w:val="both"/>
        <w:rPr>
          <w:rFonts w:hint="eastAsia" w:ascii="宋体" w:hAnsi="宋体"/>
          <w:b/>
          <w:bCs/>
          <w:color w:val="auto"/>
          <w:sz w:val="28"/>
          <w:szCs w:val="28"/>
          <w:lang w:val="en-US" w:eastAsia="zh-CN"/>
        </w:rPr>
      </w:pPr>
      <w:r>
        <w:rPr>
          <w:rFonts w:hint="eastAsia" w:ascii="宋体" w:hAnsi="宋体"/>
          <w:b/>
          <w:bCs/>
          <w:color w:val="auto"/>
          <w:sz w:val="28"/>
          <w:szCs w:val="28"/>
          <w:lang w:val="en-US" w:eastAsia="zh-CN"/>
        </w:rPr>
        <w:t>报价人响应：</w:t>
      </w:r>
    </w:p>
    <w:p>
      <w:pPr>
        <w:rPr>
          <w:rFonts w:hint="default"/>
          <w:lang w:val="en-US"/>
        </w:rPr>
      </w:pPr>
    </w:p>
    <w:sectPr>
      <w:headerReference r:id="rId3" w:type="default"/>
      <w:footerReference r:id="rId4" w:type="default"/>
      <w:pgSz w:w="11906" w:h="16838"/>
      <w:pgMar w:top="1701" w:right="1304" w:bottom="1418"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auto"/>
    <w:pitch w:val="default"/>
    <w:sig w:usb0="00000000" w:usb1="00000000" w:usb2="0000007F" w:usb3="00000000" w:csb0="203F01FF" w:csb1="DFFF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5"/>
      <w:ind w:right="360" w:firstLine="360"/>
      <w:rPr>
        <w:rStyle w:val="37"/>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FFD4B9"/>
    <w:multiLevelType w:val="multilevel"/>
    <w:tmpl w:val="E1FFD4B9"/>
    <w:lvl w:ilvl="0" w:tentative="0">
      <w:start w:val="6"/>
      <w:numFmt w:val="decimal"/>
      <w:lvlText w:val="%1"/>
      <w:lvlJc w:val="left"/>
      <w:pPr>
        <w:tabs>
          <w:tab w:val="left" w:pos="420"/>
        </w:tabs>
        <w:ind w:left="0" w:firstLine="0"/>
      </w:pPr>
      <w:rPr>
        <w:rFonts w:hint="default" w:ascii="宋体" w:hAnsi="宋体" w:eastAsia="宋体" w:cs="宋体"/>
      </w:rPr>
    </w:lvl>
    <w:lvl w:ilvl="1" w:tentative="0">
      <w:start w:val="2"/>
      <w:numFmt w:val="decimal"/>
      <w:isLgl/>
      <w:suff w:val="nothing"/>
      <w:lvlText w:val="%1.%2　"/>
      <w:lvlJc w:val="left"/>
      <w:pPr>
        <w:ind w:left="0" w:firstLine="0"/>
      </w:pPr>
      <w:rPr>
        <w:rFonts w:hint="default" w:ascii="宋体" w:hAnsi="宋体" w:eastAsia="宋体" w:cs="宋体"/>
        <w:b w:val="0"/>
        <w:bCs w:val="0"/>
        <w:i w:val="0"/>
        <w:iCs w:val="0"/>
        <w:caps w:val="0"/>
        <w:smallCaps w:val="0"/>
        <w:strike w:val="0"/>
        <w:dstrike w:val="0"/>
        <w:color w:val="000000"/>
        <w:spacing w:val="0"/>
        <w:position w:val="0"/>
        <w:u w:val="none"/>
      </w:rPr>
    </w:lvl>
    <w:lvl w:ilvl="2" w:tentative="0">
      <w:start w:val="1"/>
      <w:numFmt w:val="decimal"/>
      <w:pStyle w:val="113"/>
      <w:isLgl/>
      <w:suff w:val="nothing"/>
      <w:lvlText w:val="%1.%2.%3　"/>
      <w:lvlJc w:val="left"/>
      <w:pPr>
        <w:tabs>
          <w:tab w:val="left" w:pos="0"/>
        </w:tabs>
        <w:ind w:left="0" w:firstLine="0"/>
      </w:pPr>
      <w:rPr>
        <w:rFonts w:hint="eastAsia" w:ascii="黑体" w:eastAsia="黑体"/>
        <w:b w:val="0"/>
        <w:bCs w:val="0"/>
        <w:i w:val="0"/>
        <w:iCs w:val="0"/>
        <w:caps w:val="0"/>
        <w:smallCaps w:val="0"/>
        <w:strike w:val="0"/>
        <w:dstrike w:val="0"/>
        <w:color w:val="auto"/>
        <w:spacing w:val="0"/>
        <w:w w:val="100"/>
        <w:position w:val="0"/>
        <w:sz w:val="21"/>
        <w:u w:val="none"/>
      </w:rPr>
    </w:lvl>
    <w:lvl w:ilvl="3" w:tentative="0">
      <w:start w:val="1"/>
      <w:numFmt w:val="decimal"/>
      <w:isLgl/>
      <w:suff w:val="nothing"/>
      <w:lvlText w:val="%1.%2.%3.%4　"/>
      <w:lvlJc w:val="left"/>
      <w:pPr>
        <w:ind w:left="0" w:firstLine="0"/>
      </w:pPr>
      <w:rPr>
        <w:rFonts w:hint="eastAsia" w:ascii="黑体" w:hAnsi="黑体" w:eastAsia="黑体"/>
      </w:rPr>
    </w:lvl>
    <w:lvl w:ilvl="4" w:tentative="0">
      <w:start w:val="1"/>
      <w:numFmt w:val="decimal"/>
      <w:isLgl/>
      <w:suff w:val="nothing"/>
      <w:lvlText w:val="%1.%2.%3.%4.%5　"/>
      <w:lvlJc w:val="left"/>
      <w:pPr>
        <w:ind w:left="0" w:firstLine="0"/>
      </w:pPr>
      <w:rPr>
        <w:rFonts w:hint="eastAsia" w:ascii="黑体" w:eastAsia="黑体"/>
        <w:b w:val="0"/>
        <w:i w:val="0"/>
        <w:caps w:val="0"/>
        <w:strike w:val="0"/>
        <w:dstrike w:val="0"/>
        <w:color w:val="auto"/>
        <w:spacing w:val="0"/>
        <w:w w:val="100"/>
        <w:position w:val="0"/>
        <w:sz w:val="21"/>
        <w:u w:val="none"/>
      </w:rPr>
    </w:lvl>
    <w:lvl w:ilvl="5" w:tentative="0">
      <w:start w:val="1"/>
      <w:numFmt w:val="lowerLetter"/>
      <w:pStyle w:val="114"/>
      <w:lvlText w:val="%6)"/>
      <w:lvlJc w:val="left"/>
      <w:pPr>
        <w:tabs>
          <w:tab w:val="left" w:pos="839"/>
        </w:tabs>
        <w:ind w:left="839" w:hanging="419"/>
      </w:pPr>
      <w:rPr>
        <w:rFonts w:hint="default" w:ascii="Times New Roman" w:hAnsi="Times New Roman" w:eastAsia="宋体"/>
        <w:b w:val="0"/>
        <w:i w:val="0"/>
        <w:caps w:val="0"/>
        <w:strike w:val="0"/>
        <w:dstrike w:val="0"/>
        <w:color w:val="auto"/>
        <w:spacing w:val="40"/>
        <w:w w:val="100"/>
        <w:position w:val="0"/>
        <w:sz w:val="21"/>
        <w:u w:val="none"/>
      </w:rPr>
    </w:lvl>
    <w:lvl w:ilvl="6" w:tentative="0">
      <w:start w:val="1"/>
      <w:numFmt w:val="decimal"/>
      <w:pStyle w:val="115"/>
      <w:lvlText w:val="%7)"/>
      <w:lvlJc w:val="left"/>
      <w:pPr>
        <w:tabs>
          <w:tab w:val="left" w:pos="562"/>
        </w:tabs>
        <w:ind w:left="562" w:hanging="420"/>
      </w:pPr>
      <w:rPr>
        <w:rFonts w:hint="default" w:ascii="Times New Roman" w:hAnsi="Times New Roman" w:eastAsia="宋体"/>
        <w:b w:val="0"/>
        <w:i w:val="0"/>
        <w:caps w:val="0"/>
        <w:strike w:val="0"/>
        <w:dstrike w:val="0"/>
        <w:color w:val="auto"/>
        <w:spacing w:val="40"/>
        <w:w w:val="100"/>
        <w:position w:val="0"/>
        <w:sz w:val="21"/>
        <w:u w:val="none"/>
      </w:rPr>
    </w:lvl>
    <w:lvl w:ilvl="7" w:tentative="0">
      <w:start w:val="1"/>
      <w:numFmt w:val="decimal"/>
      <w:lvlText w:val="注%8："/>
      <w:lvlJc w:val="left"/>
      <w:pPr>
        <w:tabs>
          <w:tab w:val="left" w:pos="839"/>
        </w:tabs>
        <w:ind w:left="839" w:hanging="419"/>
      </w:pPr>
      <w:rPr>
        <w:rFonts w:hint="default" w:ascii="Times New Roman" w:hAnsi="Times New Roman" w:eastAsia="宋体"/>
        <w:b w:val="0"/>
        <w:i w:val="0"/>
        <w:caps w:val="0"/>
        <w:strike w:val="0"/>
        <w:dstrike w:val="0"/>
        <w:color w:val="auto"/>
        <w:spacing w:val="0"/>
        <w:w w:val="100"/>
        <w:position w:val="0"/>
        <w:sz w:val="18"/>
        <w:u w:val="none"/>
      </w:rPr>
    </w:lvl>
    <w:lvl w:ilvl="8" w:tentative="0">
      <w:start w:val="1"/>
      <w:numFmt w:val="decimal"/>
      <w:lvlText w:val="示例%9："/>
      <w:lvlJc w:val="left"/>
      <w:pPr>
        <w:tabs>
          <w:tab w:val="left" w:pos="907"/>
        </w:tabs>
        <w:ind w:left="0" w:firstLine="420"/>
      </w:pPr>
      <w:rPr>
        <w:rFonts w:hint="default" w:ascii="Times New Roman" w:hAnsi="Times New Roman" w:eastAsia="宋体"/>
        <w:b w:val="0"/>
        <w:i w:val="0"/>
        <w:caps w:val="0"/>
        <w:strike w:val="0"/>
        <w:dstrike w:val="0"/>
        <w:color w:val="auto"/>
        <w:spacing w:val="0"/>
        <w:w w:val="100"/>
        <w:position w:val="0"/>
        <w:sz w:val="18"/>
        <w:u w:val="none"/>
      </w:rPr>
    </w:lvl>
  </w:abstractNum>
  <w:abstractNum w:abstractNumId="1">
    <w:nsid w:val="00000004"/>
    <w:multiLevelType w:val="multilevel"/>
    <w:tmpl w:val="00000004"/>
    <w:lvl w:ilvl="0" w:tentative="0">
      <w:start w:val="1"/>
      <w:numFmt w:val="none"/>
      <w:pStyle w:val="60"/>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BDE74DE"/>
    <w:multiLevelType w:val="multilevel"/>
    <w:tmpl w:val="0BDE74DE"/>
    <w:lvl w:ilvl="0" w:tentative="0">
      <w:start w:val="1"/>
      <w:numFmt w:val="decimal"/>
      <w:suff w:val="space"/>
      <w:lvlText w:val="3.%1 "/>
      <w:lvlJc w:val="left"/>
      <w:pPr>
        <w:ind w:left="0" w:firstLine="0"/>
      </w:pPr>
      <w:rPr>
        <w:rFonts w:hint="eastAsia"/>
      </w:rPr>
    </w:lvl>
    <w:lvl w:ilvl="1" w:tentative="0">
      <w:start w:val="1"/>
      <w:numFmt w:val="lowerLetter"/>
      <w:lvlText w:val="%2)"/>
      <w:lvlJc w:val="left"/>
      <w:pPr>
        <w:tabs>
          <w:tab w:val="left" w:pos="840"/>
        </w:tabs>
        <w:ind w:left="0" w:firstLine="482"/>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1F401D6"/>
    <w:multiLevelType w:val="multilevel"/>
    <w:tmpl w:val="11F401D6"/>
    <w:lvl w:ilvl="0" w:tentative="0">
      <w:start w:val="1"/>
      <w:numFmt w:val="lowerLetter"/>
      <w:pStyle w:val="44"/>
      <w:lvlText w:val="%1）"/>
      <w:lvlJc w:val="left"/>
      <w:pPr>
        <w:tabs>
          <w:tab w:val="left" w:pos="420"/>
        </w:tabs>
        <w:ind w:left="732" w:hanging="312"/>
      </w:pPr>
      <w:rPr>
        <w:rFonts w:hint="eastAsia"/>
        <w:color w:val="000000"/>
      </w:rPr>
    </w:lvl>
    <w:lvl w:ilvl="1" w:tentative="0">
      <w:start w:val="1"/>
      <w:numFmt w:val="lowerLetter"/>
      <w:lvlText w:val="%2)"/>
      <w:lvlJc w:val="left"/>
      <w:pPr>
        <w:ind w:left="1155" w:hanging="420"/>
      </w:pPr>
    </w:lvl>
    <w:lvl w:ilvl="2" w:tentative="0">
      <w:start w:val="10"/>
      <w:numFmt w:val="decimal"/>
      <w:lvlText w:val="%3"/>
      <w:lvlJc w:val="left"/>
      <w:pPr>
        <w:tabs>
          <w:tab w:val="left" w:pos="1605"/>
        </w:tabs>
        <w:ind w:left="1605" w:hanging="450"/>
      </w:pPr>
      <w:rPr>
        <w:rFonts w:hint="default"/>
      </w:r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4">
    <w:nsid w:val="162DAF3B"/>
    <w:multiLevelType w:val="singleLevel"/>
    <w:tmpl w:val="162DAF3B"/>
    <w:lvl w:ilvl="0" w:tentative="0">
      <w:start w:val="1"/>
      <w:numFmt w:val="decimal"/>
      <w:lvlText w:val="%1)"/>
      <w:lvlJc w:val="left"/>
      <w:pPr>
        <w:ind w:left="425" w:hanging="425"/>
      </w:pPr>
      <w:rPr>
        <w:rFonts w:hint="default"/>
      </w:rPr>
    </w:lvl>
  </w:abstractNum>
  <w:abstractNum w:abstractNumId="5">
    <w:nsid w:val="22B12BD2"/>
    <w:multiLevelType w:val="multilevel"/>
    <w:tmpl w:val="22B12BD2"/>
    <w:lvl w:ilvl="0" w:tentative="0">
      <w:start w:val="1"/>
      <w:numFmt w:val="decimal"/>
      <w:suff w:val="space"/>
      <w:lvlText w:val="1.%1 "/>
      <w:lvlJc w:val="left"/>
      <w:pPr>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B3A053B"/>
    <w:multiLevelType w:val="multilevel"/>
    <w:tmpl w:val="2B3A053B"/>
    <w:lvl w:ilvl="0" w:tentative="0">
      <w:start w:val="1"/>
      <w:numFmt w:val="decimal"/>
      <w:lvlText w:val="%1)"/>
      <w:lvlJc w:val="left"/>
      <w:pPr>
        <w:ind w:left="0" w:firstLine="0"/>
      </w:pPr>
      <w:rPr>
        <w:rFonts w:hint="eastAsia"/>
        <w:b w:val="0"/>
        <w:i w:val="0"/>
        <w:sz w:val="21"/>
        <w:szCs w:val="21"/>
      </w:rPr>
    </w:lvl>
    <w:lvl w:ilvl="1" w:tentative="0">
      <w:start w:val="1"/>
      <w:numFmt w:val="decimal"/>
      <w:suff w:val="nothing"/>
      <w:lvlText w:val="%1%2 "/>
      <w:lvlJc w:val="left"/>
      <w:pPr>
        <w:ind w:left="0" w:firstLine="0"/>
      </w:pPr>
      <w:rPr>
        <w:rFonts w:hint="eastAsia" w:ascii="黑体" w:hAnsi="Times New Roman" w:eastAsia="黑体"/>
        <w:b/>
        <w:i w:val="0"/>
        <w:sz w:val="28"/>
      </w:rPr>
    </w:lvl>
    <w:lvl w:ilvl="2" w:tentative="0">
      <w:start w:val="1"/>
      <w:numFmt w:val="decimal"/>
      <w:suff w:val="nothing"/>
      <w:lvlText w:val="%1%2.%3　"/>
      <w:lvlJc w:val="left"/>
      <w:pPr>
        <w:ind w:left="0" w:firstLine="0"/>
      </w:pPr>
      <w:rPr>
        <w:rFonts w:hint="eastAsia" w:ascii="黑体" w:hAnsi="Times New Roman" w:eastAsia="黑体"/>
        <w:b/>
        <w:i w:val="0"/>
        <w:sz w:val="21"/>
      </w:rPr>
    </w:lvl>
    <w:lvl w:ilvl="3" w:tentative="0">
      <w:start w:val="1"/>
      <w:numFmt w:val="lowerLetter"/>
      <w:pStyle w:val="62"/>
      <w:lvlText w:val="%4)"/>
      <w:lvlJc w:val="left"/>
      <w:pPr>
        <w:ind w:left="0" w:firstLine="0"/>
      </w:pPr>
      <w:rPr>
        <w:rFonts w:hint="eastAsia"/>
        <w:b/>
        <w:i w:val="0"/>
        <w:sz w:val="21"/>
      </w:rPr>
    </w:lvl>
    <w:lvl w:ilvl="4" w:tentative="0">
      <w:start w:val="1"/>
      <w:numFmt w:val="decimal"/>
      <w:suff w:val="nothing"/>
      <w:lvlText w:val="表%1%2.%3.%4-%5 "/>
      <w:lvlJc w:val="left"/>
      <w:pPr>
        <w:ind w:left="0" w:firstLine="0"/>
      </w:pPr>
      <w:rPr>
        <w:rFonts w:hint="eastAsia" w:ascii="黑体" w:hAnsi="Times New Roman" w:eastAsia="黑体"/>
        <w:b/>
        <w:i w:val="0"/>
        <w:sz w:val="21"/>
      </w:rPr>
    </w:lvl>
    <w:lvl w:ilvl="5" w:tentative="0">
      <w:start w:val="1"/>
      <w:numFmt w:val="decimal"/>
      <w:lvlRestart w:val="4"/>
      <w:suff w:val="nothing"/>
      <w:lvlText w:val="%1图%2.%3.%4-%6 "/>
      <w:lvlJc w:val="left"/>
      <w:pPr>
        <w:ind w:left="0" w:firstLine="0"/>
      </w:pPr>
      <w:rPr>
        <w:rFonts w:hint="eastAsia" w:ascii="黑体" w:hAnsi="Times New Roman" w:eastAsia="黑体"/>
        <w:b/>
        <w:i w:val="0"/>
        <w:sz w:val="21"/>
      </w:rPr>
    </w:lvl>
    <w:lvl w:ilvl="6" w:tentative="0">
      <w:start w:val="1"/>
      <w:numFmt w:val="decimal"/>
      <w:lvlRestart w:val="4"/>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lvlText w:val="    %1%8"/>
      <w:lvlJc w:val="left"/>
      <w:pPr>
        <w:tabs>
          <w:tab w:val="left" w:pos="720"/>
        </w:tabs>
        <w:ind w:left="0" w:firstLine="0"/>
      </w:pPr>
      <w:rPr>
        <w:rFonts w:hint="eastAsia" w:ascii="黑体" w:eastAsia="黑体"/>
        <w:b/>
        <w:i w:val="0"/>
        <w:sz w:val="21"/>
      </w:rPr>
    </w:lvl>
    <w:lvl w:ilvl="8" w:tentative="0">
      <w:start w:val="1"/>
      <w:numFmt w:val="decimal"/>
      <w:lvlRestart w:val="2"/>
      <w:lvlText w:val="%2.0.%9"/>
      <w:lvlJc w:val="left"/>
      <w:pPr>
        <w:tabs>
          <w:tab w:val="left" w:pos="720"/>
        </w:tabs>
        <w:ind w:left="0" w:firstLine="0"/>
      </w:pPr>
      <w:rPr>
        <w:rFonts w:hint="eastAsia" w:ascii="黑体" w:hAnsi="华文细黑" w:eastAsia="黑体"/>
        <w:b/>
        <w:i w:val="0"/>
        <w:sz w:val="21"/>
      </w:rPr>
    </w:lvl>
  </w:abstractNum>
  <w:abstractNum w:abstractNumId="7">
    <w:nsid w:val="2E1D4BD0"/>
    <w:multiLevelType w:val="multilevel"/>
    <w:tmpl w:val="2E1D4BD0"/>
    <w:lvl w:ilvl="0" w:tentative="0">
      <w:start w:val="1"/>
      <w:numFmt w:val="lowerLetter"/>
      <w:suff w:val="space"/>
      <w:lvlText w:val="%1) "/>
      <w:lvlJc w:val="left"/>
      <w:pPr>
        <w:ind w:left="0" w:firstLine="48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pStyle w:val="74"/>
      <w:lvlText w:val="%4."/>
      <w:lvlJc w:val="left"/>
      <w:pPr>
        <w:tabs>
          <w:tab w:val="left" w:pos="2162"/>
        </w:tabs>
        <w:ind w:left="2162" w:hanging="420"/>
      </w:pPr>
    </w:lvl>
    <w:lvl w:ilvl="4" w:tentative="0">
      <w:start w:val="1"/>
      <w:numFmt w:val="lowerLetter"/>
      <w:pStyle w:val="73"/>
      <w:lvlText w:val="%5)"/>
      <w:lvlJc w:val="left"/>
      <w:pPr>
        <w:tabs>
          <w:tab w:val="left" w:pos="2582"/>
        </w:tabs>
        <w:ind w:left="2582" w:hanging="420"/>
      </w:pPr>
    </w:lvl>
    <w:lvl w:ilvl="5" w:tentative="0">
      <w:start w:val="1"/>
      <w:numFmt w:val="lowerRoman"/>
      <w:pStyle w:val="52"/>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8">
    <w:nsid w:val="43DE53CB"/>
    <w:multiLevelType w:val="multilevel"/>
    <w:tmpl w:val="43DE53CB"/>
    <w:lvl w:ilvl="0" w:tentative="0">
      <w:start w:val="1"/>
      <w:numFmt w:val="decimal"/>
      <w:pStyle w:val="103"/>
      <w:lvlText w:val="%1 "/>
      <w:lvlJc w:val="left"/>
      <w:pPr>
        <w:ind w:left="566" w:hanging="425"/>
      </w:pPr>
      <w:rPr>
        <w:rFonts w:hint="eastAsia" w:ascii="黑体" w:hAnsi="黑体" w:eastAsia="黑体"/>
      </w:rPr>
    </w:lvl>
    <w:lvl w:ilvl="1" w:tentative="0">
      <w:start w:val="1"/>
      <w:numFmt w:val="decimal"/>
      <w:pStyle w:val="101"/>
      <w:lvlText w:val="%1.%2 "/>
      <w:lvlJc w:val="left"/>
      <w:pPr>
        <w:ind w:left="2552" w:hanging="567"/>
      </w:pPr>
      <w:rPr>
        <w:rFonts w:hint="eastAsia"/>
      </w:rPr>
    </w:lvl>
    <w:lvl w:ilvl="2" w:tentative="0">
      <w:start w:val="1"/>
      <w:numFmt w:val="decimal"/>
      <w:pStyle w:val="102"/>
      <w:lvlText w:val="%1.%2.%3"/>
      <w:lvlJc w:val="left"/>
      <w:pPr>
        <w:ind w:left="1418" w:hanging="1021"/>
      </w:pPr>
      <w:rPr>
        <w:rFonts w:hint="eastAsia"/>
      </w:rPr>
    </w:lvl>
    <w:lvl w:ilvl="3" w:tentative="0">
      <w:start w:val="1"/>
      <w:numFmt w:val="decimal"/>
      <w:lvlText w:val="%1.%2.%3.%4"/>
      <w:lvlJc w:val="left"/>
      <w:pPr>
        <w:ind w:left="1984" w:hanging="1530"/>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4BE90005"/>
    <w:multiLevelType w:val="multilevel"/>
    <w:tmpl w:val="4BE90005"/>
    <w:lvl w:ilvl="0" w:tentative="0">
      <w:start w:val="1"/>
      <w:numFmt w:val="lowerLetter"/>
      <w:suff w:val="space"/>
      <w:lvlText w:val="%1) "/>
      <w:lvlJc w:val="left"/>
      <w:pPr>
        <w:ind w:left="0" w:firstLine="48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10">
    <w:nsid w:val="4EA438E5"/>
    <w:multiLevelType w:val="multilevel"/>
    <w:tmpl w:val="4EA438E5"/>
    <w:lvl w:ilvl="0" w:tentative="0">
      <w:start w:val="1"/>
      <w:numFmt w:val="decimal"/>
      <w:pStyle w:val="80"/>
      <w:lvlText w:val="%1）"/>
      <w:lvlJc w:val="left"/>
      <w:pPr>
        <w:ind w:left="1155" w:hanging="420"/>
      </w:pPr>
      <w:rPr>
        <w:rFonts w:hint="default" w:ascii="Times New Roman" w:hAnsi="Times New Roman" w:eastAsia="宋体"/>
        <w:sz w:val="21"/>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1">
    <w:nsid w:val="4FC04D3E"/>
    <w:multiLevelType w:val="multilevel"/>
    <w:tmpl w:val="4FC04D3E"/>
    <w:lvl w:ilvl="0" w:tentative="0">
      <w:start w:val="1"/>
      <w:numFmt w:val="decimal"/>
      <w:suff w:val="space"/>
      <w:lvlText w:val="%1."/>
      <w:lvlJc w:val="left"/>
      <w:pPr>
        <w:ind w:left="0" w:firstLine="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2">
    <w:nsid w:val="50AD4338"/>
    <w:multiLevelType w:val="multilevel"/>
    <w:tmpl w:val="50AD4338"/>
    <w:lvl w:ilvl="0" w:tentative="0">
      <w:start w:val="1"/>
      <w:numFmt w:val="decimal"/>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625D25BC"/>
    <w:multiLevelType w:val="singleLevel"/>
    <w:tmpl w:val="625D25BC"/>
    <w:lvl w:ilvl="0" w:tentative="0">
      <w:start w:val="1"/>
      <w:numFmt w:val="decimal"/>
      <w:lvlText w:val="%1)"/>
      <w:lvlJc w:val="left"/>
      <w:pPr>
        <w:ind w:left="425" w:hanging="425"/>
      </w:pPr>
      <w:rPr>
        <w:rFonts w:hint="default"/>
      </w:rPr>
    </w:lvl>
  </w:abstractNum>
  <w:abstractNum w:abstractNumId="14">
    <w:nsid w:val="625D262F"/>
    <w:multiLevelType w:val="singleLevel"/>
    <w:tmpl w:val="625D262F"/>
    <w:lvl w:ilvl="0" w:tentative="0">
      <w:start w:val="1"/>
      <w:numFmt w:val="decimal"/>
      <w:lvlText w:val="%1)"/>
      <w:lvlJc w:val="left"/>
      <w:pPr>
        <w:ind w:left="425" w:hanging="425"/>
      </w:pPr>
      <w:rPr>
        <w:rFonts w:hint="default"/>
      </w:rPr>
    </w:lvl>
  </w:abstractNum>
  <w:abstractNum w:abstractNumId="15">
    <w:nsid w:val="625D2648"/>
    <w:multiLevelType w:val="singleLevel"/>
    <w:tmpl w:val="625D2648"/>
    <w:lvl w:ilvl="0" w:tentative="0">
      <w:start w:val="1"/>
      <w:numFmt w:val="decimal"/>
      <w:lvlText w:val="%1)"/>
      <w:lvlJc w:val="left"/>
      <w:pPr>
        <w:ind w:left="425" w:hanging="425"/>
      </w:pPr>
      <w:rPr>
        <w:rFonts w:hint="default"/>
      </w:rPr>
    </w:lvl>
  </w:abstractNum>
  <w:abstractNum w:abstractNumId="16">
    <w:nsid w:val="625D265F"/>
    <w:multiLevelType w:val="singleLevel"/>
    <w:tmpl w:val="625D265F"/>
    <w:lvl w:ilvl="0" w:tentative="0">
      <w:start w:val="1"/>
      <w:numFmt w:val="decimal"/>
      <w:lvlText w:val="%1)"/>
      <w:lvlJc w:val="left"/>
      <w:pPr>
        <w:ind w:left="425" w:hanging="425"/>
      </w:pPr>
      <w:rPr>
        <w:rFonts w:hint="default"/>
      </w:rPr>
    </w:lvl>
  </w:abstractNum>
  <w:abstractNum w:abstractNumId="17">
    <w:nsid w:val="625D267C"/>
    <w:multiLevelType w:val="singleLevel"/>
    <w:tmpl w:val="625D267C"/>
    <w:lvl w:ilvl="0" w:tentative="0">
      <w:start w:val="1"/>
      <w:numFmt w:val="decimal"/>
      <w:lvlText w:val="%1)"/>
      <w:lvlJc w:val="left"/>
      <w:pPr>
        <w:ind w:left="425" w:hanging="425"/>
      </w:pPr>
      <w:rPr>
        <w:rFonts w:hint="default"/>
      </w:rPr>
    </w:lvl>
  </w:abstractNum>
  <w:abstractNum w:abstractNumId="18">
    <w:nsid w:val="625D26BA"/>
    <w:multiLevelType w:val="singleLevel"/>
    <w:tmpl w:val="625D26BA"/>
    <w:lvl w:ilvl="0" w:tentative="0">
      <w:start w:val="1"/>
      <w:numFmt w:val="decimal"/>
      <w:lvlText w:val="%1)"/>
      <w:lvlJc w:val="left"/>
      <w:pPr>
        <w:ind w:left="425" w:hanging="425"/>
      </w:pPr>
      <w:rPr>
        <w:rFonts w:hint="default"/>
      </w:rPr>
    </w:lvl>
  </w:abstractNum>
  <w:abstractNum w:abstractNumId="19">
    <w:nsid w:val="625D26CB"/>
    <w:multiLevelType w:val="singleLevel"/>
    <w:tmpl w:val="625D26CB"/>
    <w:lvl w:ilvl="0" w:tentative="0">
      <w:start w:val="1"/>
      <w:numFmt w:val="decimal"/>
      <w:lvlText w:val="%1)"/>
      <w:lvlJc w:val="left"/>
      <w:pPr>
        <w:ind w:left="425" w:hanging="425"/>
      </w:pPr>
      <w:rPr>
        <w:rFonts w:hint="default"/>
      </w:rPr>
    </w:lvl>
  </w:abstractNum>
  <w:abstractNum w:abstractNumId="20">
    <w:nsid w:val="625D26F3"/>
    <w:multiLevelType w:val="singleLevel"/>
    <w:tmpl w:val="625D26F3"/>
    <w:lvl w:ilvl="0" w:tentative="0">
      <w:start w:val="1"/>
      <w:numFmt w:val="decimal"/>
      <w:lvlText w:val="%1)"/>
      <w:lvlJc w:val="left"/>
      <w:pPr>
        <w:ind w:left="425" w:hanging="425"/>
      </w:pPr>
      <w:rPr>
        <w:rFonts w:hint="default"/>
      </w:rPr>
    </w:lvl>
  </w:abstractNum>
  <w:abstractNum w:abstractNumId="21">
    <w:nsid w:val="625D271D"/>
    <w:multiLevelType w:val="singleLevel"/>
    <w:tmpl w:val="625D271D"/>
    <w:lvl w:ilvl="0" w:tentative="0">
      <w:start w:val="1"/>
      <w:numFmt w:val="bullet"/>
      <w:lvlText w:val=""/>
      <w:lvlJc w:val="left"/>
      <w:pPr>
        <w:ind w:left="420" w:leftChars="0" w:hanging="420" w:firstLineChars="0"/>
      </w:pPr>
      <w:rPr>
        <w:rFonts w:hint="default" w:ascii="Wingdings" w:hAnsi="Wingdings"/>
      </w:rPr>
    </w:lvl>
  </w:abstractNum>
  <w:abstractNum w:abstractNumId="22">
    <w:nsid w:val="625D27E4"/>
    <w:multiLevelType w:val="singleLevel"/>
    <w:tmpl w:val="625D27E4"/>
    <w:lvl w:ilvl="0" w:tentative="0">
      <w:start w:val="1"/>
      <w:numFmt w:val="decimal"/>
      <w:lvlText w:val="%1)"/>
      <w:lvlJc w:val="left"/>
      <w:pPr>
        <w:ind w:left="425" w:hanging="425"/>
      </w:pPr>
      <w:rPr>
        <w:rFonts w:hint="default"/>
      </w:rPr>
    </w:lvl>
  </w:abstractNum>
  <w:abstractNum w:abstractNumId="23">
    <w:nsid w:val="625D2812"/>
    <w:multiLevelType w:val="singleLevel"/>
    <w:tmpl w:val="625D2812"/>
    <w:lvl w:ilvl="0" w:tentative="0">
      <w:start w:val="1"/>
      <w:numFmt w:val="decimal"/>
      <w:lvlText w:val="%1)"/>
      <w:lvlJc w:val="left"/>
      <w:pPr>
        <w:ind w:left="425" w:hanging="425"/>
      </w:pPr>
      <w:rPr>
        <w:rFonts w:hint="default"/>
      </w:rPr>
    </w:lvl>
  </w:abstractNum>
  <w:abstractNum w:abstractNumId="24">
    <w:nsid w:val="625D282D"/>
    <w:multiLevelType w:val="singleLevel"/>
    <w:tmpl w:val="625D282D"/>
    <w:lvl w:ilvl="0" w:tentative="0">
      <w:start w:val="1"/>
      <w:numFmt w:val="decimal"/>
      <w:lvlText w:val="%1)"/>
      <w:lvlJc w:val="left"/>
      <w:pPr>
        <w:ind w:left="425" w:hanging="425"/>
      </w:pPr>
      <w:rPr>
        <w:rFonts w:hint="default"/>
      </w:rPr>
    </w:lvl>
  </w:abstractNum>
  <w:abstractNum w:abstractNumId="25">
    <w:nsid w:val="625D283D"/>
    <w:multiLevelType w:val="singleLevel"/>
    <w:tmpl w:val="625D283D"/>
    <w:lvl w:ilvl="0" w:tentative="0">
      <w:start w:val="1"/>
      <w:numFmt w:val="decimal"/>
      <w:lvlText w:val="%1)"/>
      <w:lvlJc w:val="left"/>
      <w:pPr>
        <w:ind w:left="425" w:hanging="425"/>
      </w:pPr>
      <w:rPr>
        <w:rFonts w:hint="default"/>
      </w:rPr>
    </w:lvl>
  </w:abstractNum>
  <w:abstractNum w:abstractNumId="26">
    <w:nsid w:val="625D2851"/>
    <w:multiLevelType w:val="singleLevel"/>
    <w:tmpl w:val="625D2851"/>
    <w:lvl w:ilvl="0" w:tentative="0">
      <w:start w:val="1"/>
      <w:numFmt w:val="decimal"/>
      <w:lvlText w:val="%1)"/>
      <w:lvlJc w:val="left"/>
      <w:pPr>
        <w:ind w:left="425" w:hanging="425"/>
      </w:pPr>
      <w:rPr>
        <w:rFonts w:hint="default"/>
      </w:rPr>
    </w:lvl>
  </w:abstractNum>
  <w:abstractNum w:abstractNumId="27">
    <w:nsid w:val="63EC75FF"/>
    <w:multiLevelType w:val="multilevel"/>
    <w:tmpl w:val="63EC75FF"/>
    <w:lvl w:ilvl="0" w:tentative="0">
      <w:start w:val="1"/>
      <w:numFmt w:val="decimal"/>
      <w:lvlText w:val="%1)"/>
      <w:lvlJc w:val="left"/>
      <w:pPr>
        <w:ind w:left="420" w:hanging="420"/>
      </w:pPr>
      <w:rPr>
        <w:rFonts w:hint="eastAsia"/>
        <w:color w:val="auto"/>
      </w:rPr>
    </w:lvl>
    <w:lvl w:ilvl="1" w:tentative="0">
      <w:start w:val="1"/>
      <w:numFmt w:val="decimal"/>
      <w:lvlText w:val="%2)"/>
      <w:lvlJc w:val="left"/>
      <w:pPr>
        <w:ind w:left="840" w:hanging="420"/>
      </w:pPr>
      <w:rPr>
        <w:rFonts w:hint="eastAsia"/>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3EC7612"/>
    <w:multiLevelType w:val="multilevel"/>
    <w:tmpl w:val="63EC7612"/>
    <w:lvl w:ilvl="0" w:tentative="0">
      <w:start w:val="1"/>
      <w:numFmt w:val="decimal"/>
      <w:lvlText w:val="%1)"/>
      <w:lvlJc w:val="left"/>
      <w:pPr>
        <w:ind w:left="420" w:hanging="420"/>
      </w:pPr>
      <w:rPr>
        <w:rFonts w:hint="eastAsia"/>
        <w:color w:val="auto"/>
      </w:rPr>
    </w:lvl>
    <w:lvl w:ilvl="1" w:tentative="0">
      <w:start w:val="1"/>
      <w:numFmt w:val="decimal"/>
      <w:lvlText w:val="%2)"/>
      <w:lvlJc w:val="left"/>
      <w:pPr>
        <w:ind w:left="840" w:hanging="420"/>
      </w:pPr>
      <w:rPr>
        <w:rFonts w:hint="eastAsia"/>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3EC787E"/>
    <w:multiLevelType w:val="multilevel"/>
    <w:tmpl w:val="63EC787E"/>
    <w:lvl w:ilvl="0" w:tentative="0">
      <w:start w:val="1"/>
      <w:numFmt w:val="decimal"/>
      <w:lvlText w:val="%1)"/>
      <w:lvlJc w:val="left"/>
      <w:pPr>
        <w:ind w:left="420" w:hanging="420"/>
      </w:pPr>
      <w:rPr>
        <w:rFonts w:hint="eastAsia"/>
        <w:color w:val="auto"/>
      </w:rPr>
    </w:lvl>
    <w:lvl w:ilvl="1" w:tentative="0">
      <w:start w:val="1"/>
      <w:numFmt w:val="decimal"/>
      <w:lvlText w:val="%2)"/>
      <w:lvlJc w:val="left"/>
      <w:pPr>
        <w:ind w:left="840" w:hanging="420"/>
      </w:pPr>
      <w:rPr>
        <w:rFonts w:hint="eastAsia"/>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3EC7897"/>
    <w:multiLevelType w:val="multilevel"/>
    <w:tmpl w:val="63EC7897"/>
    <w:lvl w:ilvl="0" w:tentative="0">
      <w:start w:val="1"/>
      <w:numFmt w:val="decimal"/>
      <w:lvlText w:val="%1)"/>
      <w:lvlJc w:val="left"/>
      <w:pPr>
        <w:ind w:left="420" w:hanging="420"/>
      </w:pPr>
      <w:rPr>
        <w:rFonts w:hint="eastAsia"/>
        <w:color w:val="auto"/>
      </w:rPr>
    </w:lvl>
    <w:lvl w:ilvl="1" w:tentative="0">
      <w:start w:val="1"/>
      <w:numFmt w:val="decimal"/>
      <w:lvlText w:val="%2)"/>
      <w:lvlJc w:val="left"/>
      <w:pPr>
        <w:ind w:left="840" w:hanging="420"/>
      </w:pPr>
      <w:rPr>
        <w:rFonts w:hint="eastAsia"/>
        <w:color w:val="auto"/>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64054FD1"/>
    <w:multiLevelType w:val="multilevel"/>
    <w:tmpl w:val="64054FD1"/>
    <w:lvl w:ilvl="0" w:tentative="0">
      <w:start w:val="1"/>
      <w:numFmt w:val="decimal"/>
      <w:suff w:val="space"/>
      <w:lvlText w:val="4.%1 "/>
      <w:lvlJc w:val="left"/>
      <w:pPr>
        <w:ind w:left="0" w:firstLine="0"/>
      </w:pPr>
      <w:rPr>
        <w:rFonts w:hint="default"/>
        <w:color w:val="000000" w:themeColor="text1"/>
        <w14:textFill>
          <w14:solidFill>
            <w14:schemeClr w14:val="tx1"/>
          </w14:solidFill>
        </w14:textFill>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2">
    <w:nsid w:val="646260FA"/>
    <w:multiLevelType w:val="multilevel"/>
    <w:tmpl w:val="646260FA"/>
    <w:lvl w:ilvl="0" w:tentative="0">
      <w:start w:val="1"/>
      <w:numFmt w:val="decimal"/>
      <w:pStyle w:val="93"/>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3">
    <w:nsid w:val="763A6836"/>
    <w:multiLevelType w:val="multilevel"/>
    <w:tmpl w:val="763A6836"/>
    <w:lvl w:ilvl="0" w:tentative="0">
      <w:start w:val="1"/>
      <w:numFmt w:val="decimal"/>
      <w:lvlText w:val="%1)"/>
      <w:lvlJc w:val="left"/>
      <w:pPr>
        <w:ind w:left="0" w:firstLine="0"/>
      </w:pPr>
      <w:rPr>
        <w:rFonts w:hint="eastAsia"/>
        <w:b w:val="0"/>
        <w:i w:val="0"/>
        <w:sz w:val="21"/>
        <w:szCs w:val="21"/>
      </w:rPr>
    </w:lvl>
    <w:lvl w:ilvl="1" w:tentative="0">
      <w:start w:val="1"/>
      <w:numFmt w:val="decimal"/>
      <w:pStyle w:val="59"/>
      <w:suff w:val="nothing"/>
      <w:lvlText w:val="%1%2 "/>
      <w:lvlJc w:val="left"/>
      <w:pPr>
        <w:ind w:left="0" w:firstLine="0"/>
      </w:pPr>
      <w:rPr>
        <w:rFonts w:hint="eastAsia" w:ascii="黑体" w:hAnsi="Times New Roman" w:eastAsia="黑体"/>
        <w:b/>
        <w:i w:val="0"/>
        <w:sz w:val="28"/>
      </w:rPr>
    </w:lvl>
    <w:lvl w:ilvl="2" w:tentative="0">
      <w:start w:val="1"/>
      <w:numFmt w:val="decimal"/>
      <w:pStyle w:val="58"/>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pStyle w:val="61"/>
      <w:suff w:val="nothing"/>
      <w:lvlText w:val="表%1%2.%3.%4-%5 "/>
      <w:lvlJc w:val="left"/>
      <w:pPr>
        <w:ind w:left="0" w:firstLine="0"/>
      </w:pPr>
      <w:rPr>
        <w:rFonts w:hint="eastAsia" w:ascii="黑体" w:hAnsi="Times New Roman" w:eastAsia="黑体"/>
        <w:b/>
        <w:i w:val="0"/>
        <w:sz w:val="21"/>
      </w:rPr>
    </w:lvl>
    <w:lvl w:ilvl="5" w:tentative="0">
      <w:start w:val="1"/>
      <w:numFmt w:val="decimal"/>
      <w:lvlRestart w:val="4"/>
      <w:pStyle w:val="72"/>
      <w:suff w:val="nothing"/>
      <w:lvlText w:val="%1图%2.%3.%4-%6 "/>
      <w:lvlJc w:val="left"/>
      <w:pPr>
        <w:ind w:left="0" w:firstLine="0"/>
      </w:pPr>
      <w:rPr>
        <w:rFonts w:hint="eastAsia" w:ascii="黑体" w:hAnsi="Times New Roman" w:eastAsia="黑体"/>
        <w:b/>
        <w:i w:val="0"/>
        <w:sz w:val="21"/>
      </w:rPr>
    </w:lvl>
    <w:lvl w:ilvl="6" w:tentative="0">
      <w:start w:val="1"/>
      <w:numFmt w:val="decimal"/>
      <w:lvlRestart w:val="4"/>
      <w:pStyle w:val="79"/>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pStyle w:val="64"/>
      <w:lvlText w:val="    %1%8"/>
      <w:lvlJc w:val="left"/>
      <w:pPr>
        <w:tabs>
          <w:tab w:val="left" w:pos="720"/>
        </w:tabs>
        <w:ind w:left="0" w:firstLine="0"/>
      </w:pPr>
      <w:rPr>
        <w:rFonts w:hint="eastAsia" w:ascii="黑体" w:eastAsia="黑体"/>
        <w:b/>
        <w:i w:val="0"/>
        <w:sz w:val="21"/>
      </w:rPr>
    </w:lvl>
    <w:lvl w:ilvl="8" w:tentative="0">
      <w:start w:val="1"/>
      <w:numFmt w:val="decimal"/>
      <w:lvlRestart w:val="2"/>
      <w:pStyle w:val="84"/>
      <w:lvlText w:val="%2.0.%9"/>
      <w:lvlJc w:val="left"/>
      <w:pPr>
        <w:tabs>
          <w:tab w:val="left" w:pos="720"/>
        </w:tabs>
        <w:ind w:left="0" w:firstLine="0"/>
      </w:pPr>
      <w:rPr>
        <w:rFonts w:hint="eastAsia" w:ascii="黑体" w:hAnsi="华文细黑" w:eastAsia="黑体"/>
        <w:b/>
        <w:i w:val="0"/>
        <w:sz w:val="21"/>
      </w:rPr>
    </w:lvl>
  </w:abstractNum>
  <w:num w:numId="1">
    <w:abstractNumId w:val="3"/>
  </w:num>
  <w:num w:numId="2">
    <w:abstractNumId w:val="7"/>
  </w:num>
  <w:num w:numId="3">
    <w:abstractNumId w:val="33"/>
  </w:num>
  <w:num w:numId="4">
    <w:abstractNumId w:val="1"/>
  </w:num>
  <w:num w:numId="5">
    <w:abstractNumId w:val="6"/>
  </w:num>
  <w:num w:numId="6">
    <w:abstractNumId w:val="10"/>
  </w:num>
  <w:num w:numId="7">
    <w:abstractNumId w:val="32"/>
  </w:num>
  <w:num w:numId="8">
    <w:abstractNumId w:val="8"/>
  </w:num>
  <w:num w:numId="9">
    <w:abstractNumId w:val="0"/>
  </w:num>
  <w:num w:numId="10">
    <w:abstractNumId w:val="11"/>
  </w:num>
  <w:num w:numId="11">
    <w:abstractNumId w:val="5"/>
  </w:num>
  <w:num w:numId="12">
    <w:abstractNumId w:val="12"/>
  </w:num>
  <w:num w:numId="13">
    <w:abstractNumId w:val="2"/>
  </w:num>
  <w:num w:numId="14">
    <w:abstractNumId w:val="9"/>
  </w:num>
  <w:num w:numId="15">
    <w:abstractNumId w:val="31"/>
  </w:num>
  <w:num w:numId="16">
    <w:abstractNumId w:val="4"/>
  </w:num>
  <w:num w:numId="17">
    <w:abstractNumId w:val="13"/>
  </w:num>
  <w:num w:numId="18">
    <w:abstractNumId w:val="14"/>
  </w:num>
  <w:num w:numId="19">
    <w:abstractNumId w:val="15"/>
  </w:num>
  <w:num w:numId="20">
    <w:abstractNumId w:val="16"/>
  </w:num>
  <w:num w:numId="21">
    <w:abstractNumId w:val="17"/>
  </w:num>
  <w:num w:numId="22">
    <w:abstractNumId w:val="21"/>
  </w:num>
  <w:num w:numId="23">
    <w:abstractNumId w:val="19"/>
  </w:num>
  <w:num w:numId="24">
    <w:abstractNumId w:val="20"/>
  </w:num>
  <w:num w:numId="25">
    <w:abstractNumId w:val="18"/>
  </w:num>
  <w:num w:numId="26">
    <w:abstractNumId w:val="26"/>
  </w:num>
  <w:num w:numId="27">
    <w:abstractNumId w:val="25"/>
  </w:num>
  <w:num w:numId="28">
    <w:abstractNumId w:val="24"/>
  </w:num>
  <w:num w:numId="29">
    <w:abstractNumId w:val="23"/>
  </w:num>
  <w:num w:numId="30">
    <w:abstractNumId w:val="22"/>
  </w:num>
  <w:num w:numId="31">
    <w:abstractNumId w:val="29"/>
  </w:num>
  <w:num w:numId="32">
    <w:abstractNumId w:val="30"/>
  </w:num>
  <w:num w:numId="33">
    <w:abstractNumId w:val="27"/>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E0Mzc0ZmE4YzUwYjRkYzU1NWUyYmE1NzViNDAzNGMifQ=="/>
  </w:docVars>
  <w:rsids>
    <w:rsidRoot w:val="00172A27"/>
    <w:rsid w:val="00000F0C"/>
    <w:rsid w:val="00001059"/>
    <w:rsid w:val="00001A46"/>
    <w:rsid w:val="000029F5"/>
    <w:rsid w:val="000034A2"/>
    <w:rsid w:val="00003925"/>
    <w:rsid w:val="000046CB"/>
    <w:rsid w:val="0000479E"/>
    <w:rsid w:val="00005442"/>
    <w:rsid w:val="000064B0"/>
    <w:rsid w:val="0001255B"/>
    <w:rsid w:val="000138D5"/>
    <w:rsid w:val="00013A9D"/>
    <w:rsid w:val="00015F4F"/>
    <w:rsid w:val="000162AE"/>
    <w:rsid w:val="00016336"/>
    <w:rsid w:val="000167B1"/>
    <w:rsid w:val="00017D15"/>
    <w:rsid w:val="00021815"/>
    <w:rsid w:val="00021F4D"/>
    <w:rsid w:val="0002404C"/>
    <w:rsid w:val="00026BA8"/>
    <w:rsid w:val="00030796"/>
    <w:rsid w:val="00031F56"/>
    <w:rsid w:val="000341DD"/>
    <w:rsid w:val="000442AF"/>
    <w:rsid w:val="00044353"/>
    <w:rsid w:val="000476FB"/>
    <w:rsid w:val="0005051E"/>
    <w:rsid w:val="00051416"/>
    <w:rsid w:val="00051434"/>
    <w:rsid w:val="00051A85"/>
    <w:rsid w:val="000543D7"/>
    <w:rsid w:val="00054EF3"/>
    <w:rsid w:val="00054FD9"/>
    <w:rsid w:val="0005743F"/>
    <w:rsid w:val="00060D47"/>
    <w:rsid w:val="00061474"/>
    <w:rsid w:val="0006265D"/>
    <w:rsid w:val="00065134"/>
    <w:rsid w:val="00066239"/>
    <w:rsid w:val="000676BE"/>
    <w:rsid w:val="000717AA"/>
    <w:rsid w:val="00071CE5"/>
    <w:rsid w:val="000720A3"/>
    <w:rsid w:val="00075481"/>
    <w:rsid w:val="00081134"/>
    <w:rsid w:val="000812E1"/>
    <w:rsid w:val="00081802"/>
    <w:rsid w:val="00081804"/>
    <w:rsid w:val="00081F5D"/>
    <w:rsid w:val="000822CF"/>
    <w:rsid w:val="00082446"/>
    <w:rsid w:val="00082BD0"/>
    <w:rsid w:val="00082DA2"/>
    <w:rsid w:val="00082EF7"/>
    <w:rsid w:val="000863EA"/>
    <w:rsid w:val="00086B83"/>
    <w:rsid w:val="00086DBB"/>
    <w:rsid w:val="00092D10"/>
    <w:rsid w:val="000965BE"/>
    <w:rsid w:val="000A36BE"/>
    <w:rsid w:val="000A4BFA"/>
    <w:rsid w:val="000A4D9A"/>
    <w:rsid w:val="000A7458"/>
    <w:rsid w:val="000B0D92"/>
    <w:rsid w:val="000B11D1"/>
    <w:rsid w:val="000B5AFD"/>
    <w:rsid w:val="000B61A3"/>
    <w:rsid w:val="000C13A3"/>
    <w:rsid w:val="000C267D"/>
    <w:rsid w:val="000C423A"/>
    <w:rsid w:val="000C653F"/>
    <w:rsid w:val="000D0D20"/>
    <w:rsid w:val="000D2517"/>
    <w:rsid w:val="000D2CCD"/>
    <w:rsid w:val="000D4C16"/>
    <w:rsid w:val="000D56CB"/>
    <w:rsid w:val="000D715E"/>
    <w:rsid w:val="000E0F18"/>
    <w:rsid w:val="000E632F"/>
    <w:rsid w:val="000E7931"/>
    <w:rsid w:val="000F0B5A"/>
    <w:rsid w:val="000F213F"/>
    <w:rsid w:val="000F2219"/>
    <w:rsid w:val="000F360A"/>
    <w:rsid w:val="000F4245"/>
    <w:rsid w:val="000F45FA"/>
    <w:rsid w:val="00101971"/>
    <w:rsid w:val="001023EC"/>
    <w:rsid w:val="00102720"/>
    <w:rsid w:val="00102C84"/>
    <w:rsid w:val="00103198"/>
    <w:rsid w:val="00106DC9"/>
    <w:rsid w:val="00113695"/>
    <w:rsid w:val="0012202A"/>
    <w:rsid w:val="00127794"/>
    <w:rsid w:val="00133E5E"/>
    <w:rsid w:val="001363A8"/>
    <w:rsid w:val="00136765"/>
    <w:rsid w:val="001404EB"/>
    <w:rsid w:val="00142DD4"/>
    <w:rsid w:val="00144115"/>
    <w:rsid w:val="00146CD7"/>
    <w:rsid w:val="00147C3E"/>
    <w:rsid w:val="00147D33"/>
    <w:rsid w:val="0015173E"/>
    <w:rsid w:val="001553DA"/>
    <w:rsid w:val="00156163"/>
    <w:rsid w:val="0015647D"/>
    <w:rsid w:val="00157F47"/>
    <w:rsid w:val="0016009F"/>
    <w:rsid w:val="00160959"/>
    <w:rsid w:val="00160FF5"/>
    <w:rsid w:val="00161C5A"/>
    <w:rsid w:val="00162D82"/>
    <w:rsid w:val="00165FE4"/>
    <w:rsid w:val="00171362"/>
    <w:rsid w:val="00172A27"/>
    <w:rsid w:val="00173108"/>
    <w:rsid w:val="00173DCD"/>
    <w:rsid w:val="0017432B"/>
    <w:rsid w:val="00176FB2"/>
    <w:rsid w:val="00180AC2"/>
    <w:rsid w:val="00182E0A"/>
    <w:rsid w:val="001836A4"/>
    <w:rsid w:val="00183D66"/>
    <w:rsid w:val="00184C33"/>
    <w:rsid w:val="00185827"/>
    <w:rsid w:val="001859E1"/>
    <w:rsid w:val="00186517"/>
    <w:rsid w:val="001934E7"/>
    <w:rsid w:val="001937CC"/>
    <w:rsid w:val="001942B4"/>
    <w:rsid w:val="001947F9"/>
    <w:rsid w:val="00196AB2"/>
    <w:rsid w:val="00196C9A"/>
    <w:rsid w:val="00197E40"/>
    <w:rsid w:val="00197FBE"/>
    <w:rsid w:val="001A098E"/>
    <w:rsid w:val="001A140E"/>
    <w:rsid w:val="001A16AA"/>
    <w:rsid w:val="001A1921"/>
    <w:rsid w:val="001A3A3B"/>
    <w:rsid w:val="001A490D"/>
    <w:rsid w:val="001A59C7"/>
    <w:rsid w:val="001A6BDD"/>
    <w:rsid w:val="001B0C04"/>
    <w:rsid w:val="001B2B09"/>
    <w:rsid w:val="001B2C50"/>
    <w:rsid w:val="001B300F"/>
    <w:rsid w:val="001B3754"/>
    <w:rsid w:val="001B504E"/>
    <w:rsid w:val="001B5EEB"/>
    <w:rsid w:val="001B6307"/>
    <w:rsid w:val="001B65DA"/>
    <w:rsid w:val="001B6DE4"/>
    <w:rsid w:val="001C0A89"/>
    <w:rsid w:val="001C27D0"/>
    <w:rsid w:val="001C6006"/>
    <w:rsid w:val="001C791E"/>
    <w:rsid w:val="001C7AE3"/>
    <w:rsid w:val="001D2C62"/>
    <w:rsid w:val="001D3E90"/>
    <w:rsid w:val="001E0688"/>
    <w:rsid w:val="001E0FC2"/>
    <w:rsid w:val="001E1059"/>
    <w:rsid w:val="001E33B1"/>
    <w:rsid w:val="001E6201"/>
    <w:rsid w:val="001E687B"/>
    <w:rsid w:val="001E7B01"/>
    <w:rsid w:val="001F0035"/>
    <w:rsid w:val="001F046A"/>
    <w:rsid w:val="001F0CFE"/>
    <w:rsid w:val="001F2D3E"/>
    <w:rsid w:val="001F32C9"/>
    <w:rsid w:val="001F3944"/>
    <w:rsid w:val="00200028"/>
    <w:rsid w:val="00204081"/>
    <w:rsid w:val="0020536C"/>
    <w:rsid w:val="00205FBE"/>
    <w:rsid w:val="00207F2F"/>
    <w:rsid w:val="002116B6"/>
    <w:rsid w:val="00211A68"/>
    <w:rsid w:val="00215089"/>
    <w:rsid w:val="00220050"/>
    <w:rsid w:val="002214DB"/>
    <w:rsid w:val="0022294D"/>
    <w:rsid w:val="00223502"/>
    <w:rsid w:val="0022487C"/>
    <w:rsid w:val="00226CFB"/>
    <w:rsid w:val="002323BD"/>
    <w:rsid w:val="00234019"/>
    <w:rsid w:val="002351D7"/>
    <w:rsid w:val="002362E1"/>
    <w:rsid w:val="002366A0"/>
    <w:rsid w:val="00242B51"/>
    <w:rsid w:val="0024347E"/>
    <w:rsid w:val="00243853"/>
    <w:rsid w:val="00243D24"/>
    <w:rsid w:val="0024603C"/>
    <w:rsid w:val="002511E1"/>
    <w:rsid w:val="0025256E"/>
    <w:rsid w:val="0025367E"/>
    <w:rsid w:val="00253727"/>
    <w:rsid w:val="00260E85"/>
    <w:rsid w:val="00264FF3"/>
    <w:rsid w:val="0026673D"/>
    <w:rsid w:val="0027134A"/>
    <w:rsid w:val="002714DC"/>
    <w:rsid w:val="00271D61"/>
    <w:rsid w:val="00271D63"/>
    <w:rsid w:val="0027220A"/>
    <w:rsid w:val="00272E6E"/>
    <w:rsid w:val="00273146"/>
    <w:rsid w:val="00273656"/>
    <w:rsid w:val="002744F5"/>
    <w:rsid w:val="002746F2"/>
    <w:rsid w:val="00276172"/>
    <w:rsid w:val="002775AB"/>
    <w:rsid w:val="002778ED"/>
    <w:rsid w:val="002802F7"/>
    <w:rsid w:val="0028036C"/>
    <w:rsid w:val="002815DB"/>
    <w:rsid w:val="002828ED"/>
    <w:rsid w:val="002915CC"/>
    <w:rsid w:val="00294643"/>
    <w:rsid w:val="00295892"/>
    <w:rsid w:val="00295D88"/>
    <w:rsid w:val="0029676C"/>
    <w:rsid w:val="00296EA4"/>
    <w:rsid w:val="002A38B4"/>
    <w:rsid w:val="002A3A16"/>
    <w:rsid w:val="002B0C6B"/>
    <w:rsid w:val="002B1CC6"/>
    <w:rsid w:val="002B202B"/>
    <w:rsid w:val="002B2403"/>
    <w:rsid w:val="002B3531"/>
    <w:rsid w:val="002B5158"/>
    <w:rsid w:val="002B525A"/>
    <w:rsid w:val="002B6DA6"/>
    <w:rsid w:val="002B7F38"/>
    <w:rsid w:val="002C0D56"/>
    <w:rsid w:val="002C2747"/>
    <w:rsid w:val="002C54DC"/>
    <w:rsid w:val="002D0166"/>
    <w:rsid w:val="002D0F7A"/>
    <w:rsid w:val="002D17EB"/>
    <w:rsid w:val="002D187D"/>
    <w:rsid w:val="002D30D7"/>
    <w:rsid w:val="002D31E0"/>
    <w:rsid w:val="002D5550"/>
    <w:rsid w:val="002D6086"/>
    <w:rsid w:val="002E24ED"/>
    <w:rsid w:val="002E7D54"/>
    <w:rsid w:val="002F02F2"/>
    <w:rsid w:val="002F16A7"/>
    <w:rsid w:val="002F2F43"/>
    <w:rsid w:val="002F4890"/>
    <w:rsid w:val="002F6A0B"/>
    <w:rsid w:val="002F6EA2"/>
    <w:rsid w:val="0030188F"/>
    <w:rsid w:val="003023FD"/>
    <w:rsid w:val="00302415"/>
    <w:rsid w:val="00302EF2"/>
    <w:rsid w:val="00304584"/>
    <w:rsid w:val="00306039"/>
    <w:rsid w:val="0030644F"/>
    <w:rsid w:val="003073C9"/>
    <w:rsid w:val="00312F0B"/>
    <w:rsid w:val="003144F0"/>
    <w:rsid w:val="00315078"/>
    <w:rsid w:val="00320749"/>
    <w:rsid w:val="00321B35"/>
    <w:rsid w:val="00323FE7"/>
    <w:rsid w:val="00326BA6"/>
    <w:rsid w:val="003276C4"/>
    <w:rsid w:val="00330D3F"/>
    <w:rsid w:val="00332C63"/>
    <w:rsid w:val="003337DA"/>
    <w:rsid w:val="003373DD"/>
    <w:rsid w:val="00337BCF"/>
    <w:rsid w:val="00342002"/>
    <w:rsid w:val="0034223B"/>
    <w:rsid w:val="0034300F"/>
    <w:rsid w:val="0034367F"/>
    <w:rsid w:val="00344EFC"/>
    <w:rsid w:val="003451E3"/>
    <w:rsid w:val="00345289"/>
    <w:rsid w:val="00345697"/>
    <w:rsid w:val="00346C96"/>
    <w:rsid w:val="00347962"/>
    <w:rsid w:val="00350C5C"/>
    <w:rsid w:val="003518A3"/>
    <w:rsid w:val="00352AA8"/>
    <w:rsid w:val="003562C2"/>
    <w:rsid w:val="003568AA"/>
    <w:rsid w:val="00356BC6"/>
    <w:rsid w:val="0035707B"/>
    <w:rsid w:val="0035716E"/>
    <w:rsid w:val="00357986"/>
    <w:rsid w:val="00361A71"/>
    <w:rsid w:val="00362885"/>
    <w:rsid w:val="00363D75"/>
    <w:rsid w:val="0036448F"/>
    <w:rsid w:val="00364CC8"/>
    <w:rsid w:val="00367466"/>
    <w:rsid w:val="0037201B"/>
    <w:rsid w:val="00373827"/>
    <w:rsid w:val="003738CD"/>
    <w:rsid w:val="00375D07"/>
    <w:rsid w:val="003770BD"/>
    <w:rsid w:val="00377ED5"/>
    <w:rsid w:val="00380100"/>
    <w:rsid w:val="00382F24"/>
    <w:rsid w:val="0038318F"/>
    <w:rsid w:val="00383751"/>
    <w:rsid w:val="00386596"/>
    <w:rsid w:val="00395039"/>
    <w:rsid w:val="003A0695"/>
    <w:rsid w:val="003A14AE"/>
    <w:rsid w:val="003A3AE2"/>
    <w:rsid w:val="003A50C6"/>
    <w:rsid w:val="003A6419"/>
    <w:rsid w:val="003B0666"/>
    <w:rsid w:val="003B11B5"/>
    <w:rsid w:val="003B221A"/>
    <w:rsid w:val="003B4098"/>
    <w:rsid w:val="003C011B"/>
    <w:rsid w:val="003C24BA"/>
    <w:rsid w:val="003C45DB"/>
    <w:rsid w:val="003C4A71"/>
    <w:rsid w:val="003C75FE"/>
    <w:rsid w:val="003D03F8"/>
    <w:rsid w:val="003D1EEC"/>
    <w:rsid w:val="003D6E66"/>
    <w:rsid w:val="003E0604"/>
    <w:rsid w:val="003E3677"/>
    <w:rsid w:val="003E62F1"/>
    <w:rsid w:val="003E6BA3"/>
    <w:rsid w:val="003F0493"/>
    <w:rsid w:val="003F2AD8"/>
    <w:rsid w:val="003F2DB4"/>
    <w:rsid w:val="003F450F"/>
    <w:rsid w:val="003F468F"/>
    <w:rsid w:val="003F4DF4"/>
    <w:rsid w:val="003F555D"/>
    <w:rsid w:val="003F5B81"/>
    <w:rsid w:val="00402E98"/>
    <w:rsid w:val="004040B1"/>
    <w:rsid w:val="0040567B"/>
    <w:rsid w:val="00410C10"/>
    <w:rsid w:val="00412921"/>
    <w:rsid w:val="00412D65"/>
    <w:rsid w:val="00415810"/>
    <w:rsid w:val="00416507"/>
    <w:rsid w:val="004177D1"/>
    <w:rsid w:val="004178A2"/>
    <w:rsid w:val="00420C31"/>
    <w:rsid w:val="00426F0D"/>
    <w:rsid w:val="00427FCF"/>
    <w:rsid w:val="00431513"/>
    <w:rsid w:val="004315AD"/>
    <w:rsid w:val="00431B6E"/>
    <w:rsid w:val="0043273E"/>
    <w:rsid w:val="004329E9"/>
    <w:rsid w:val="0043421E"/>
    <w:rsid w:val="0043443F"/>
    <w:rsid w:val="00435848"/>
    <w:rsid w:val="004374D7"/>
    <w:rsid w:val="00437B3B"/>
    <w:rsid w:val="00440543"/>
    <w:rsid w:val="00440708"/>
    <w:rsid w:val="00440805"/>
    <w:rsid w:val="00440881"/>
    <w:rsid w:val="00442110"/>
    <w:rsid w:val="00447FB0"/>
    <w:rsid w:val="00453119"/>
    <w:rsid w:val="00460174"/>
    <w:rsid w:val="004624C4"/>
    <w:rsid w:val="00462BA5"/>
    <w:rsid w:val="0046477B"/>
    <w:rsid w:val="00465ABA"/>
    <w:rsid w:val="004674A5"/>
    <w:rsid w:val="00472E09"/>
    <w:rsid w:val="00473045"/>
    <w:rsid w:val="004812E0"/>
    <w:rsid w:val="00481902"/>
    <w:rsid w:val="00481A9B"/>
    <w:rsid w:val="004822B7"/>
    <w:rsid w:val="00484006"/>
    <w:rsid w:val="00486227"/>
    <w:rsid w:val="004867A0"/>
    <w:rsid w:val="004906E8"/>
    <w:rsid w:val="0049247C"/>
    <w:rsid w:val="00492859"/>
    <w:rsid w:val="00492E60"/>
    <w:rsid w:val="00494446"/>
    <w:rsid w:val="00496496"/>
    <w:rsid w:val="00497028"/>
    <w:rsid w:val="004977D6"/>
    <w:rsid w:val="00497FBB"/>
    <w:rsid w:val="004A13B4"/>
    <w:rsid w:val="004A169C"/>
    <w:rsid w:val="004A21E0"/>
    <w:rsid w:val="004A2424"/>
    <w:rsid w:val="004A2CCE"/>
    <w:rsid w:val="004A3E6E"/>
    <w:rsid w:val="004B0068"/>
    <w:rsid w:val="004B050E"/>
    <w:rsid w:val="004B0EB6"/>
    <w:rsid w:val="004B1939"/>
    <w:rsid w:val="004B2CD4"/>
    <w:rsid w:val="004B5468"/>
    <w:rsid w:val="004B6499"/>
    <w:rsid w:val="004B6A34"/>
    <w:rsid w:val="004C60A6"/>
    <w:rsid w:val="004C60E2"/>
    <w:rsid w:val="004C7140"/>
    <w:rsid w:val="004C7C69"/>
    <w:rsid w:val="004D0D6B"/>
    <w:rsid w:val="004D1055"/>
    <w:rsid w:val="004D17DE"/>
    <w:rsid w:val="004D3995"/>
    <w:rsid w:val="004E01D3"/>
    <w:rsid w:val="004E0A4C"/>
    <w:rsid w:val="004E2A53"/>
    <w:rsid w:val="004E4739"/>
    <w:rsid w:val="004E5EAF"/>
    <w:rsid w:val="004E7406"/>
    <w:rsid w:val="004F041F"/>
    <w:rsid w:val="004F33DB"/>
    <w:rsid w:val="004F6194"/>
    <w:rsid w:val="004F6E18"/>
    <w:rsid w:val="004F7258"/>
    <w:rsid w:val="00500E89"/>
    <w:rsid w:val="00502E64"/>
    <w:rsid w:val="005033DC"/>
    <w:rsid w:val="00505BBA"/>
    <w:rsid w:val="005062D4"/>
    <w:rsid w:val="00507776"/>
    <w:rsid w:val="005120D7"/>
    <w:rsid w:val="00513ABB"/>
    <w:rsid w:val="00514D57"/>
    <w:rsid w:val="005155EA"/>
    <w:rsid w:val="0051569B"/>
    <w:rsid w:val="005237A8"/>
    <w:rsid w:val="00523E78"/>
    <w:rsid w:val="0052510E"/>
    <w:rsid w:val="0052747B"/>
    <w:rsid w:val="005340B3"/>
    <w:rsid w:val="0054205C"/>
    <w:rsid w:val="00543C7B"/>
    <w:rsid w:val="0054567B"/>
    <w:rsid w:val="00545C21"/>
    <w:rsid w:val="00546557"/>
    <w:rsid w:val="005470C3"/>
    <w:rsid w:val="00550224"/>
    <w:rsid w:val="00550778"/>
    <w:rsid w:val="00552E18"/>
    <w:rsid w:val="00553EE2"/>
    <w:rsid w:val="00553FC0"/>
    <w:rsid w:val="00557EAC"/>
    <w:rsid w:val="00563884"/>
    <w:rsid w:val="00563A6F"/>
    <w:rsid w:val="00565C50"/>
    <w:rsid w:val="00566CE7"/>
    <w:rsid w:val="005675AB"/>
    <w:rsid w:val="00570668"/>
    <w:rsid w:val="005709BA"/>
    <w:rsid w:val="00570C9C"/>
    <w:rsid w:val="005719C7"/>
    <w:rsid w:val="00572784"/>
    <w:rsid w:val="005756F6"/>
    <w:rsid w:val="005760B8"/>
    <w:rsid w:val="00577449"/>
    <w:rsid w:val="005825AD"/>
    <w:rsid w:val="00582C5C"/>
    <w:rsid w:val="005863FD"/>
    <w:rsid w:val="00587CB5"/>
    <w:rsid w:val="00590681"/>
    <w:rsid w:val="005907B7"/>
    <w:rsid w:val="0059088A"/>
    <w:rsid w:val="00590DA9"/>
    <w:rsid w:val="00593D7D"/>
    <w:rsid w:val="00594963"/>
    <w:rsid w:val="005949CF"/>
    <w:rsid w:val="00594FD4"/>
    <w:rsid w:val="0059708B"/>
    <w:rsid w:val="0059737E"/>
    <w:rsid w:val="005A0938"/>
    <w:rsid w:val="005A15C8"/>
    <w:rsid w:val="005A2115"/>
    <w:rsid w:val="005A3043"/>
    <w:rsid w:val="005A46C8"/>
    <w:rsid w:val="005A54DA"/>
    <w:rsid w:val="005A66C8"/>
    <w:rsid w:val="005B04CB"/>
    <w:rsid w:val="005B4F06"/>
    <w:rsid w:val="005B5DE7"/>
    <w:rsid w:val="005B7DBA"/>
    <w:rsid w:val="005C2F40"/>
    <w:rsid w:val="005C3255"/>
    <w:rsid w:val="005C573A"/>
    <w:rsid w:val="005C7199"/>
    <w:rsid w:val="005D2C79"/>
    <w:rsid w:val="005D3114"/>
    <w:rsid w:val="005D410B"/>
    <w:rsid w:val="005D54EB"/>
    <w:rsid w:val="005D587C"/>
    <w:rsid w:val="005D6A20"/>
    <w:rsid w:val="005D6DF5"/>
    <w:rsid w:val="005D7C53"/>
    <w:rsid w:val="005D7ECA"/>
    <w:rsid w:val="005E49F8"/>
    <w:rsid w:val="005E51C9"/>
    <w:rsid w:val="005E5F69"/>
    <w:rsid w:val="005E60C8"/>
    <w:rsid w:val="005E68B4"/>
    <w:rsid w:val="005E69D4"/>
    <w:rsid w:val="005E7815"/>
    <w:rsid w:val="005F317F"/>
    <w:rsid w:val="005F5160"/>
    <w:rsid w:val="005F71D3"/>
    <w:rsid w:val="0060058B"/>
    <w:rsid w:val="00602D51"/>
    <w:rsid w:val="00604445"/>
    <w:rsid w:val="00604455"/>
    <w:rsid w:val="00605F4B"/>
    <w:rsid w:val="00607FCB"/>
    <w:rsid w:val="006119C1"/>
    <w:rsid w:val="006136E8"/>
    <w:rsid w:val="006138E9"/>
    <w:rsid w:val="00616F48"/>
    <w:rsid w:val="0062368D"/>
    <w:rsid w:val="00624E13"/>
    <w:rsid w:val="00625047"/>
    <w:rsid w:val="006256F4"/>
    <w:rsid w:val="00630789"/>
    <w:rsid w:val="00631830"/>
    <w:rsid w:val="006326D7"/>
    <w:rsid w:val="00632A81"/>
    <w:rsid w:val="00634255"/>
    <w:rsid w:val="006347BF"/>
    <w:rsid w:val="00645D38"/>
    <w:rsid w:val="006465CC"/>
    <w:rsid w:val="0065014E"/>
    <w:rsid w:val="00652314"/>
    <w:rsid w:val="00653AB0"/>
    <w:rsid w:val="006566B8"/>
    <w:rsid w:val="00656966"/>
    <w:rsid w:val="006653C1"/>
    <w:rsid w:val="0066794B"/>
    <w:rsid w:val="00670553"/>
    <w:rsid w:val="00670E52"/>
    <w:rsid w:val="00671990"/>
    <w:rsid w:val="00672AC6"/>
    <w:rsid w:val="00672B54"/>
    <w:rsid w:val="00672E5A"/>
    <w:rsid w:val="00674809"/>
    <w:rsid w:val="0067507D"/>
    <w:rsid w:val="00675AC7"/>
    <w:rsid w:val="00676E07"/>
    <w:rsid w:val="006772B4"/>
    <w:rsid w:val="006779A9"/>
    <w:rsid w:val="00677C38"/>
    <w:rsid w:val="0068086A"/>
    <w:rsid w:val="006810C6"/>
    <w:rsid w:val="006811D1"/>
    <w:rsid w:val="00681A6A"/>
    <w:rsid w:val="006840D7"/>
    <w:rsid w:val="00690EF3"/>
    <w:rsid w:val="00692A68"/>
    <w:rsid w:val="00693326"/>
    <w:rsid w:val="006949FB"/>
    <w:rsid w:val="0069555D"/>
    <w:rsid w:val="006977F3"/>
    <w:rsid w:val="00697B12"/>
    <w:rsid w:val="00697FC1"/>
    <w:rsid w:val="006A1D8A"/>
    <w:rsid w:val="006A32C4"/>
    <w:rsid w:val="006A48C4"/>
    <w:rsid w:val="006A54B7"/>
    <w:rsid w:val="006A612E"/>
    <w:rsid w:val="006A6F34"/>
    <w:rsid w:val="006A7109"/>
    <w:rsid w:val="006B1269"/>
    <w:rsid w:val="006B135E"/>
    <w:rsid w:val="006B2B33"/>
    <w:rsid w:val="006B6081"/>
    <w:rsid w:val="006B6621"/>
    <w:rsid w:val="006B7DFA"/>
    <w:rsid w:val="006C06DC"/>
    <w:rsid w:val="006C2509"/>
    <w:rsid w:val="006C293E"/>
    <w:rsid w:val="006C319A"/>
    <w:rsid w:val="006C53DF"/>
    <w:rsid w:val="006C5A43"/>
    <w:rsid w:val="006C6CC5"/>
    <w:rsid w:val="006D1B09"/>
    <w:rsid w:val="006D2937"/>
    <w:rsid w:val="006D44C4"/>
    <w:rsid w:val="006D4D43"/>
    <w:rsid w:val="006E0EFD"/>
    <w:rsid w:val="006E286B"/>
    <w:rsid w:val="006E336B"/>
    <w:rsid w:val="006E4B48"/>
    <w:rsid w:val="006E4F72"/>
    <w:rsid w:val="006E5550"/>
    <w:rsid w:val="006E5A10"/>
    <w:rsid w:val="006E6525"/>
    <w:rsid w:val="006F0F29"/>
    <w:rsid w:val="006F1302"/>
    <w:rsid w:val="006F3166"/>
    <w:rsid w:val="006F3DCC"/>
    <w:rsid w:val="006F455E"/>
    <w:rsid w:val="006F4B39"/>
    <w:rsid w:val="006F4BB2"/>
    <w:rsid w:val="006F7629"/>
    <w:rsid w:val="0070066E"/>
    <w:rsid w:val="007010C2"/>
    <w:rsid w:val="007026CA"/>
    <w:rsid w:val="00704D08"/>
    <w:rsid w:val="0070780C"/>
    <w:rsid w:val="00707ED3"/>
    <w:rsid w:val="007139CD"/>
    <w:rsid w:val="00713F7F"/>
    <w:rsid w:val="00714593"/>
    <w:rsid w:val="00716955"/>
    <w:rsid w:val="00720FCF"/>
    <w:rsid w:val="00721AA4"/>
    <w:rsid w:val="00727603"/>
    <w:rsid w:val="007322D5"/>
    <w:rsid w:val="00732EB7"/>
    <w:rsid w:val="0073625B"/>
    <w:rsid w:val="007365E2"/>
    <w:rsid w:val="0074309A"/>
    <w:rsid w:val="007456FF"/>
    <w:rsid w:val="00746695"/>
    <w:rsid w:val="0074744D"/>
    <w:rsid w:val="0075644D"/>
    <w:rsid w:val="007573B7"/>
    <w:rsid w:val="00757412"/>
    <w:rsid w:val="00760225"/>
    <w:rsid w:val="0076052D"/>
    <w:rsid w:val="007625C1"/>
    <w:rsid w:val="00762A4B"/>
    <w:rsid w:val="0076475A"/>
    <w:rsid w:val="007654C3"/>
    <w:rsid w:val="00765BD8"/>
    <w:rsid w:val="00774444"/>
    <w:rsid w:val="00775831"/>
    <w:rsid w:val="00776466"/>
    <w:rsid w:val="00782EA3"/>
    <w:rsid w:val="0078363E"/>
    <w:rsid w:val="007843B9"/>
    <w:rsid w:val="00786415"/>
    <w:rsid w:val="007867BE"/>
    <w:rsid w:val="00786BDE"/>
    <w:rsid w:val="00790574"/>
    <w:rsid w:val="007907FC"/>
    <w:rsid w:val="00790FD9"/>
    <w:rsid w:val="00791E21"/>
    <w:rsid w:val="00792A71"/>
    <w:rsid w:val="007967C5"/>
    <w:rsid w:val="0079760D"/>
    <w:rsid w:val="0079796C"/>
    <w:rsid w:val="007A0362"/>
    <w:rsid w:val="007A174C"/>
    <w:rsid w:val="007A2669"/>
    <w:rsid w:val="007A38B9"/>
    <w:rsid w:val="007A438B"/>
    <w:rsid w:val="007A7175"/>
    <w:rsid w:val="007A75CC"/>
    <w:rsid w:val="007A7B50"/>
    <w:rsid w:val="007B106A"/>
    <w:rsid w:val="007B2827"/>
    <w:rsid w:val="007B2AA0"/>
    <w:rsid w:val="007B38DB"/>
    <w:rsid w:val="007B58FE"/>
    <w:rsid w:val="007B5F59"/>
    <w:rsid w:val="007B60CA"/>
    <w:rsid w:val="007B6542"/>
    <w:rsid w:val="007B6DF6"/>
    <w:rsid w:val="007B72C5"/>
    <w:rsid w:val="007B73F4"/>
    <w:rsid w:val="007C3EB3"/>
    <w:rsid w:val="007C406B"/>
    <w:rsid w:val="007C4091"/>
    <w:rsid w:val="007C6772"/>
    <w:rsid w:val="007C7D42"/>
    <w:rsid w:val="007D1231"/>
    <w:rsid w:val="007D1FC5"/>
    <w:rsid w:val="007D3B9F"/>
    <w:rsid w:val="007D65C4"/>
    <w:rsid w:val="007E00A3"/>
    <w:rsid w:val="007E29D3"/>
    <w:rsid w:val="007E38AA"/>
    <w:rsid w:val="007E67E8"/>
    <w:rsid w:val="007F0AD4"/>
    <w:rsid w:val="007F5059"/>
    <w:rsid w:val="0080468B"/>
    <w:rsid w:val="00804D0C"/>
    <w:rsid w:val="00807A46"/>
    <w:rsid w:val="0081174C"/>
    <w:rsid w:val="00811CE5"/>
    <w:rsid w:val="008120CB"/>
    <w:rsid w:val="00812C16"/>
    <w:rsid w:val="00813FCE"/>
    <w:rsid w:val="00821A46"/>
    <w:rsid w:val="00822E4A"/>
    <w:rsid w:val="00824085"/>
    <w:rsid w:val="00824875"/>
    <w:rsid w:val="00827570"/>
    <w:rsid w:val="008276CF"/>
    <w:rsid w:val="00830C9B"/>
    <w:rsid w:val="00830FF6"/>
    <w:rsid w:val="008339A6"/>
    <w:rsid w:val="00835731"/>
    <w:rsid w:val="00840144"/>
    <w:rsid w:val="00842193"/>
    <w:rsid w:val="008442BA"/>
    <w:rsid w:val="00845DDF"/>
    <w:rsid w:val="00847704"/>
    <w:rsid w:val="00847F59"/>
    <w:rsid w:val="0085005D"/>
    <w:rsid w:val="00853FFC"/>
    <w:rsid w:val="00854075"/>
    <w:rsid w:val="00854F9B"/>
    <w:rsid w:val="008573E1"/>
    <w:rsid w:val="00857666"/>
    <w:rsid w:val="00866EE9"/>
    <w:rsid w:val="00870646"/>
    <w:rsid w:val="008743E7"/>
    <w:rsid w:val="00881956"/>
    <w:rsid w:val="00883E0D"/>
    <w:rsid w:val="008842BE"/>
    <w:rsid w:val="0088471B"/>
    <w:rsid w:val="00886444"/>
    <w:rsid w:val="0089076D"/>
    <w:rsid w:val="00892AA9"/>
    <w:rsid w:val="00892B4A"/>
    <w:rsid w:val="0089330E"/>
    <w:rsid w:val="00895072"/>
    <w:rsid w:val="008959B7"/>
    <w:rsid w:val="00897147"/>
    <w:rsid w:val="008A03C4"/>
    <w:rsid w:val="008A20A9"/>
    <w:rsid w:val="008A23C9"/>
    <w:rsid w:val="008A4A67"/>
    <w:rsid w:val="008A4AF8"/>
    <w:rsid w:val="008A555A"/>
    <w:rsid w:val="008B02D5"/>
    <w:rsid w:val="008B11EC"/>
    <w:rsid w:val="008B178E"/>
    <w:rsid w:val="008B4E7C"/>
    <w:rsid w:val="008B5865"/>
    <w:rsid w:val="008C3051"/>
    <w:rsid w:val="008C310C"/>
    <w:rsid w:val="008C56DB"/>
    <w:rsid w:val="008C57C0"/>
    <w:rsid w:val="008C5D60"/>
    <w:rsid w:val="008C610E"/>
    <w:rsid w:val="008C7686"/>
    <w:rsid w:val="008C793B"/>
    <w:rsid w:val="008D59A3"/>
    <w:rsid w:val="008D713A"/>
    <w:rsid w:val="008E12D3"/>
    <w:rsid w:val="008E263A"/>
    <w:rsid w:val="008E52B9"/>
    <w:rsid w:val="008E5490"/>
    <w:rsid w:val="008F3830"/>
    <w:rsid w:val="009024A3"/>
    <w:rsid w:val="00903C05"/>
    <w:rsid w:val="00903C5B"/>
    <w:rsid w:val="009054F7"/>
    <w:rsid w:val="0090633C"/>
    <w:rsid w:val="009070E0"/>
    <w:rsid w:val="00913298"/>
    <w:rsid w:val="00914D3D"/>
    <w:rsid w:val="00916607"/>
    <w:rsid w:val="00916B81"/>
    <w:rsid w:val="00923D46"/>
    <w:rsid w:val="0092511B"/>
    <w:rsid w:val="0093053E"/>
    <w:rsid w:val="00930714"/>
    <w:rsid w:val="00930935"/>
    <w:rsid w:val="009311E9"/>
    <w:rsid w:val="00932B19"/>
    <w:rsid w:val="00932EF7"/>
    <w:rsid w:val="00935330"/>
    <w:rsid w:val="00940302"/>
    <w:rsid w:val="00941599"/>
    <w:rsid w:val="009450B5"/>
    <w:rsid w:val="00951C80"/>
    <w:rsid w:val="00953813"/>
    <w:rsid w:val="00953965"/>
    <w:rsid w:val="00953A2E"/>
    <w:rsid w:val="00953DDD"/>
    <w:rsid w:val="00954E44"/>
    <w:rsid w:val="0095557F"/>
    <w:rsid w:val="00955C52"/>
    <w:rsid w:val="00957369"/>
    <w:rsid w:val="00957B1A"/>
    <w:rsid w:val="009611D1"/>
    <w:rsid w:val="00961F95"/>
    <w:rsid w:val="00963989"/>
    <w:rsid w:val="0096512F"/>
    <w:rsid w:val="00965F84"/>
    <w:rsid w:val="00967770"/>
    <w:rsid w:val="009677A7"/>
    <w:rsid w:val="00967D5D"/>
    <w:rsid w:val="00973723"/>
    <w:rsid w:val="00973846"/>
    <w:rsid w:val="00980AB3"/>
    <w:rsid w:val="00981149"/>
    <w:rsid w:val="00981DD1"/>
    <w:rsid w:val="00982E01"/>
    <w:rsid w:val="00982FE3"/>
    <w:rsid w:val="009832DC"/>
    <w:rsid w:val="009836FF"/>
    <w:rsid w:val="00984866"/>
    <w:rsid w:val="00994A04"/>
    <w:rsid w:val="00995C94"/>
    <w:rsid w:val="00996390"/>
    <w:rsid w:val="00996B94"/>
    <w:rsid w:val="009976F6"/>
    <w:rsid w:val="009A0E38"/>
    <w:rsid w:val="009A1339"/>
    <w:rsid w:val="009A449F"/>
    <w:rsid w:val="009A543E"/>
    <w:rsid w:val="009A662F"/>
    <w:rsid w:val="009A7457"/>
    <w:rsid w:val="009B54A6"/>
    <w:rsid w:val="009B6C3A"/>
    <w:rsid w:val="009B735C"/>
    <w:rsid w:val="009C0C23"/>
    <w:rsid w:val="009C1CA2"/>
    <w:rsid w:val="009C254D"/>
    <w:rsid w:val="009C2F45"/>
    <w:rsid w:val="009C2FC0"/>
    <w:rsid w:val="009C397B"/>
    <w:rsid w:val="009C5F63"/>
    <w:rsid w:val="009C6992"/>
    <w:rsid w:val="009D036E"/>
    <w:rsid w:val="009D1C7F"/>
    <w:rsid w:val="009D5606"/>
    <w:rsid w:val="009D5DF6"/>
    <w:rsid w:val="009D7B74"/>
    <w:rsid w:val="009E2ACE"/>
    <w:rsid w:val="009E2C36"/>
    <w:rsid w:val="009E3B6C"/>
    <w:rsid w:val="009E53BF"/>
    <w:rsid w:val="009E6C83"/>
    <w:rsid w:val="009E79C5"/>
    <w:rsid w:val="009F3396"/>
    <w:rsid w:val="009F44AE"/>
    <w:rsid w:val="009F58BE"/>
    <w:rsid w:val="009F5936"/>
    <w:rsid w:val="009F6328"/>
    <w:rsid w:val="009F6E22"/>
    <w:rsid w:val="00A00054"/>
    <w:rsid w:val="00A02ADA"/>
    <w:rsid w:val="00A0623F"/>
    <w:rsid w:val="00A06795"/>
    <w:rsid w:val="00A0701D"/>
    <w:rsid w:val="00A0752B"/>
    <w:rsid w:val="00A10271"/>
    <w:rsid w:val="00A17358"/>
    <w:rsid w:val="00A1737D"/>
    <w:rsid w:val="00A22164"/>
    <w:rsid w:val="00A23468"/>
    <w:rsid w:val="00A32CBB"/>
    <w:rsid w:val="00A3417C"/>
    <w:rsid w:val="00A367D5"/>
    <w:rsid w:val="00A36DAD"/>
    <w:rsid w:val="00A37447"/>
    <w:rsid w:val="00A37F39"/>
    <w:rsid w:val="00A409FE"/>
    <w:rsid w:val="00A40C68"/>
    <w:rsid w:val="00A4116A"/>
    <w:rsid w:val="00A41900"/>
    <w:rsid w:val="00A429DE"/>
    <w:rsid w:val="00A43E79"/>
    <w:rsid w:val="00A44B68"/>
    <w:rsid w:val="00A470EB"/>
    <w:rsid w:val="00A47C5D"/>
    <w:rsid w:val="00A508A0"/>
    <w:rsid w:val="00A5174E"/>
    <w:rsid w:val="00A52B98"/>
    <w:rsid w:val="00A53E7B"/>
    <w:rsid w:val="00A5784B"/>
    <w:rsid w:val="00A6268E"/>
    <w:rsid w:val="00A62BD9"/>
    <w:rsid w:val="00A63AB3"/>
    <w:rsid w:val="00A6625C"/>
    <w:rsid w:val="00A66D62"/>
    <w:rsid w:val="00A6787A"/>
    <w:rsid w:val="00A67A44"/>
    <w:rsid w:val="00A711CC"/>
    <w:rsid w:val="00A72DAD"/>
    <w:rsid w:val="00A73678"/>
    <w:rsid w:val="00A743A3"/>
    <w:rsid w:val="00A74BC3"/>
    <w:rsid w:val="00A77821"/>
    <w:rsid w:val="00A82DA0"/>
    <w:rsid w:val="00A83254"/>
    <w:rsid w:val="00A83370"/>
    <w:rsid w:val="00A84032"/>
    <w:rsid w:val="00A8635B"/>
    <w:rsid w:val="00A8693E"/>
    <w:rsid w:val="00A87B3D"/>
    <w:rsid w:val="00A9061B"/>
    <w:rsid w:val="00A908DC"/>
    <w:rsid w:val="00A90C04"/>
    <w:rsid w:val="00A90D03"/>
    <w:rsid w:val="00A91CD2"/>
    <w:rsid w:val="00A93476"/>
    <w:rsid w:val="00A937C6"/>
    <w:rsid w:val="00A93814"/>
    <w:rsid w:val="00A939FB"/>
    <w:rsid w:val="00A93E7A"/>
    <w:rsid w:val="00A953A9"/>
    <w:rsid w:val="00A96B17"/>
    <w:rsid w:val="00AA17D4"/>
    <w:rsid w:val="00AA1955"/>
    <w:rsid w:val="00AA27AA"/>
    <w:rsid w:val="00AA2FE5"/>
    <w:rsid w:val="00AA60D3"/>
    <w:rsid w:val="00AA73A6"/>
    <w:rsid w:val="00AA795C"/>
    <w:rsid w:val="00AB0BE5"/>
    <w:rsid w:val="00AB1445"/>
    <w:rsid w:val="00AB4A69"/>
    <w:rsid w:val="00AC1F2E"/>
    <w:rsid w:val="00AC260E"/>
    <w:rsid w:val="00AC7AA1"/>
    <w:rsid w:val="00AC7B75"/>
    <w:rsid w:val="00AD0339"/>
    <w:rsid w:val="00AD155D"/>
    <w:rsid w:val="00AD2C23"/>
    <w:rsid w:val="00AD68C7"/>
    <w:rsid w:val="00AD6CCA"/>
    <w:rsid w:val="00AD75C8"/>
    <w:rsid w:val="00AE2B73"/>
    <w:rsid w:val="00AE2BBA"/>
    <w:rsid w:val="00AE5EA9"/>
    <w:rsid w:val="00AF4AD9"/>
    <w:rsid w:val="00AF7271"/>
    <w:rsid w:val="00AF7AF3"/>
    <w:rsid w:val="00B01308"/>
    <w:rsid w:val="00B02C9C"/>
    <w:rsid w:val="00B046EA"/>
    <w:rsid w:val="00B04A3D"/>
    <w:rsid w:val="00B059BE"/>
    <w:rsid w:val="00B06AA2"/>
    <w:rsid w:val="00B07025"/>
    <w:rsid w:val="00B1347B"/>
    <w:rsid w:val="00B1452B"/>
    <w:rsid w:val="00B1609F"/>
    <w:rsid w:val="00B20581"/>
    <w:rsid w:val="00B23FDD"/>
    <w:rsid w:val="00B24BAE"/>
    <w:rsid w:val="00B26A9B"/>
    <w:rsid w:val="00B26DF2"/>
    <w:rsid w:val="00B3093A"/>
    <w:rsid w:val="00B30C19"/>
    <w:rsid w:val="00B30CE1"/>
    <w:rsid w:val="00B31587"/>
    <w:rsid w:val="00B31EC4"/>
    <w:rsid w:val="00B422AE"/>
    <w:rsid w:val="00B42F17"/>
    <w:rsid w:val="00B448F2"/>
    <w:rsid w:val="00B55623"/>
    <w:rsid w:val="00B60415"/>
    <w:rsid w:val="00B60F01"/>
    <w:rsid w:val="00B61732"/>
    <w:rsid w:val="00B61CC6"/>
    <w:rsid w:val="00B646A9"/>
    <w:rsid w:val="00B7238E"/>
    <w:rsid w:val="00B7301C"/>
    <w:rsid w:val="00B73FD4"/>
    <w:rsid w:val="00B75D0F"/>
    <w:rsid w:val="00B76819"/>
    <w:rsid w:val="00B7705D"/>
    <w:rsid w:val="00B804E7"/>
    <w:rsid w:val="00B805B1"/>
    <w:rsid w:val="00B810F6"/>
    <w:rsid w:val="00B8683B"/>
    <w:rsid w:val="00B8731C"/>
    <w:rsid w:val="00B903E0"/>
    <w:rsid w:val="00B91166"/>
    <w:rsid w:val="00B92C9F"/>
    <w:rsid w:val="00B943A2"/>
    <w:rsid w:val="00B956FE"/>
    <w:rsid w:val="00B97546"/>
    <w:rsid w:val="00BA2E9A"/>
    <w:rsid w:val="00BA58F4"/>
    <w:rsid w:val="00BA70F6"/>
    <w:rsid w:val="00BA72FF"/>
    <w:rsid w:val="00BB26FA"/>
    <w:rsid w:val="00BB2D98"/>
    <w:rsid w:val="00BB304B"/>
    <w:rsid w:val="00BB6DBD"/>
    <w:rsid w:val="00BC074C"/>
    <w:rsid w:val="00BC570C"/>
    <w:rsid w:val="00BC78F3"/>
    <w:rsid w:val="00BD00B9"/>
    <w:rsid w:val="00BD0468"/>
    <w:rsid w:val="00BD36D4"/>
    <w:rsid w:val="00BD45DB"/>
    <w:rsid w:val="00BE0244"/>
    <w:rsid w:val="00BE1AF3"/>
    <w:rsid w:val="00BE1BDC"/>
    <w:rsid w:val="00BE2015"/>
    <w:rsid w:val="00BE2227"/>
    <w:rsid w:val="00BE2F92"/>
    <w:rsid w:val="00BE706C"/>
    <w:rsid w:val="00BE78B1"/>
    <w:rsid w:val="00BE7AB0"/>
    <w:rsid w:val="00BF0296"/>
    <w:rsid w:val="00BF05D8"/>
    <w:rsid w:val="00BF0EDB"/>
    <w:rsid w:val="00BF0F0A"/>
    <w:rsid w:val="00BF4965"/>
    <w:rsid w:val="00BF5D24"/>
    <w:rsid w:val="00BF7429"/>
    <w:rsid w:val="00C0074C"/>
    <w:rsid w:val="00C00C2D"/>
    <w:rsid w:val="00C02C42"/>
    <w:rsid w:val="00C0707D"/>
    <w:rsid w:val="00C079B2"/>
    <w:rsid w:val="00C109B6"/>
    <w:rsid w:val="00C112BD"/>
    <w:rsid w:val="00C12E23"/>
    <w:rsid w:val="00C15344"/>
    <w:rsid w:val="00C179BC"/>
    <w:rsid w:val="00C22DE5"/>
    <w:rsid w:val="00C353BE"/>
    <w:rsid w:val="00C40957"/>
    <w:rsid w:val="00C4102C"/>
    <w:rsid w:val="00C41E0A"/>
    <w:rsid w:val="00C434AF"/>
    <w:rsid w:val="00C438EE"/>
    <w:rsid w:val="00C44593"/>
    <w:rsid w:val="00C4736A"/>
    <w:rsid w:val="00C47A9A"/>
    <w:rsid w:val="00C536CB"/>
    <w:rsid w:val="00C554C7"/>
    <w:rsid w:val="00C5711E"/>
    <w:rsid w:val="00C61670"/>
    <w:rsid w:val="00C6243A"/>
    <w:rsid w:val="00C62CE7"/>
    <w:rsid w:val="00C633F9"/>
    <w:rsid w:val="00C645E5"/>
    <w:rsid w:val="00C652EE"/>
    <w:rsid w:val="00C67807"/>
    <w:rsid w:val="00C713CF"/>
    <w:rsid w:val="00C71EC7"/>
    <w:rsid w:val="00C738AD"/>
    <w:rsid w:val="00C7592E"/>
    <w:rsid w:val="00C80FDB"/>
    <w:rsid w:val="00C815DA"/>
    <w:rsid w:val="00C81D2B"/>
    <w:rsid w:val="00C8236F"/>
    <w:rsid w:val="00C860EC"/>
    <w:rsid w:val="00C8760E"/>
    <w:rsid w:val="00C876DC"/>
    <w:rsid w:val="00C878E8"/>
    <w:rsid w:val="00C902B8"/>
    <w:rsid w:val="00C93CE8"/>
    <w:rsid w:val="00C93CED"/>
    <w:rsid w:val="00C9723A"/>
    <w:rsid w:val="00CA02F8"/>
    <w:rsid w:val="00CA122D"/>
    <w:rsid w:val="00CA3336"/>
    <w:rsid w:val="00CA4775"/>
    <w:rsid w:val="00CA51AC"/>
    <w:rsid w:val="00CA6E2D"/>
    <w:rsid w:val="00CB068D"/>
    <w:rsid w:val="00CB3EC7"/>
    <w:rsid w:val="00CB42E9"/>
    <w:rsid w:val="00CB45EB"/>
    <w:rsid w:val="00CB7C30"/>
    <w:rsid w:val="00CB7F48"/>
    <w:rsid w:val="00CC21B4"/>
    <w:rsid w:val="00CC25A2"/>
    <w:rsid w:val="00CC29DF"/>
    <w:rsid w:val="00CC345A"/>
    <w:rsid w:val="00CC361E"/>
    <w:rsid w:val="00CC39E1"/>
    <w:rsid w:val="00CD27E2"/>
    <w:rsid w:val="00CD6206"/>
    <w:rsid w:val="00CD6FE5"/>
    <w:rsid w:val="00CE04C3"/>
    <w:rsid w:val="00CE0BCC"/>
    <w:rsid w:val="00CE4025"/>
    <w:rsid w:val="00CE4326"/>
    <w:rsid w:val="00CF034D"/>
    <w:rsid w:val="00CF1045"/>
    <w:rsid w:val="00CF2994"/>
    <w:rsid w:val="00CF2E1B"/>
    <w:rsid w:val="00CF4CA0"/>
    <w:rsid w:val="00CF6DD3"/>
    <w:rsid w:val="00CF750F"/>
    <w:rsid w:val="00D01BF8"/>
    <w:rsid w:val="00D0331C"/>
    <w:rsid w:val="00D04038"/>
    <w:rsid w:val="00D06124"/>
    <w:rsid w:val="00D1112E"/>
    <w:rsid w:val="00D111CB"/>
    <w:rsid w:val="00D11684"/>
    <w:rsid w:val="00D12653"/>
    <w:rsid w:val="00D145B1"/>
    <w:rsid w:val="00D166AF"/>
    <w:rsid w:val="00D166D3"/>
    <w:rsid w:val="00D21E12"/>
    <w:rsid w:val="00D2357C"/>
    <w:rsid w:val="00D24F60"/>
    <w:rsid w:val="00D30260"/>
    <w:rsid w:val="00D309D9"/>
    <w:rsid w:val="00D31EF2"/>
    <w:rsid w:val="00D327D8"/>
    <w:rsid w:val="00D32F23"/>
    <w:rsid w:val="00D349B4"/>
    <w:rsid w:val="00D34CC8"/>
    <w:rsid w:val="00D406A2"/>
    <w:rsid w:val="00D4153D"/>
    <w:rsid w:val="00D42B81"/>
    <w:rsid w:val="00D510BB"/>
    <w:rsid w:val="00D53B30"/>
    <w:rsid w:val="00D55762"/>
    <w:rsid w:val="00D56B8D"/>
    <w:rsid w:val="00D61791"/>
    <w:rsid w:val="00D642B7"/>
    <w:rsid w:val="00D647F0"/>
    <w:rsid w:val="00D6496B"/>
    <w:rsid w:val="00D67D16"/>
    <w:rsid w:val="00D714A0"/>
    <w:rsid w:val="00D73BB0"/>
    <w:rsid w:val="00D7476F"/>
    <w:rsid w:val="00D754B2"/>
    <w:rsid w:val="00D75E42"/>
    <w:rsid w:val="00D77856"/>
    <w:rsid w:val="00D81DEA"/>
    <w:rsid w:val="00D82C85"/>
    <w:rsid w:val="00D865BC"/>
    <w:rsid w:val="00D87977"/>
    <w:rsid w:val="00D90210"/>
    <w:rsid w:val="00D90F7F"/>
    <w:rsid w:val="00D92EEF"/>
    <w:rsid w:val="00D93686"/>
    <w:rsid w:val="00D956C2"/>
    <w:rsid w:val="00D962D0"/>
    <w:rsid w:val="00DA3642"/>
    <w:rsid w:val="00DA3998"/>
    <w:rsid w:val="00DA767F"/>
    <w:rsid w:val="00DA7D73"/>
    <w:rsid w:val="00DB1D85"/>
    <w:rsid w:val="00DB31C0"/>
    <w:rsid w:val="00DB3952"/>
    <w:rsid w:val="00DB6C48"/>
    <w:rsid w:val="00DC1864"/>
    <w:rsid w:val="00DC191D"/>
    <w:rsid w:val="00DC5703"/>
    <w:rsid w:val="00DC5EB7"/>
    <w:rsid w:val="00DC683B"/>
    <w:rsid w:val="00DC6CA3"/>
    <w:rsid w:val="00DC7361"/>
    <w:rsid w:val="00DD0CDB"/>
    <w:rsid w:val="00DD0D29"/>
    <w:rsid w:val="00DD0DEC"/>
    <w:rsid w:val="00DD3181"/>
    <w:rsid w:val="00DD36A6"/>
    <w:rsid w:val="00DD4948"/>
    <w:rsid w:val="00DD5A09"/>
    <w:rsid w:val="00DD688F"/>
    <w:rsid w:val="00DD6C0C"/>
    <w:rsid w:val="00DE067D"/>
    <w:rsid w:val="00DE26D1"/>
    <w:rsid w:val="00DE34C1"/>
    <w:rsid w:val="00DE4D2A"/>
    <w:rsid w:val="00DE51BE"/>
    <w:rsid w:val="00DF1B48"/>
    <w:rsid w:val="00DF35A3"/>
    <w:rsid w:val="00DF3A96"/>
    <w:rsid w:val="00DF4D0D"/>
    <w:rsid w:val="00DF6618"/>
    <w:rsid w:val="00E00128"/>
    <w:rsid w:val="00E03DAF"/>
    <w:rsid w:val="00E04EF0"/>
    <w:rsid w:val="00E055A5"/>
    <w:rsid w:val="00E06D01"/>
    <w:rsid w:val="00E106E2"/>
    <w:rsid w:val="00E118A5"/>
    <w:rsid w:val="00E132E1"/>
    <w:rsid w:val="00E13619"/>
    <w:rsid w:val="00E13C54"/>
    <w:rsid w:val="00E14F78"/>
    <w:rsid w:val="00E15A61"/>
    <w:rsid w:val="00E17BD8"/>
    <w:rsid w:val="00E230BE"/>
    <w:rsid w:val="00E26DF6"/>
    <w:rsid w:val="00E27A6F"/>
    <w:rsid w:val="00E30203"/>
    <w:rsid w:val="00E30B26"/>
    <w:rsid w:val="00E33836"/>
    <w:rsid w:val="00E33B5D"/>
    <w:rsid w:val="00E34BD8"/>
    <w:rsid w:val="00E35121"/>
    <w:rsid w:val="00E36104"/>
    <w:rsid w:val="00E3766A"/>
    <w:rsid w:val="00E42058"/>
    <w:rsid w:val="00E51C16"/>
    <w:rsid w:val="00E52C57"/>
    <w:rsid w:val="00E53060"/>
    <w:rsid w:val="00E553AD"/>
    <w:rsid w:val="00E56BDA"/>
    <w:rsid w:val="00E57C3D"/>
    <w:rsid w:val="00E61FA6"/>
    <w:rsid w:val="00E6262B"/>
    <w:rsid w:val="00E644D5"/>
    <w:rsid w:val="00E66ABB"/>
    <w:rsid w:val="00E67543"/>
    <w:rsid w:val="00E729FA"/>
    <w:rsid w:val="00E73E18"/>
    <w:rsid w:val="00E740D3"/>
    <w:rsid w:val="00E7463F"/>
    <w:rsid w:val="00E74D5B"/>
    <w:rsid w:val="00E75697"/>
    <w:rsid w:val="00E7718E"/>
    <w:rsid w:val="00E81959"/>
    <w:rsid w:val="00E850CF"/>
    <w:rsid w:val="00E85B0D"/>
    <w:rsid w:val="00E86279"/>
    <w:rsid w:val="00E87F7C"/>
    <w:rsid w:val="00E9009D"/>
    <w:rsid w:val="00E92A2A"/>
    <w:rsid w:val="00E9311D"/>
    <w:rsid w:val="00E95076"/>
    <w:rsid w:val="00EA0A8F"/>
    <w:rsid w:val="00EA371B"/>
    <w:rsid w:val="00EA6672"/>
    <w:rsid w:val="00EB0198"/>
    <w:rsid w:val="00EB0474"/>
    <w:rsid w:val="00EB04E6"/>
    <w:rsid w:val="00EB1306"/>
    <w:rsid w:val="00EB1724"/>
    <w:rsid w:val="00EB23A5"/>
    <w:rsid w:val="00EC056B"/>
    <w:rsid w:val="00EC1F56"/>
    <w:rsid w:val="00EC20D2"/>
    <w:rsid w:val="00EC24AE"/>
    <w:rsid w:val="00EC25C3"/>
    <w:rsid w:val="00EC285D"/>
    <w:rsid w:val="00EC77C1"/>
    <w:rsid w:val="00EC7B9E"/>
    <w:rsid w:val="00EC7BA2"/>
    <w:rsid w:val="00ED070B"/>
    <w:rsid w:val="00ED2A20"/>
    <w:rsid w:val="00ED2FFC"/>
    <w:rsid w:val="00ED50F6"/>
    <w:rsid w:val="00ED5EFB"/>
    <w:rsid w:val="00ED7EDF"/>
    <w:rsid w:val="00EE15E6"/>
    <w:rsid w:val="00EE1DDF"/>
    <w:rsid w:val="00EE304F"/>
    <w:rsid w:val="00EE3BFF"/>
    <w:rsid w:val="00EE43D9"/>
    <w:rsid w:val="00EE56EB"/>
    <w:rsid w:val="00EF1519"/>
    <w:rsid w:val="00EF1733"/>
    <w:rsid w:val="00EF178F"/>
    <w:rsid w:val="00EF1FB3"/>
    <w:rsid w:val="00EF47A7"/>
    <w:rsid w:val="00EF5571"/>
    <w:rsid w:val="00EF7079"/>
    <w:rsid w:val="00EF7A50"/>
    <w:rsid w:val="00F014D4"/>
    <w:rsid w:val="00F05778"/>
    <w:rsid w:val="00F0613E"/>
    <w:rsid w:val="00F0635A"/>
    <w:rsid w:val="00F10543"/>
    <w:rsid w:val="00F11F91"/>
    <w:rsid w:val="00F12263"/>
    <w:rsid w:val="00F14B06"/>
    <w:rsid w:val="00F15ABB"/>
    <w:rsid w:val="00F15FF7"/>
    <w:rsid w:val="00F17EF2"/>
    <w:rsid w:val="00F2204D"/>
    <w:rsid w:val="00F2687E"/>
    <w:rsid w:val="00F26DF4"/>
    <w:rsid w:val="00F2705D"/>
    <w:rsid w:val="00F316CC"/>
    <w:rsid w:val="00F33607"/>
    <w:rsid w:val="00F355BD"/>
    <w:rsid w:val="00F35A72"/>
    <w:rsid w:val="00F36ED1"/>
    <w:rsid w:val="00F42734"/>
    <w:rsid w:val="00F4385E"/>
    <w:rsid w:val="00F531DF"/>
    <w:rsid w:val="00F533D6"/>
    <w:rsid w:val="00F53778"/>
    <w:rsid w:val="00F5539E"/>
    <w:rsid w:val="00F57332"/>
    <w:rsid w:val="00F612A2"/>
    <w:rsid w:val="00F62A36"/>
    <w:rsid w:val="00F63C5A"/>
    <w:rsid w:val="00F6627C"/>
    <w:rsid w:val="00F66E31"/>
    <w:rsid w:val="00F67E97"/>
    <w:rsid w:val="00F70171"/>
    <w:rsid w:val="00F70EFE"/>
    <w:rsid w:val="00F72C8C"/>
    <w:rsid w:val="00F72EA1"/>
    <w:rsid w:val="00F73F85"/>
    <w:rsid w:val="00F75656"/>
    <w:rsid w:val="00F77843"/>
    <w:rsid w:val="00F80230"/>
    <w:rsid w:val="00F81E23"/>
    <w:rsid w:val="00F83B88"/>
    <w:rsid w:val="00F84FA6"/>
    <w:rsid w:val="00F86808"/>
    <w:rsid w:val="00F87DF5"/>
    <w:rsid w:val="00F9005A"/>
    <w:rsid w:val="00F90E7C"/>
    <w:rsid w:val="00F93478"/>
    <w:rsid w:val="00F93BA9"/>
    <w:rsid w:val="00F95ACB"/>
    <w:rsid w:val="00F9719F"/>
    <w:rsid w:val="00F9734E"/>
    <w:rsid w:val="00F97588"/>
    <w:rsid w:val="00F978EF"/>
    <w:rsid w:val="00F978F5"/>
    <w:rsid w:val="00F97A9B"/>
    <w:rsid w:val="00FA0111"/>
    <w:rsid w:val="00FA09CF"/>
    <w:rsid w:val="00FA1740"/>
    <w:rsid w:val="00FA1AF1"/>
    <w:rsid w:val="00FA4122"/>
    <w:rsid w:val="00FA5146"/>
    <w:rsid w:val="00FA5208"/>
    <w:rsid w:val="00FA5862"/>
    <w:rsid w:val="00FA6A7B"/>
    <w:rsid w:val="00FA7E42"/>
    <w:rsid w:val="00FB0B28"/>
    <w:rsid w:val="00FB1545"/>
    <w:rsid w:val="00FB1A77"/>
    <w:rsid w:val="00FB1AF5"/>
    <w:rsid w:val="00FB1C92"/>
    <w:rsid w:val="00FB1F85"/>
    <w:rsid w:val="00FB79B4"/>
    <w:rsid w:val="00FC2E6E"/>
    <w:rsid w:val="00FC57FE"/>
    <w:rsid w:val="00FD0DDF"/>
    <w:rsid w:val="00FD0EED"/>
    <w:rsid w:val="00FD1279"/>
    <w:rsid w:val="00FD40CA"/>
    <w:rsid w:val="00FE1D1F"/>
    <w:rsid w:val="00FE1E5D"/>
    <w:rsid w:val="00FE2480"/>
    <w:rsid w:val="00FE35AA"/>
    <w:rsid w:val="00FE6ADE"/>
    <w:rsid w:val="00FF118C"/>
    <w:rsid w:val="00FF27F9"/>
    <w:rsid w:val="00FF3B84"/>
    <w:rsid w:val="00FF56DE"/>
    <w:rsid w:val="00FF5F0E"/>
    <w:rsid w:val="00FF6E99"/>
    <w:rsid w:val="00FF79F0"/>
    <w:rsid w:val="00FF7AA0"/>
    <w:rsid w:val="018C5BFB"/>
    <w:rsid w:val="01B45999"/>
    <w:rsid w:val="01EA45FA"/>
    <w:rsid w:val="01EF1B46"/>
    <w:rsid w:val="020D1DF2"/>
    <w:rsid w:val="0241779D"/>
    <w:rsid w:val="02643882"/>
    <w:rsid w:val="02A5299A"/>
    <w:rsid w:val="02D71175"/>
    <w:rsid w:val="02DD07E1"/>
    <w:rsid w:val="03C1667A"/>
    <w:rsid w:val="03EA5B14"/>
    <w:rsid w:val="03FA39D7"/>
    <w:rsid w:val="0400517E"/>
    <w:rsid w:val="040C03B5"/>
    <w:rsid w:val="04533527"/>
    <w:rsid w:val="04710532"/>
    <w:rsid w:val="04730751"/>
    <w:rsid w:val="047D3516"/>
    <w:rsid w:val="04D06E6B"/>
    <w:rsid w:val="055F0E8A"/>
    <w:rsid w:val="06227DC3"/>
    <w:rsid w:val="066448C2"/>
    <w:rsid w:val="06BF1C23"/>
    <w:rsid w:val="06D075BD"/>
    <w:rsid w:val="0791673A"/>
    <w:rsid w:val="08103F9D"/>
    <w:rsid w:val="08297875"/>
    <w:rsid w:val="08B1301D"/>
    <w:rsid w:val="08E87E16"/>
    <w:rsid w:val="09143134"/>
    <w:rsid w:val="09267FC0"/>
    <w:rsid w:val="09872F1F"/>
    <w:rsid w:val="09B5763C"/>
    <w:rsid w:val="09C452D9"/>
    <w:rsid w:val="0A1653A2"/>
    <w:rsid w:val="0A274E09"/>
    <w:rsid w:val="0A7256F4"/>
    <w:rsid w:val="0A8C69F4"/>
    <w:rsid w:val="0AE5772C"/>
    <w:rsid w:val="0B3D0BCE"/>
    <w:rsid w:val="0B513A96"/>
    <w:rsid w:val="0B5A0624"/>
    <w:rsid w:val="0BBC727F"/>
    <w:rsid w:val="0BF97440"/>
    <w:rsid w:val="0C4F0620"/>
    <w:rsid w:val="0C59010B"/>
    <w:rsid w:val="0C673E51"/>
    <w:rsid w:val="0C81308B"/>
    <w:rsid w:val="0CB817C8"/>
    <w:rsid w:val="0CC37CDB"/>
    <w:rsid w:val="0CEA6EF9"/>
    <w:rsid w:val="0D4B161F"/>
    <w:rsid w:val="0D611D08"/>
    <w:rsid w:val="0D6B36B3"/>
    <w:rsid w:val="0DA169AD"/>
    <w:rsid w:val="0DD1309A"/>
    <w:rsid w:val="0DDA69F1"/>
    <w:rsid w:val="0DDE21D7"/>
    <w:rsid w:val="0E8C5493"/>
    <w:rsid w:val="0F0663E9"/>
    <w:rsid w:val="0F487655"/>
    <w:rsid w:val="0F81654D"/>
    <w:rsid w:val="0FD71FEA"/>
    <w:rsid w:val="0FFA582A"/>
    <w:rsid w:val="1036271C"/>
    <w:rsid w:val="105C44B0"/>
    <w:rsid w:val="114C1DEB"/>
    <w:rsid w:val="118546BA"/>
    <w:rsid w:val="11EF025A"/>
    <w:rsid w:val="1240478C"/>
    <w:rsid w:val="12932457"/>
    <w:rsid w:val="12D4308C"/>
    <w:rsid w:val="130B4CA3"/>
    <w:rsid w:val="132B68EC"/>
    <w:rsid w:val="133216FD"/>
    <w:rsid w:val="13DA74DC"/>
    <w:rsid w:val="146517BB"/>
    <w:rsid w:val="152061FE"/>
    <w:rsid w:val="154B4E7F"/>
    <w:rsid w:val="156B6A3A"/>
    <w:rsid w:val="15D5380E"/>
    <w:rsid w:val="166A1708"/>
    <w:rsid w:val="167A3533"/>
    <w:rsid w:val="1695427B"/>
    <w:rsid w:val="16A752FF"/>
    <w:rsid w:val="172A35E5"/>
    <w:rsid w:val="18092F29"/>
    <w:rsid w:val="18C9165D"/>
    <w:rsid w:val="18F605BA"/>
    <w:rsid w:val="194E7037"/>
    <w:rsid w:val="195F01C0"/>
    <w:rsid w:val="19835F38"/>
    <w:rsid w:val="19BD6C79"/>
    <w:rsid w:val="19D635E5"/>
    <w:rsid w:val="1A4E5782"/>
    <w:rsid w:val="1A641609"/>
    <w:rsid w:val="1AE128C2"/>
    <w:rsid w:val="1AED62AE"/>
    <w:rsid w:val="1B3F6EFC"/>
    <w:rsid w:val="1B4B6058"/>
    <w:rsid w:val="1BA73220"/>
    <w:rsid w:val="1C0F0B1B"/>
    <w:rsid w:val="1C2A397D"/>
    <w:rsid w:val="1C3808B9"/>
    <w:rsid w:val="1C527F67"/>
    <w:rsid w:val="1CE134A1"/>
    <w:rsid w:val="1D69797A"/>
    <w:rsid w:val="1D826935"/>
    <w:rsid w:val="1DBB4573"/>
    <w:rsid w:val="1E3D2750"/>
    <w:rsid w:val="1E475FDF"/>
    <w:rsid w:val="1E4A6987"/>
    <w:rsid w:val="1E790132"/>
    <w:rsid w:val="1EA33E74"/>
    <w:rsid w:val="1F07799E"/>
    <w:rsid w:val="1F6F1129"/>
    <w:rsid w:val="1F8206CE"/>
    <w:rsid w:val="1F9D7E59"/>
    <w:rsid w:val="202F64F4"/>
    <w:rsid w:val="20393668"/>
    <w:rsid w:val="20531A3E"/>
    <w:rsid w:val="208F509A"/>
    <w:rsid w:val="209C2B30"/>
    <w:rsid w:val="20D2148C"/>
    <w:rsid w:val="21CF1AE9"/>
    <w:rsid w:val="21D05F74"/>
    <w:rsid w:val="22252ABF"/>
    <w:rsid w:val="22381659"/>
    <w:rsid w:val="22703E30"/>
    <w:rsid w:val="22FB3D39"/>
    <w:rsid w:val="23127766"/>
    <w:rsid w:val="236A1427"/>
    <w:rsid w:val="23AC4583"/>
    <w:rsid w:val="23D36D29"/>
    <w:rsid w:val="24417AB9"/>
    <w:rsid w:val="24537826"/>
    <w:rsid w:val="24584CD1"/>
    <w:rsid w:val="2473580F"/>
    <w:rsid w:val="24D47732"/>
    <w:rsid w:val="250156E6"/>
    <w:rsid w:val="258146FA"/>
    <w:rsid w:val="25E02EC5"/>
    <w:rsid w:val="26282408"/>
    <w:rsid w:val="26310F7E"/>
    <w:rsid w:val="26340D22"/>
    <w:rsid w:val="264300B0"/>
    <w:rsid w:val="26BC3622"/>
    <w:rsid w:val="26CA1D23"/>
    <w:rsid w:val="26D05563"/>
    <w:rsid w:val="26FC4ABA"/>
    <w:rsid w:val="27284E94"/>
    <w:rsid w:val="274B1605"/>
    <w:rsid w:val="277A53A5"/>
    <w:rsid w:val="278436B3"/>
    <w:rsid w:val="27DA7ADC"/>
    <w:rsid w:val="27EE43E4"/>
    <w:rsid w:val="28272DC2"/>
    <w:rsid w:val="28455097"/>
    <w:rsid w:val="288337A4"/>
    <w:rsid w:val="28894121"/>
    <w:rsid w:val="29322825"/>
    <w:rsid w:val="294C2C30"/>
    <w:rsid w:val="29573C99"/>
    <w:rsid w:val="297033E0"/>
    <w:rsid w:val="29740C57"/>
    <w:rsid w:val="298618CC"/>
    <w:rsid w:val="299424C7"/>
    <w:rsid w:val="29DC2BBE"/>
    <w:rsid w:val="2A495983"/>
    <w:rsid w:val="2A664E68"/>
    <w:rsid w:val="2A754E11"/>
    <w:rsid w:val="2A8B4E1B"/>
    <w:rsid w:val="2AE30A0E"/>
    <w:rsid w:val="2B5F6C4B"/>
    <w:rsid w:val="2B7D4EA8"/>
    <w:rsid w:val="2BA80978"/>
    <w:rsid w:val="2BCA4D04"/>
    <w:rsid w:val="2BD93CBC"/>
    <w:rsid w:val="2BFB12FB"/>
    <w:rsid w:val="2C3004FA"/>
    <w:rsid w:val="2C3E6F9E"/>
    <w:rsid w:val="2C9536D2"/>
    <w:rsid w:val="2CC559CE"/>
    <w:rsid w:val="2CF4618C"/>
    <w:rsid w:val="2D2546F0"/>
    <w:rsid w:val="2D514E0E"/>
    <w:rsid w:val="2DAE1B38"/>
    <w:rsid w:val="2DE13DED"/>
    <w:rsid w:val="2E330497"/>
    <w:rsid w:val="2E3F0636"/>
    <w:rsid w:val="2E753A76"/>
    <w:rsid w:val="2EC32A4A"/>
    <w:rsid w:val="2EE26B2A"/>
    <w:rsid w:val="2EE5201C"/>
    <w:rsid w:val="2EF65290"/>
    <w:rsid w:val="2F8C07EC"/>
    <w:rsid w:val="30006FDA"/>
    <w:rsid w:val="302E49A9"/>
    <w:rsid w:val="30330F7F"/>
    <w:rsid w:val="30910B26"/>
    <w:rsid w:val="309D5B6B"/>
    <w:rsid w:val="30B83157"/>
    <w:rsid w:val="30C57C5A"/>
    <w:rsid w:val="30EC2EF3"/>
    <w:rsid w:val="31A26DAA"/>
    <w:rsid w:val="31B56D5A"/>
    <w:rsid w:val="31DC6191"/>
    <w:rsid w:val="31DF7139"/>
    <w:rsid w:val="32717C15"/>
    <w:rsid w:val="330F0540"/>
    <w:rsid w:val="33344A2A"/>
    <w:rsid w:val="33A2314E"/>
    <w:rsid w:val="34492C86"/>
    <w:rsid w:val="34F7165D"/>
    <w:rsid w:val="350513AE"/>
    <w:rsid w:val="352B22E6"/>
    <w:rsid w:val="352D61D5"/>
    <w:rsid w:val="36287FD9"/>
    <w:rsid w:val="362B3B63"/>
    <w:rsid w:val="366C47FA"/>
    <w:rsid w:val="36AB4D7E"/>
    <w:rsid w:val="36B27B38"/>
    <w:rsid w:val="36ED03F9"/>
    <w:rsid w:val="373E5E71"/>
    <w:rsid w:val="375D774D"/>
    <w:rsid w:val="37651421"/>
    <w:rsid w:val="37B323FE"/>
    <w:rsid w:val="37EE041A"/>
    <w:rsid w:val="380519DE"/>
    <w:rsid w:val="381F6D91"/>
    <w:rsid w:val="38E46EDA"/>
    <w:rsid w:val="390C464F"/>
    <w:rsid w:val="39481A65"/>
    <w:rsid w:val="39994DF0"/>
    <w:rsid w:val="39F10FF0"/>
    <w:rsid w:val="3A6A1B20"/>
    <w:rsid w:val="3AE519B2"/>
    <w:rsid w:val="3B1E5066"/>
    <w:rsid w:val="3B360FFE"/>
    <w:rsid w:val="3B46632C"/>
    <w:rsid w:val="3B7423F5"/>
    <w:rsid w:val="3BFD0B4E"/>
    <w:rsid w:val="3C1C2B0D"/>
    <w:rsid w:val="3CB90F2D"/>
    <w:rsid w:val="3D171803"/>
    <w:rsid w:val="3E517EB7"/>
    <w:rsid w:val="3E7C3854"/>
    <w:rsid w:val="3E8D3086"/>
    <w:rsid w:val="3EDA1FF3"/>
    <w:rsid w:val="3EDC1219"/>
    <w:rsid w:val="3F220619"/>
    <w:rsid w:val="3F3E1C65"/>
    <w:rsid w:val="3F47243D"/>
    <w:rsid w:val="3FDA14CD"/>
    <w:rsid w:val="3FE813AD"/>
    <w:rsid w:val="40B569B1"/>
    <w:rsid w:val="410A7F42"/>
    <w:rsid w:val="41362751"/>
    <w:rsid w:val="41482D34"/>
    <w:rsid w:val="41505BD6"/>
    <w:rsid w:val="41802CD2"/>
    <w:rsid w:val="41D84A00"/>
    <w:rsid w:val="41FA6A22"/>
    <w:rsid w:val="42861E73"/>
    <w:rsid w:val="42971002"/>
    <w:rsid w:val="42F9494F"/>
    <w:rsid w:val="43621DA4"/>
    <w:rsid w:val="438D3E7A"/>
    <w:rsid w:val="43D73F84"/>
    <w:rsid w:val="44833D30"/>
    <w:rsid w:val="44902374"/>
    <w:rsid w:val="44C45618"/>
    <w:rsid w:val="44D441C0"/>
    <w:rsid w:val="44E17F1D"/>
    <w:rsid w:val="452C2EA3"/>
    <w:rsid w:val="45BB09AE"/>
    <w:rsid w:val="45D83019"/>
    <w:rsid w:val="465D6D65"/>
    <w:rsid w:val="46814B6D"/>
    <w:rsid w:val="468731F9"/>
    <w:rsid w:val="468B7AB5"/>
    <w:rsid w:val="46A202EA"/>
    <w:rsid w:val="46A35665"/>
    <w:rsid w:val="478F28CE"/>
    <w:rsid w:val="47E862A8"/>
    <w:rsid w:val="482435BD"/>
    <w:rsid w:val="48316918"/>
    <w:rsid w:val="486B0806"/>
    <w:rsid w:val="48A4585A"/>
    <w:rsid w:val="48A964BB"/>
    <w:rsid w:val="48DD328B"/>
    <w:rsid w:val="48F02F2D"/>
    <w:rsid w:val="491D353E"/>
    <w:rsid w:val="496E4E48"/>
    <w:rsid w:val="4A0E168A"/>
    <w:rsid w:val="4A1327E9"/>
    <w:rsid w:val="4A146A9E"/>
    <w:rsid w:val="4A346162"/>
    <w:rsid w:val="4A3A4422"/>
    <w:rsid w:val="4A3F2A60"/>
    <w:rsid w:val="4AAA3F11"/>
    <w:rsid w:val="4AD52FC5"/>
    <w:rsid w:val="4ADE3B48"/>
    <w:rsid w:val="4B0141F3"/>
    <w:rsid w:val="4B5843A7"/>
    <w:rsid w:val="4B791FAF"/>
    <w:rsid w:val="4BFE739A"/>
    <w:rsid w:val="4C2A637C"/>
    <w:rsid w:val="4C317161"/>
    <w:rsid w:val="4C422213"/>
    <w:rsid w:val="4C9B5477"/>
    <w:rsid w:val="4CA20C9A"/>
    <w:rsid w:val="4D2A5E32"/>
    <w:rsid w:val="4D4557D4"/>
    <w:rsid w:val="4DC56076"/>
    <w:rsid w:val="4DCA0AC0"/>
    <w:rsid w:val="4DE45B56"/>
    <w:rsid w:val="4E0D27F9"/>
    <w:rsid w:val="4E170930"/>
    <w:rsid w:val="4E2D52A2"/>
    <w:rsid w:val="4E8D0663"/>
    <w:rsid w:val="4EDA23AC"/>
    <w:rsid w:val="4EE0717B"/>
    <w:rsid w:val="4F850E7F"/>
    <w:rsid w:val="4FBE02D0"/>
    <w:rsid w:val="4FD2330D"/>
    <w:rsid w:val="4FDF375F"/>
    <w:rsid w:val="50043C91"/>
    <w:rsid w:val="502660D9"/>
    <w:rsid w:val="5072654B"/>
    <w:rsid w:val="510622C8"/>
    <w:rsid w:val="511B78DC"/>
    <w:rsid w:val="511F5BF2"/>
    <w:rsid w:val="51243E29"/>
    <w:rsid w:val="517470A2"/>
    <w:rsid w:val="519522E4"/>
    <w:rsid w:val="51C623C2"/>
    <w:rsid w:val="520D4CC2"/>
    <w:rsid w:val="52867BEA"/>
    <w:rsid w:val="530F2492"/>
    <w:rsid w:val="53152C14"/>
    <w:rsid w:val="532109EE"/>
    <w:rsid w:val="532B3FA9"/>
    <w:rsid w:val="53491EF0"/>
    <w:rsid w:val="536753B6"/>
    <w:rsid w:val="539050D9"/>
    <w:rsid w:val="53C1057A"/>
    <w:rsid w:val="53CD3CEB"/>
    <w:rsid w:val="54040A38"/>
    <w:rsid w:val="55352417"/>
    <w:rsid w:val="55422827"/>
    <w:rsid w:val="558A373D"/>
    <w:rsid w:val="55A62C3E"/>
    <w:rsid w:val="560849D8"/>
    <w:rsid w:val="565E7C21"/>
    <w:rsid w:val="567E5F0E"/>
    <w:rsid w:val="5682350E"/>
    <w:rsid w:val="56A80117"/>
    <w:rsid w:val="56E836DB"/>
    <w:rsid w:val="575F50BD"/>
    <w:rsid w:val="57732944"/>
    <w:rsid w:val="578625EA"/>
    <w:rsid w:val="57DD2A29"/>
    <w:rsid w:val="57FB14D9"/>
    <w:rsid w:val="58083895"/>
    <w:rsid w:val="584A05F6"/>
    <w:rsid w:val="5887780C"/>
    <w:rsid w:val="58A90FA7"/>
    <w:rsid w:val="58B80C20"/>
    <w:rsid w:val="58C05F79"/>
    <w:rsid w:val="58E42664"/>
    <w:rsid w:val="599F6030"/>
    <w:rsid w:val="5ACC4CB0"/>
    <w:rsid w:val="5AD274B8"/>
    <w:rsid w:val="5C1466CB"/>
    <w:rsid w:val="5CC8058F"/>
    <w:rsid w:val="5CD222A4"/>
    <w:rsid w:val="5D626301"/>
    <w:rsid w:val="5D855CC0"/>
    <w:rsid w:val="5E0A73C4"/>
    <w:rsid w:val="5E223CAF"/>
    <w:rsid w:val="5E60253C"/>
    <w:rsid w:val="5EB75007"/>
    <w:rsid w:val="5F0B2698"/>
    <w:rsid w:val="5F8B45DB"/>
    <w:rsid w:val="5FA64978"/>
    <w:rsid w:val="5FBA7214"/>
    <w:rsid w:val="5FD17F08"/>
    <w:rsid w:val="608254E3"/>
    <w:rsid w:val="60A53FED"/>
    <w:rsid w:val="60D446CD"/>
    <w:rsid w:val="61506FD4"/>
    <w:rsid w:val="61B5737A"/>
    <w:rsid w:val="620500B9"/>
    <w:rsid w:val="62165784"/>
    <w:rsid w:val="62D542BB"/>
    <w:rsid w:val="62EA2ECE"/>
    <w:rsid w:val="634F7C1D"/>
    <w:rsid w:val="647B461C"/>
    <w:rsid w:val="64B12E14"/>
    <w:rsid w:val="653C0EFD"/>
    <w:rsid w:val="6546132A"/>
    <w:rsid w:val="65480D20"/>
    <w:rsid w:val="659E07EA"/>
    <w:rsid w:val="65B47E02"/>
    <w:rsid w:val="65B95C87"/>
    <w:rsid w:val="6682769D"/>
    <w:rsid w:val="66A01E0B"/>
    <w:rsid w:val="66D930BD"/>
    <w:rsid w:val="672A1118"/>
    <w:rsid w:val="6730552B"/>
    <w:rsid w:val="67477B2D"/>
    <w:rsid w:val="6771245A"/>
    <w:rsid w:val="677159CB"/>
    <w:rsid w:val="679848B0"/>
    <w:rsid w:val="67A44D60"/>
    <w:rsid w:val="67B4057E"/>
    <w:rsid w:val="67F7394A"/>
    <w:rsid w:val="681B0D94"/>
    <w:rsid w:val="682E70AF"/>
    <w:rsid w:val="68954943"/>
    <w:rsid w:val="68CC0D23"/>
    <w:rsid w:val="68CF4CDA"/>
    <w:rsid w:val="69334555"/>
    <w:rsid w:val="69337066"/>
    <w:rsid w:val="69346930"/>
    <w:rsid w:val="69736271"/>
    <w:rsid w:val="697E597B"/>
    <w:rsid w:val="698B3C47"/>
    <w:rsid w:val="6A5128C3"/>
    <w:rsid w:val="6A6A1A17"/>
    <w:rsid w:val="6A75661E"/>
    <w:rsid w:val="6A767855"/>
    <w:rsid w:val="6B07745B"/>
    <w:rsid w:val="6B0A712E"/>
    <w:rsid w:val="6B191DF3"/>
    <w:rsid w:val="6B1F3445"/>
    <w:rsid w:val="6B313452"/>
    <w:rsid w:val="6B631D3E"/>
    <w:rsid w:val="6B9320F6"/>
    <w:rsid w:val="6BB6517B"/>
    <w:rsid w:val="6C0642A3"/>
    <w:rsid w:val="6C4E7751"/>
    <w:rsid w:val="6CE1313B"/>
    <w:rsid w:val="6CFA002E"/>
    <w:rsid w:val="6D3B7081"/>
    <w:rsid w:val="6D717746"/>
    <w:rsid w:val="6DBC7AF2"/>
    <w:rsid w:val="6DC1474D"/>
    <w:rsid w:val="6E2140D2"/>
    <w:rsid w:val="6E5C397E"/>
    <w:rsid w:val="6E8868B6"/>
    <w:rsid w:val="6EA130B0"/>
    <w:rsid w:val="6EEF6A79"/>
    <w:rsid w:val="6F7808D9"/>
    <w:rsid w:val="6F7E5DCC"/>
    <w:rsid w:val="6F8160D7"/>
    <w:rsid w:val="6F9A4D03"/>
    <w:rsid w:val="6FAF1B37"/>
    <w:rsid w:val="6FCA63AB"/>
    <w:rsid w:val="6FDA57BD"/>
    <w:rsid w:val="6FED07B9"/>
    <w:rsid w:val="700E6FF2"/>
    <w:rsid w:val="70256ED2"/>
    <w:rsid w:val="70303453"/>
    <w:rsid w:val="705A10A7"/>
    <w:rsid w:val="705D41FC"/>
    <w:rsid w:val="706A7F69"/>
    <w:rsid w:val="70974692"/>
    <w:rsid w:val="709D49A0"/>
    <w:rsid w:val="70A34B5E"/>
    <w:rsid w:val="70B162C9"/>
    <w:rsid w:val="71173079"/>
    <w:rsid w:val="71424877"/>
    <w:rsid w:val="716F2B1B"/>
    <w:rsid w:val="716F6EC8"/>
    <w:rsid w:val="71A92AFB"/>
    <w:rsid w:val="72197AD4"/>
    <w:rsid w:val="721D7834"/>
    <w:rsid w:val="72877F6B"/>
    <w:rsid w:val="72DE793A"/>
    <w:rsid w:val="72F428FB"/>
    <w:rsid w:val="731D40FE"/>
    <w:rsid w:val="735639D7"/>
    <w:rsid w:val="736C1665"/>
    <w:rsid w:val="737A6ED7"/>
    <w:rsid w:val="739F0853"/>
    <w:rsid w:val="73D73CA5"/>
    <w:rsid w:val="741F7B59"/>
    <w:rsid w:val="742C2D4D"/>
    <w:rsid w:val="7455753D"/>
    <w:rsid w:val="748C2FE1"/>
    <w:rsid w:val="74AF057A"/>
    <w:rsid w:val="74C35019"/>
    <w:rsid w:val="75744B58"/>
    <w:rsid w:val="75AB2908"/>
    <w:rsid w:val="75D51FCB"/>
    <w:rsid w:val="75E03CC2"/>
    <w:rsid w:val="7606019E"/>
    <w:rsid w:val="763A3910"/>
    <w:rsid w:val="76445616"/>
    <w:rsid w:val="765A1B20"/>
    <w:rsid w:val="768C028B"/>
    <w:rsid w:val="7708644A"/>
    <w:rsid w:val="77112CFA"/>
    <w:rsid w:val="772F5C52"/>
    <w:rsid w:val="775F5285"/>
    <w:rsid w:val="782906FA"/>
    <w:rsid w:val="78D10C02"/>
    <w:rsid w:val="79040776"/>
    <w:rsid w:val="79364237"/>
    <w:rsid w:val="79812370"/>
    <w:rsid w:val="799117F1"/>
    <w:rsid w:val="79C1539E"/>
    <w:rsid w:val="7A934B9D"/>
    <w:rsid w:val="7AC657EE"/>
    <w:rsid w:val="7B1D4F32"/>
    <w:rsid w:val="7B647F43"/>
    <w:rsid w:val="7BC27AFB"/>
    <w:rsid w:val="7BE366F0"/>
    <w:rsid w:val="7C23250E"/>
    <w:rsid w:val="7C48534D"/>
    <w:rsid w:val="7C656DD7"/>
    <w:rsid w:val="7CBA0C2F"/>
    <w:rsid w:val="7CC67317"/>
    <w:rsid w:val="7CEE441D"/>
    <w:rsid w:val="7D060CB2"/>
    <w:rsid w:val="7D2903FB"/>
    <w:rsid w:val="7D5D10B7"/>
    <w:rsid w:val="7D7E7E33"/>
    <w:rsid w:val="7D8F3A6C"/>
    <w:rsid w:val="7DE16376"/>
    <w:rsid w:val="7DE816D1"/>
    <w:rsid w:val="7E140786"/>
    <w:rsid w:val="7E235B1A"/>
    <w:rsid w:val="7E297C7B"/>
    <w:rsid w:val="7E571597"/>
    <w:rsid w:val="7E681646"/>
    <w:rsid w:val="7E6901F1"/>
    <w:rsid w:val="7EAC4642"/>
    <w:rsid w:val="7EB01B21"/>
    <w:rsid w:val="7EC67FDE"/>
    <w:rsid w:val="7F180EB5"/>
    <w:rsid w:val="7F5D08DB"/>
    <w:rsid w:val="7F6B5DFD"/>
    <w:rsid w:val="7F7F018F"/>
    <w:rsid w:val="7FB74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99"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2"/>
    <w:qFormat/>
    <w:uiPriority w:val="0"/>
    <w:pPr>
      <w:keepNext/>
      <w:keepLines/>
      <w:spacing w:before="340" w:after="330" w:line="576" w:lineRule="auto"/>
      <w:outlineLvl w:val="0"/>
    </w:pPr>
    <w:rPr>
      <w:b/>
      <w:bCs/>
      <w:kern w:val="44"/>
      <w:sz w:val="44"/>
      <w:szCs w:val="44"/>
    </w:rPr>
  </w:style>
  <w:style w:type="paragraph" w:styleId="5">
    <w:name w:val="heading 2"/>
    <w:basedOn w:val="1"/>
    <w:next w:val="1"/>
    <w:qFormat/>
    <w:uiPriority w:val="0"/>
    <w:pPr>
      <w:keepNext/>
      <w:keepLines/>
      <w:adjustRightInd w:val="0"/>
      <w:spacing w:before="100" w:after="100" w:line="600" w:lineRule="exact"/>
      <w:textAlignment w:val="baseline"/>
      <w:outlineLvl w:val="1"/>
    </w:pPr>
    <w:rPr>
      <w:rFonts w:eastAsia="黑体"/>
      <w:kern w:val="0"/>
      <w:sz w:val="32"/>
      <w:szCs w:val="20"/>
    </w:rPr>
  </w:style>
  <w:style w:type="paragraph" w:styleId="6">
    <w:name w:val="heading 3"/>
    <w:basedOn w:val="1"/>
    <w:next w:val="1"/>
    <w:qFormat/>
    <w:uiPriority w:val="9"/>
    <w:pPr>
      <w:keepNext/>
      <w:keepLines/>
      <w:spacing w:before="260" w:after="260" w:line="415" w:lineRule="auto"/>
      <w:outlineLvl w:val="2"/>
    </w:pPr>
    <w:rPr>
      <w:b/>
      <w:bCs/>
      <w:sz w:val="32"/>
      <w:szCs w:val="32"/>
    </w:rPr>
  </w:style>
  <w:style w:type="paragraph" w:styleId="7">
    <w:name w:val="heading 4"/>
    <w:basedOn w:val="1"/>
    <w:next w:val="1"/>
    <w:qFormat/>
    <w:uiPriority w:val="9"/>
    <w:pPr>
      <w:keepNext/>
      <w:keepLines/>
      <w:spacing w:before="280" w:after="290" w:line="374" w:lineRule="auto"/>
      <w:outlineLvl w:val="3"/>
    </w:pPr>
    <w:rPr>
      <w:rFonts w:ascii="Arial" w:hAnsi="Arial" w:eastAsia="黑体"/>
      <w:b/>
      <w:bCs/>
      <w:sz w:val="28"/>
      <w:szCs w:val="28"/>
    </w:rPr>
  </w:style>
  <w:style w:type="paragraph" w:styleId="8">
    <w:name w:val="heading 5"/>
    <w:basedOn w:val="1"/>
    <w:next w:val="1"/>
    <w:qFormat/>
    <w:uiPriority w:val="9"/>
    <w:pPr>
      <w:keepNext/>
      <w:keepLines/>
      <w:adjustRightInd w:val="0"/>
      <w:spacing w:before="280" w:after="290" w:line="376" w:lineRule="atLeast"/>
      <w:textAlignment w:val="baseline"/>
      <w:outlineLvl w:val="4"/>
    </w:pPr>
    <w:rPr>
      <w:b/>
      <w:bCs/>
      <w:kern w:val="0"/>
      <w:sz w:val="28"/>
      <w:szCs w:val="28"/>
    </w:rPr>
  </w:style>
  <w:style w:type="paragraph" w:styleId="9">
    <w:name w:val="heading 6"/>
    <w:basedOn w:val="1"/>
    <w:next w:val="1"/>
    <w:qFormat/>
    <w:uiPriority w:val="0"/>
    <w:pPr>
      <w:keepNext/>
      <w:keepLines/>
      <w:tabs>
        <w:tab w:val="left" w:pos="2160"/>
      </w:tabs>
      <w:adjustRightInd w:val="0"/>
      <w:spacing w:before="240" w:after="64" w:line="320" w:lineRule="atLeast"/>
      <w:textAlignment w:val="baseline"/>
      <w:outlineLvl w:val="5"/>
    </w:pPr>
    <w:rPr>
      <w:rFonts w:ascii="Arial" w:hAnsi="Arial" w:eastAsia="黑体"/>
      <w:b/>
      <w:bCs/>
      <w:kern w:val="0"/>
      <w:sz w:val="24"/>
    </w:rPr>
  </w:style>
  <w:style w:type="paragraph" w:styleId="10">
    <w:name w:val="heading 7"/>
    <w:basedOn w:val="1"/>
    <w:next w:val="1"/>
    <w:qFormat/>
    <w:uiPriority w:val="0"/>
    <w:pPr>
      <w:keepNext/>
      <w:keepLines/>
      <w:tabs>
        <w:tab w:val="left" w:pos="1296"/>
      </w:tabs>
      <w:adjustRightInd w:val="0"/>
      <w:spacing w:before="240" w:after="64" w:line="320" w:lineRule="atLeast"/>
      <w:ind w:left="1296" w:hanging="1296"/>
      <w:textAlignment w:val="baseline"/>
      <w:outlineLvl w:val="6"/>
    </w:pPr>
    <w:rPr>
      <w:b/>
      <w:bCs/>
      <w:kern w:val="0"/>
      <w:sz w:val="24"/>
    </w:rPr>
  </w:style>
  <w:style w:type="paragraph" w:styleId="11">
    <w:name w:val="heading 8"/>
    <w:basedOn w:val="1"/>
    <w:next w:val="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kern w:val="0"/>
      <w:sz w:val="24"/>
    </w:rPr>
  </w:style>
  <w:style w:type="paragraph" w:styleId="12">
    <w:name w:val="heading 9"/>
    <w:basedOn w:val="1"/>
    <w:next w:val="1"/>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kern w:val="0"/>
      <w:szCs w:val="21"/>
    </w:rPr>
  </w:style>
  <w:style w:type="character" w:default="1" w:styleId="36">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2">
    <w:name w:val="Body Text"/>
    <w:basedOn w:val="3"/>
    <w:next w:val="3"/>
    <w:link w:val="111"/>
    <w:unhideWhenUsed/>
    <w:qFormat/>
    <w:uiPriority w:val="0"/>
    <w:pPr>
      <w:spacing w:after="120"/>
    </w:pPr>
    <w:rPr>
      <w:kern w:val="0"/>
    </w:rPr>
  </w:style>
  <w:style w:type="paragraph" w:styleId="3">
    <w:name w:val="Title"/>
    <w:basedOn w:val="1"/>
    <w:next w:val="1"/>
    <w:qFormat/>
    <w:uiPriority w:val="99"/>
    <w:pPr>
      <w:spacing w:before="240" w:after="60"/>
      <w:jc w:val="center"/>
      <w:outlineLvl w:val="0"/>
    </w:pPr>
    <w:rPr>
      <w:rFonts w:ascii="Arial" w:hAnsi="Arial"/>
      <w:b/>
      <w:bCs/>
      <w:sz w:val="32"/>
      <w:szCs w:val="32"/>
    </w:rPr>
  </w:style>
  <w:style w:type="paragraph" w:styleId="13">
    <w:name w:val="toc 7"/>
    <w:basedOn w:val="1"/>
    <w:next w:val="1"/>
    <w:qFormat/>
    <w:uiPriority w:val="0"/>
    <w:pPr>
      <w:ind w:left="2520" w:leftChars="1200"/>
    </w:pPr>
  </w:style>
  <w:style w:type="paragraph" w:styleId="14">
    <w:name w:val="Normal Indent"/>
    <w:basedOn w:val="1"/>
    <w:qFormat/>
    <w:uiPriority w:val="0"/>
    <w:pPr>
      <w:widowControl/>
      <w:spacing w:line="530" w:lineRule="exact"/>
      <w:ind w:firstLine="600"/>
    </w:pPr>
    <w:rPr>
      <w:rFonts w:eastAsia="仿宋_GB2312"/>
      <w:kern w:val="0"/>
      <w:sz w:val="30"/>
      <w:szCs w:val="20"/>
    </w:rPr>
  </w:style>
  <w:style w:type="paragraph" w:styleId="15">
    <w:name w:val="caption"/>
    <w:basedOn w:val="1"/>
    <w:next w:val="1"/>
    <w:unhideWhenUsed/>
    <w:qFormat/>
    <w:uiPriority w:val="0"/>
    <w:pPr>
      <w:spacing w:before="120" w:after="120"/>
      <w:jc w:val="center"/>
    </w:pPr>
    <w:rPr>
      <w:kern w:val="0"/>
      <w:sz w:val="20"/>
      <w:szCs w:val="21"/>
    </w:rPr>
  </w:style>
  <w:style w:type="paragraph" w:styleId="16">
    <w:name w:val="Document Map"/>
    <w:basedOn w:val="1"/>
    <w:qFormat/>
    <w:uiPriority w:val="0"/>
    <w:pPr>
      <w:shd w:val="clear" w:color="auto" w:fill="000080"/>
    </w:pPr>
  </w:style>
  <w:style w:type="paragraph" w:styleId="17">
    <w:name w:val="annotation text"/>
    <w:basedOn w:val="1"/>
    <w:link w:val="41"/>
    <w:qFormat/>
    <w:uiPriority w:val="0"/>
    <w:pPr>
      <w:jc w:val="left"/>
    </w:pPr>
  </w:style>
  <w:style w:type="paragraph" w:styleId="18">
    <w:name w:val="Body Text Indent"/>
    <w:basedOn w:val="1"/>
    <w:qFormat/>
    <w:uiPriority w:val="0"/>
    <w:pPr>
      <w:ind w:left="1080"/>
    </w:pPr>
    <w:rPr>
      <w:rFonts w:ascii="楷体_GB2312" w:eastAsia="楷体_GB2312"/>
      <w:b/>
      <w:kern w:val="15"/>
      <w:sz w:val="30"/>
      <w:szCs w:val="20"/>
    </w:rPr>
  </w:style>
  <w:style w:type="paragraph" w:styleId="19">
    <w:name w:val="toc 5"/>
    <w:basedOn w:val="1"/>
    <w:next w:val="1"/>
    <w:qFormat/>
    <w:uiPriority w:val="0"/>
    <w:pPr>
      <w:ind w:left="1680" w:leftChars="800"/>
    </w:pPr>
  </w:style>
  <w:style w:type="paragraph" w:styleId="20">
    <w:name w:val="toc 3"/>
    <w:basedOn w:val="1"/>
    <w:next w:val="1"/>
    <w:qFormat/>
    <w:uiPriority w:val="0"/>
    <w:pPr>
      <w:ind w:left="840" w:leftChars="400"/>
    </w:pPr>
  </w:style>
  <w:style w:type="paragraph" w:styleId="21">
    <w:name w:val="toc 8"/>
    <w:basedOn w:val="1"/>
    <w:next w:val="1"/>
    <w:qFormat/>
    <w:uiPriority w:val="0"/>
    <w:pPr>
      <w:ind w:left="2940" w:leftChars="1400"/>
    </w:pPr>
  </w:style>
  <w:style w:type="paragraph" w:styleId="22">
    <w:name w:val="Date"/>
    <w:basedOn w:val="1"/>
    <w:next w:val="1"/>
    <w:qFormat/>
    <w:uiPriority w:val="0"/>
    <w:pPr>
      <w:adjustRightInd w:val="0"/>
      <w:spacing w:line="312" w:lineRule="atLeast"/>
      <w:textAlignment w:val="baseline"/>
    </w:pPr>
    <w:rPr>
      <w:rFonts w:ascii="宋体"/>
      <w:kern w:val="0"/>
      <w:sz w:val="28"/>
      <w:szCs w:val="20"/>
    </w:rPr>
  </w:style>
  <w:style w:type="paragraph" w:styleId="23">
    <w:name w:val="Body Text Indent 2"/>
    <w:basedOn w:val="1"/>
    <w:qFormat/>
    <w:uiPriority w:val="0"/>
    <w:pPr>
      <w:adjustRightInd w:val="0"/>
      <w:spacing w:line="480" w:lineRule="atLeast"/>
      <w:ind w:firstLine="600"/>
      <w:textAlignment w:val="baseline"/>
    </w:pPr>
    <w:rPr>
      <w:kern w:val="0"/>
      <w:sz w:val="28"/>
      <w:szCs w:val="20"/>
    </w:rPr>
  </w:style>
  <w:style w:type="paragraph" w:styleId="24">
    <w:name w:val="Balloon Text"/>
    <w:basedOn w:val="1"/>
    <w:qFormat/>
    <w:uiPriority w:val="0"/>
    <w:rPr>
      <w:sz w:val="18"/>
      <w:szCs w:val="18"/>
    </w:rPr>
  </w:style>
  <w:style w:type="paragraph" w:styleId="25">
    <w:name w:val="footer"/>
    <w:basedOn w:val="1"/>
    <w:qFormat/>
    <w:uiPriority w:val="0"/>
    <w:pPr>
      <w:tabs>
        <w:tab w:val="center" w:pos="4153"/>
        <w:tab w:val="right" w:pos="8306"/>
      </w:tabs>
      <w:snapToGrid w:val="0"/>
      <w:ind w:right="210" w:rightChars="100"/>
      <w:jc w:val="right"/>
    </w:pPr>
    <w:rPr>
      <w:sz w:val="18"/>
      <w:szCs w:val="18"/>
    </w:rPr>
  </w:style>
  <w:style w:type="paragraph" w:styleId="2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8296"/>
      </w:tabs>
    </w:pPr>
  </w:style>
  <w:style w:type="paragraph" w:styleId="28">
    <w:name w:val="toc 4"/>
    <w:basedOn w:val="1"/>
    <w:next w:val="1"/>
    <w:qFormat/>
    <w:uiPriority w:val="0"/>
    <w:pPr>
      <w:ind w:left="1260" w:leftChars="600"/>
    </w:pPr>
  </w:style>
  <w:style w:type="paragraph" w:styleId="29">
    <w:name w:val="toc 6"/>
    <w:basedOn w:val="1"/>
    <w:next w:val="1"/>
    <w:qFormat/>
    <w:uiPriority w:val="0"/>
    <w:pPr>
      <w:ind w:left="2100" w:leftChars="1000"/>
    </w:pPr>
  </w:style>
  <w:style w:type="paragraph" w:styleId="30">
    <w:name w:val="Body Text Indent 3"/>
    <w:basedOn w:val="1"/>
    <w:qFormat/>
    <w:uiPriority w:val="0"/>
    <w:pPr>
      <w:spacing w:line="360" w:lineRule="auto"/>
      <w:ind w:firstLine="480"/>
    </w:pPr>
    <w:rPr>
      <w:sz w:val="24"/>
    </w:rPr>
  </w:style>
  <w:style w:type="paragraph" w:styleId="31">
    <w:name w:val="toc 2"/>
    <w:basedOn w:val="1"/>
    <w:next w:val="1"/>
    <w:qFormat/>
    <w:uiPriority w:val="0"/>
    <w:pPr>
      <w:ind w:left="420" w:leftChars="200"/>
    </w:pPr>
  </w:style>
  <w:style w:type="paragraph" w:styleId="32">
    <w:name w:val="toc 9"/>
    <w:basedOn w:val="1"/>
    <w:next w:val="1"/>
    <w:qFormat/>
    <w:uiPriority w:val="0"/>
    <w:pPr>
      <w:ind w:left="3360" w:leftChars="1600"/>
    </w:pPr>
  </w:style>
  <w:style w:type="paragraph" w:styleId="33">
    <w:name w:val="annotation subject"/>
    <w:basedOn w:val="17"/>
    <w:next w:val="17"/>
    <w:qFormat/>
    <w:uiPriority w:val="0"/>
    <w:rPr>
      <w:b/>
      <w:bCs/>
    </w:rPr>
  </w:style>
  <w:style w:type="paragraph" w:styleId="34">
    <w:name w:val="Body Text First Indent"/>
    <w:basedOn w:val="2"/>
    <w:qFormat/>
    <w:uiPriority w:val="0"/>
    <w:pPr>
      <w:ind w:firstLine="420" w:firstLineChars="100"/>
    </w:pPr>
  </w:style>
  <w:style w:type="character" w:styleId="37">
    <w:name w:val="page number"/>
    <w:basedOn w:val="36"/>
    <w:qFormat/>
    <w:uiPriority w:val="0"/>
    <w:rPr>
      <w:rFonts w:ascii="Times New Roman" w:hAnsi="Times New Roman" w:eastAsia="宋体"/>
      <w:sz w:val="18"/>
    </w:rPr>
  </w:style>
  <w:style w:type="character" w:styleId="38">
    <w:name w:val="FollowedHyperlink"/>
    <w:qFormat/>
    <w:uiPriority w:val="0"/>
    <w:rPr>
      <w:color w:val="800080"/>
      <w:u w:val="single"/>
    </w:rPr>
  </w:style>
  <w:style w:type="character" w:styleId="39">
    <w:name w:val="Hyperlink"/>
    <w:qFormat/>
    <w:uiPriority w:val="99"/>
    <w:rPr>
      <w:rFonts w:hint="default" w:ascii="Arial" w:hAnsi="Arial" w:cs="Arial"/>
      <w:color w:val="0000AA"/>
      <w:u w:val="single"/>
    </w:rPr>
  </w:style>
  <w:style w:type="character" w:styleId="40">
    <w:name w:val="annotation reference"/>
    <w:qFormat/>
    <w:uiPriority w:val="0"/>
    <w:rPr>
      <w:sz w:val="21"/>
      <w:szCs w:val="21"/>
    </w:rPr>
  </w:style>
  <w:style w:type="character" w:customStyle="1" w:styleId="41">
    <w:name w:val="批注文字 字符"/>
    <w:link w:val="17"/>
    <w:qFormat/>
    <w:uiPriority w:val="0"/>
    <w:rPr>
      <w:rFonts w:eastAsia="宋体"/>
      <w:kern w:val="2"/>
      <w:sz w:val="21"/>
      <w:szCs w:val="24"/>
      <w:lang w:val="en-US" w:eastAsia="zh-CN" w:bidi="ar-SA"/>
    </w:rPr>
  </w:style>
  <w:style w:type="character" w:customStyle="1" w:styleId="42">
    <w:name w:val="标题 1 字符"/>
    <w:link w:val="4"/>
    <w:qFormat/>
    <w:uiPriority w:val="0"/>
    <w:rPr>
      <w:b/>
      <w:bCs/>
      <w:kern w:val="44"/>
      <w:sz w:val="44"/>
      <w:szCs w:val="44"/>
    </w:rPr>
  </w:style>
  <w:style w:type="character" w:customStyle="1" w:styleId="43">
    <w:name w:val="正文(编号) Char Char"/>
    <w:link w:val="44"/>
    <w:qFormat/>
    <w:uiPriority w:val="0"/>
    <w:rPr>
      <w:kern w:val="2"/>
      <w:sz w:val="21"/>
      <w:szCs w:val="22"/>
    </w:rPr>
  </w:style>
  <w:style w:type="paragraph" w:customStyle="1" w:styleId="44">
    <w:name w:val="正文(编号)"/>
    <w:basedOn w:val="1"/>
    <w:link w:val="43"/>
    <w:qFormat/>
    <w:uiPriority w:val="0"/>
    <w:pPr>
      <w:widowControl/>
      <w:numPr>
        <w:ilvl w:val="0"/>
        <w:numId w:val="1"/>
      </w:numPr>
      <w:jc w:val="left"/>
      <w:outlineLvl w:val="5"/>
    </w:pPr>
    <w:rPr>
      <w:szCs w:val="22"/>
    </w:rPr>
  </w:style>
  <w:style w:type="paragraph" w:customStyle="1" w:styleId="45">
    <w:name w:val="Char Char Char Char Char Char"/>
    <w:basedOn w:val="1"/>
    <w:qFormat/>
    <w:uiPriority w:val="0"/>
    <w:pPr>
      <w:spacing w:line="360" w:lineRule="auto"/>
    </w:pPr>
    <w:rPr>
      <w:rFonts w:ascii="Tahoma" w:hAnsi="Tahoma"/>
      <w:sz w:val="24"/>
      <w:szCs w:val="20"/>
    </w:rPr>
  </w:style>
  <w:style w:type="paragraph" w:customStyle="1" w:styleId="46">
    <w:name w:val="列表段落1"/>
    <w:basedOn w:val="1"/>
    <w:qFormat/>
    <w:uiPriority w:val="99"/>
    <w:pPr>
      <w:ind w:firstLine="420" w:firstLineChars="200"/>
    </w:pPr>
  </w:style>
  <w:style w:type="paragraph" w:customStyle="1" w:styleId="4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8">
    <w:name w:val="一级条标题"/>
    <w:next w:val="49"/>
    <w:qFormat/>
    <w:uiPriority w:val="0"/>
    <w:pPr>
      <w:spacing w:beforeLines="50" w:afterLines="50"/>
      <w:outlineLvl w:val="2"/>
    </w:pPr>
    <w:rPr>
      <w:rFonts w:ascii="黑体" w:hAnsi="Times New Roman" w:eastAsia="黑体" w:cs="Times New Roman"/>
      <w:sz w:val="21"/>
      <w:szCs w:val="21"/>
      <w:lang w:val="en-US" w:eastAsia="zh-CN" w:bidi="ar-SA"/>
    </w:rPr>
  </w:style>
  <w:style w:type="paragraph" w:customStyle="1" w:styleId="49">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0">
    <w:name w:val="实施日期"/>
    <w:basedOn w:val="51"/>
    <w:qFormat/>
    <w:uiPriority w:val="0"/>
    <w:pPr>
      <w:jc w:val="right"/>
    </w:pPr>
  </w:style>
  <w:style w:type="paragraph" w:customStyle="1" w:styleId="51">
    <w:name w:val="发布日期"/>
    <w:qFormat/>
    <w:uiPriority w:val="0"/>
    <w:rPr>
      <w:rFonts w:ascii="Times New Roman" w:hAnsi="Times New Roman" w:eastAsia="黑体" w:cs="Times New Roman"/>
      <w:sz w:val="28"/>
      <w:lang w:val="en-US" w:eastAsia="zh-CN" w:bidi="ar-SA"/>
    </w:rPr>
  </w:style>
  <w:style w:type="paragraph" w:customStyle="1" w:styleId="52">
    <w:name w:val="四级条标题"/>
    <w:basedOn w:val="1"/>
    <w:next w:val="49"/>
    <w:qFormat/>
    <w:uiPriority w:val="0"/>
    <w:pPr>
      <w:widowControl/>
      <w:numPr>
        <w:ilvl w:val="5"/>
        <w:numId w:val="2"/>
      </w:numPr>
      <w:spacing w:beforeLines="50" w:afterLines="50"/>
      <w:jc w:val="left"/>
      <w:outlineLvl w:val="5"/>
    </w:pPr>
    <w:rPr>
      <w:rFonts w:ascii="黑体" w:eastAsia="黑体"/>
      <w:kern w:val="0"/>
      <w:szCs w:val="21"/>
    </w:rPr>
  </w:style>
  <w:style w:type="paragraph" w:customStyle="1" w:styleId="5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54">
    <w:name w:val="章标题"/>
    <w:next w:val="49"/>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55">
    <w:name w:val="Char"/>
    <w:basedOn w:val="1"/>
    <w:qFormat/>
    <w:uiPriority w:val="0"/>
    <w:pPr>
      <w:spacing w:line="360" w:lineRule="auto"/>
    </w:pPr>
    <w:rPr>
      <w:rFonts w:ascii="Tahoma" w:hAnsi="Tahoma"/>
      <w:sz w:val="24"/>
      <w:szCs w:val="20"/>
    </w:rPr>
  </w:style>
  <w:style w:type="paragraph" w:customStyle="1" w:styleId="56">
    <w:name w:val="Char Char Char Char Char Char Char Char Char Char"/>
    <w:basedOn w:val="1"/>
    <w:qFormat/>
    <w:uiPriority w:val="0"/>
    <w:pPr>
      <w:spacing w:line="360" w:lineRule="auto"/>
    </w:pPr>
    <w:rPr>
      <w:rFonts w:ascii="Tahoma" w:hAnsi="Tahoma"/>
      <w:sz w:val="24"/>
      <w:szCs w:val="20"/>
    </w:r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工程建设节标题"/>
    <w:basedOn w:val="59"/>
    <w:next w:val="49"/>
    <w:qFormat/>
    <w:uiPriority w:val="0"/>
    <w:pPr>
      <w:numPr>
        <w:ilvl w:val="2"/>
      </w:numPr>
      <w:spacing w:before="400" w:after="400" w:line="240" w:lineRule="auto"/>
      <w:outlineLvl w:val="2"/>
    </w:pPr>
    <w:rPr>
      <w:sz w:val="21"/>
    </w:rPr>
  </w:style>
  <w:style w:type="paragraph" w:customStyle="1" w:styleId="59">
    <w:name w:val="工程建设章标题"/>
    <w:next w:val="49"/>
    <w:qFormat/>
    <w:uiPriority w:val="0"/>
    <w:pPr>
      <w:numPr>
        <w:ilvl w:val="1"/>
        <w:numId w:val="3"/>
      </w:numPr>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60">
    <w:name w:val="附录表标题"/>
    <w:basedOn w:val="1"/>
    <w:next w:val="1"/>
    <w:qFormat/>
    <w:uiPriority w:val="0"/>
    <w:pPr>
      <w:widowControl/>
      <w:numPr>
        <w:ilvl w:val="0"/>
        <w:numId w:val="4"/>
      </w:numPr>
      <w:tabs>
        <w:tab w:val="left" w:pos="210"/>
        <w:tab w:val="left" w:pos="420"/>
        <w:tab w:val="clear" w:pos="360"/>
      </w:tabs>
      <w:jc w:val="center"/>
      <w:textAlignment w:val="baseline"/>
    </w:pPr>
    <w:rPr>
      <w:rFonts w:ascii="宋体"/>
      <w:b/>
      <w:kern w:val="21"/>
      <w:szCs w:val="20"/>
    </w:rPr>
  </w:style>
  <w:style w:type="paragraph" w:customStyle="1" w:styleId="61">
    <w:name w:val="工程建设表标题"/>
    <w:basedOn w:val="62"/>
    <w:qFormat/>
    <w:uiPriority w:val="0"/>
    <w:pPr>
      <w:numPr>
        <w:ilvl w:val="4"/>
        <w:numId w:val="3"/>
      </w:numPr>
      <w:tabs>
        <w:tab w:val="left" w:pos="284"/>
      </w:tabs>
      <w:jc w:val="center"/>
      <w:outlineLvl w:val="4"/>
    </w:pPr>
  </w:style>
  <w:style w:type="paragraph" w:customStyle="1" w:styleId="62">
    <w:name w:val="工程建设条标题"/>
    <w:basedOn w:val="58"/>
    <w:next w:val="49"/>
    <w:qFormat/>
    <w:uiPriority w:val="0"/>
    <w:pPr>
      <w:numPr>
        <w:ilvl w:val="3"/>
        <w:numId w:val="5"/>
      </w:numPr>
      <w:tabs>
        <w:tab w:val="left" w:pos="284"/>
      </w:tabs>
      <w:spacing w:before="0" w:after="0" w:line="360" w:lineRule="auto"/>
      <w:jc w:val="left"/>
      <w:outlineLvl w:val="3"/>
    </w:pPr>
    <w:rPr>
      <w:b w:val="0"/>
    </w:rPr>
  </w:style>
  <w:style w:type="paragraph" w:customStyle="1" w:styleId="6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64">
    <w:name w:val="工程建设款标题"/>
    <w:basedOn w:val="62"/>
    <w:qFormat/>
    <w:uiPriority w:val="0"/>
    <w:pPr>
      <w:numPr>
        <w:ilvl w:val="7"/>
        <w:numId w:val="3"/>
      </w:numPr>
      <w:tabs>
        <w:tab w:val="clear" w:pos="284"/>
      </w:tabs>
      <w:outlineLvl w:val="9"/>
    </w:pPr>
  </w:style>
  <w:style w:type="paragraph" w:customStyle="1" w:styleId="6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66">
    <w:name w:val="正文格式"/>
    <w:basedOn w:val="1"/>
    <w:qFormat/>
    <w:uiPriority w:val="0"/>
    <w:pPr>
      <w:topLinePunct/>
      <w:ind w:firstLine="420" w:firstLineChars="200"/>
    </w:pPr>
    <w:rPr>
      <w:rFonts w:ascii="宋体" w:hAnsi="宋体"/>
      <w:bCs/>
      <w:szCs w:val="21"/>
    </w:rPr>
  </w:style>
  <w:style w:type="paragraph" w:customStyle="1" w:styleId="67">
    <w:name w:val="封面正文"/>
    <w:qFormat/>
    <w:uiPriority w:val="0"/>
    <w:pPr>
      <w:jc w:val="both"/>
    </w:pPr>
    <w:rPr>
      <w:rFonts w:ascii="Times New Roman" w:hAnsi="Times New Roman" w:eastAsia="宋体" w:cs="Times New Roman"/>
      <w:lang w:val="en-US" w:eastAsia="zh-CN" w:bidi="ar-SA"/>
    </w:rPr>
  </w:style>
  <w:style w:type="paragraph" w:customStyle="1" w:styleId="6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69">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0">
    <w:name w:val="Char Char Char Char Char Char Char"/>
    <w:basedOn w:val="1"/>
    <w:qFormat/>
    <w:uiPriority w:val="0"/>
    <w:pPr>
      <w:spacing w:line="360" w:lineRule="auto"/>
    </w:pPr>
    <w:rPr>
      <w:rFonts w:ascii="Tahoma" w:hAnsi="Tahoma"/>
      <w:sz w:val="24"/>
      <w:szCs w:val="20"/>
    </w:rPr>
  </w:style>
  <w:style w:type="paragraph" w:customStyle="1" w:styleId="71">
    <w:name w:val="Char1 Char Char Char Char Char Char Char Char Char Char Char Char"/>
    <w:basedOn w:val="1"/>
    <w:qFormat/>
    <w:uiPriority w:val="0"/>
    <w:pPr>
      <w:pageBreakBefore/>
      <w:tabs>
        <w:tab w:val="left" w:pos="432"/>
      </w:tabs>
      <w:ind w:left="432" w:hanging="432"/>
    </w:pPr>
    <w:rPr>
      <w:rFonts w:ascii="Tahoma" w:hAnsi="Tahoma"/>
      <w:sz w:val="24"/>
      <w:szCs w:val="20"/>
    </w:rPr>
  </w:style>
  <w:style w:type="paragraph" w:customStyle="1" w:styleId="72">
    <w:name w:val="工程建设图标题"/>
    <w:basedOn w:val="62"/>
    <w:qFormat/>
    <w:uiPriority w:val="0"/>
    <w:pPr>
      <w:numPr>
        <w:ilvl w:val="5"/>
        <w:numId w:val="3"/>
      </w:numPr>
      <w:jc w:val="center"/>
      <w:outlineLvl w:val="5"/>
    </w:pPr>
  </w:style>
  <w:style w:type="paragraph" w:customStyle="1" w:styleId="73">
    <w:name w:val="三级条标题"/>
    <w:basedOn w:val="74"/>
    <w:next w:val="49"/>
    <w:qFormat/>
    <w:uiPriority w:val="0"/>
    <w:pPr>
      <w:numPr>
        <w:ilvl w:val="4"/>
      </w:numPr>
      <w:tabs>
        <w:tab w:val="left" w:pos="2162"/>
      </w:tabs>
      <w:outlineLvl w:val="4"/>
    </w:pPr>
  </w:style>
  <w:style w:type="paragraph" w:customStyle="1" w:styleId="74">
    <w:name w:val="二级条标题"/>
    <w:basedOn w:val="48"/>
    <w:next w:val="49"/>
    <w:qFormat/>
    <w:uiPriority w:val="0"/>
    <w:pPr>
      <w:numPr>
        <w:ilvl w:val="3"/>
        <w:numId w:val="2"/>
      </w:numPr>
      <w:spacing w:beforeLines="0" w:afterLines="0"/>
      <w:outlineLvl w:val="3"/>
    </w:pPr>
  </w:style>
  <w:style w:type="paragraph" w:customStyle="1" w:styleId="7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7">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78">
    <w:name w:val="标准书眉一"/>
    <w:qFormat/>
    <w:uiPriority w:val="0"/>
    <w:pPr>
      <w:jc w:val="both"/>
    </w:pPr>
    <w:rPr>
      <w:rFonts w:ascii="Times New Roman" w:hAnsi="Times New Roman" w:eastAsia="宋体" w:cs="Times New Roman"/>
      <w:lang w:val="en-US" w:eastAsia="zh-CN" w:bidi="ar-SA"/>
    </w:rPr>
  </w:style>
  <w:style w:type="paragraph" w:customStyle="1" w:styleId="79">
    <w:name w:val="工程建设公式标题"/>
    <w:basedOn w:val="62"/>
    <w:qFormat/>
    <w:uiPriority w:val="0"/>
    <w:pPr>
      <w:numPr>
        <w:ilvl w:val="6"/>
        <w:numId w:val="3"/>
      </w:numPr>
      <w:jc w:val="center"/>
      <w:outlineLvl w:val="6"/>
    </w:pPr>
  </w:style>
  <w:style w:type="paragraph" w:customStyle="1" w:styleId="80">
    <w:name w:val="正文(编号)小项"/>
    <w:basedOn w:val="1"/>
    <w:semiHidden/>
    <w:qFormat/>
    <w:uiPriority w:val="0"/>
    <w:pPr>
      <w:widowControl/>
      <w:numPr>
        <w:ilvl w:val="0"/>
        <w:numId w:val="6"/>
      </w:numPr>
      <w:jc w:val="left"/>
      <w:outlineLvl w:val="6"/>
    </w:pPr>
    <w:rPr>
      <w:szCs w:val="22"/>
    </w:rPr>
  </w:style>
  <w:style w:type="paragraph" w:customStyle="1" w:styleId="81">
    <w:name w:val="标准书眉_偶数页"/>
    <w:basedOn w:val="53"/>
    <w:next w:val="1"/>
    <w:qFormat/>
    <w:uiPriority w:val="0"/>
    <w:pPr>
      <w:jc w:val="left"/>
    </w:pPr>
  </w:style>
  <w:style w:type="paragraph" w:customStyle="1" w:styleId="8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83">
    <w:name w:val="C"/>
    <w:basedOn w:val="1"/>
    <w:qFormat/>
    <w:uiPriority w:val="0"/>
    <w:pPr>
      <w:tabs>
        <w:tab w:val="left" w:pos="5600"/>
      </w:tabs>
      <w:adjustRightInd w:val="0"/>
      <w:spacing w:line="480" w:lineRule="atLeast"/>
      <w:textAlignment w:val="baseline"/>
    </w:pPr>
    <w:rPr>
      <w:spacing w:val="4"/>
      <w:kern w:val="0"/>
      <w:sz w:val="28"/>
      <w:szCs w:val="20"/>
    </w:rPr>
  </w:style>
  <w:style w:type="paragraph" w:customStyle="1" w:styleId="84">
    <w:name w:val="工程建设无节条标题"/>
    <w:basedOn w:val="1"/>
    <w:next w:val="49"/>
    <w:qFormat/>
    <w:uiPriority w:val="0"/>
    <w:pPr>
      <w:numPr>
        <w:ilvl w:val="8"/>
        <w:numId w:val="3"/>
      </w:numPr>
      <w:outlineLvl w:val="3"/>
    </w:pPr>
  </w:style>
  <w:style w:type="paragraph" w:customStyle="1" w:styleId="85">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8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7">
    <w:name w:val="Char Char Char1 Char Char Char Char"/>
    <w:basedOn w:val="1"/>
    <w:semiHidden/>
    <w:qFormat/>
    <w:uiPriority w:val="0"/>
    <w:pPr>
      <w:topLinePunct/>
    </w:pPr>
  </w:style>
  <w:style w:type="paragraph" w:customStyle="1" w:styleId="88">
    <w:name w:val="xl24"/>
    <w:basedOn w:val="1"/>
    <w:qFormat/>
    <w:uiPriority w:val="0"/>
    <w:pPr>
      <w:widowControl/>
      <w:pBdr>
        <w:bottom w:val="single" w:color="auto" w:sz="4" w:space="0"/>
        <w:right w:val="single" w:color="auto" w:sz="4" w:space="0"/>
      </w:pBdr>
      <w:spacing w:before="100" w:beforeAutospacing="1" w:after="100" w:afterAutospacing="1"/>
    </w:pPr>
    <w:rPr>
      <w:rFonts w:eastAsia="Arial Unicode MS"/>
      <w:kern w:val="0"/>
      <w:szCs w:val="21"/>
    </w:rPr>
  </w:style>
  <w:style w:type="paragraph" w:customStyle="1" w:styleId="8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0">
    <w:name w:val="PARAGRAPH"/>
    <w:qFormat/>
    <w:uiPriority w:val="99"/>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91">
    <w:name w:val="样式 (中文) 黑体 二号 行距: 1.5 倍行距"/>
    <w:basedOn w:val="1"/>
    <w:qFormat/>
    <w:uiPriority w:val="0"/>
    <w:pPr>
      <w:spacing w:line="360" w:lineRule="auto"/>
    </w:pPr>
    <w:rPr>
      <w:sz w:val="44"/>
      <w:szCs w:val="20"/>
    </w:rPr>
  </w:style>
  <w:style w:type="paragraph" w:customStyle="1" w:styleId="92">
    <w:name w:val="默认段落字体 Para Char Char Char Char"/>
    <w:basedOn w:val="1"/>
    <w:qFormat/>
    <w:uiPriority w:val="0"/>
  </w:style>
  <w:style w:type="paragraph" w:customStyle="1" w:styleId="93">
    <w:name w:val="正文表标题"/>
    <w:next w:val="49"/>
    <w:qFormat/>
    <w:uiPriority w:val="0"/>
    <w:pPr>
      <w:numPr>
        <w:ilvl w:val="0"/>
        <w:numId w:val="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94">
    <w:name w:val="样式 正文首行缩进 + 段前: 0.5 行 段后: 0.5 行"/>
    <w:basedOn w:val="34"/>
    <w:qFormat/>
    <w:uiPriority w:val="0"/>
    <w:pPr>
      <w:spacing w:before="156" w:after="156"/>
      <w:ind w:firstLine="0" w:firstLineChars="0"/>
    </w:pPr>
    <w:rPr>
      <w:szCs w:val="20"/>
    </w:rPr>
  </w:style>
  <w:style w:type="paragraph" w:customStyle="1" w:styleId="95">
    <w:name w:val="_Style 34"/>
    <w:basedOn w:val="1"/>
    <w:qFormat/>
    <w:uiPriority w:val="34"/>
    <w:pPr>
      <w:ind w:firstLine="420"/>
    </w:pPr>
    <w:rPr>
      <w:rFonts w:ascii="Calibri" w:hAnsi="Calibri"/>
      <w:szCs w:val="21"/>
    </w:rPr>
  </w:style>
  <w:style w:type="paragraph" w:customStyle="1" w:styleId="96">
    <w:name w:val="正文-一体化"/>
    <w:basedOn w:val="1"/>
    <w:qFormat/>
    <w:uiPriority w:val="0"/>
    <w:pPr>
      <w:adjustRightInd w:val="0"/>
      <w:snapToGrid w:val="0"/>
      <w:spacing w:line="360" w:lineRule="auto"/>
      <w:ind w:firstLine="480"/>
    </w:pPr>
    <w:rPr>
      <w:kern w:val="0"/>
    </w:rPr>
  </w:style>
  <w:style w:type="paragraph" w:customStyle="1" w:styleId="97">
    <w:name w:val="List Paragraph"/>
    <w:basedOn w:val="1"/>
    <w:qFormat/>
    <w:uiPriority w:val="99"/>
    <w:pPr>
      <w:ind w:firstLine="420" w:firstLineChars="200"/>
    </w:pPr>
  </w:style>
  <w:style w:type="character" w:customStyle="1" w:styleId="98">
    <w:name w:val="yq正文 Char"/>
    <w:link w:val="99"/>
    <w:qFormat/>
    <w:uiPriority w:val="0"/>
    <w:rPr>
      <w:kern w:val="2"/>
      <w:sz w:val="21"/>
      <w:szCs w:val="22"/>
    </w:rPr>
  </w:style>
  <w:style w:type="paragraph" w:customStyle="1" w:styleId="99">
    <w:name w:val="yq正文"/>
    <w:basedOn w:val="1"/>
    <w:link w:val="98"/>
    <w:qFormat/>
    <w:uiPriority w:val="0"/>
    <w:pPr>
      <w:spacing w:line="360" w:lineRule="auto"/>
      <w:ind w:firstLine="196" w:firstLineChars="196"/>
    </w:pPr>
    <w:rPr>
      <w:szCs w:val="22"/>
    </w:rPr>
  </w:style>
  <w:style w:type="character" w:customStyle="1" w:styleId="100">
    <w:name w:val="yq标题2 Char"/>
    <w:link w:val="101"/>
    <w:qFormat/>
    <w:uiPriority w:val="0"/>
    <w:rPr>
      <w:rFonts w:ascii="Cambria" w:hAnsi="Cambria"/>
      <w:bCs/>
      <w:kern w:val="2"/>
      <w:sz w:val="21"/>
      <w:szCs w:val="21"/>
    </w:rPr>
  </w:style>
  <w:style w:type="paragraph" w:customStyle="1" w:styleId="101">
    <w:name w:val="yq标题2"/>
    <w:basedOn w:val="5"/>
    <w:link w:val="100"/>
    <w:qFormat/>
    <w:uiPriority w:val="0"/>
    <w:pPr>
      <w:widowControl/>
      <w:numPr>
        <w:ilvl w:val="1"/>
        <w:numId w:val="8"/>
      </w:numPr>
      <w:adjustRightInd/>
      <w:spacing w:before="0" w:after="0" w:line="360" w:lineRule="auto"/>
      <w:textAlignment w:val="auto"/>
    </w:pPr>
    <w:rPr>
      <w:rFonts w:ascii="Cambria" w:hAnsi="Cambria" w:eastAsia="宋体"/>
      <w:bCs/>
      <w:kern w:val="2"/>
      <w:sz w:val="21"/>
      <w:szCs w:val="21"/>
    </w:rPr>
  </w:style>
  <w:style w:type="paragraph" w:customStyle="1" w:styleId="102">
    <w:name w:val="yq标题3"/>
    <w:basedOn w:val="101"/>
    <w:link w:val="108"/>
    <w:qFormat/>
    <w:uiPriority w:val="0"/>
    <w:pPr>
      <w:numPr>
        <w:ilvl w:val="2"/>
      </w:numPr>
      <w:tabs>
        <w:tab w:val="left" w:pos="360"/>
        <w:tab w:val="left" w:pos="1605"/>
      </w:tabs>
      <w:ind w:left="1605" w:hanging="450"/>
      <w:outlineLvl w:val="2"/>
    </w:pPr>
  </w:style>
  <w:style w:type="paragraph" w:customStyle="1" w:styleId="103">
    <w:name w:val="yq标题1"/>
    <w:basedOn w:val="4"/>
    <w:qFormat/>
    <w:uiPriority w:val="0"/>
    <w:pPr>
      <w:widowControl/>
      <w:numPr>
        <w:ilvl w:val="0"/>
        <w:numId w:val="8"/>
      </w:numPr>
      <w:tabs>
        <w:tab w:val="left" w:pos="360"/>
      </w:tabs>
      <w:spacing w:before="0" w:after="0" w:line="360" w:lineRule="auto"/>
      <w:ind w:left="425" w:firstLine="200"/>
      <w:jc w:val="left"/>
    </w:pPr>
    <w:rPr>
      <w:rFonts w:ascii="黑体" w:hAnsi="黑体" w:eastAsia="黑体"/>
      <w:sz w:val="24"/>
      <w:szCs w:val="24"/>
    </w:rPr>
  </w:style>
  <w:style w:type="character" w:customStyle="1" w:styleId="104">
    <w:name w:val="!s_正文 Char"/>
    <w:link w:val="105"/>
    <w:qFormat/>
    <w:uiPriority w:val="0"/>
    <w:rPr>
      <w:kern w:val="2"/>
      <w:sz w:val="21"/>
      <w:szCs w:val="28"/>
    </w:rPr>
  </w:style>
  <w:style w:type="paragraph" w:customStyle="1" w:styleId="105">
    <w:name w:val="!s_正文"/>
    <w:basedOn w:val="1"/>
    <w:link w:val="104"/>
    <w:qFormat/>
    <w:uiPriority w:val="0"/>
    <w:pPr>
      <w:widowControl/>
      <w:spacing w:line="480" w:lineRule="exact"/>
      <w:ind w:firstLine="200" w:firstLineChars="200"/>
      <w:jc w:val="left"/>
    </w:pPr>
    <w:rPr>
      <w:szCs w:val="28"/>
    </w:rPr>
  </w:style>
  <w:style w:type="character" w:customStyle="1" w:styleId="106">
    <w:name w:val="二级标题 Char"/>
    <w:link w:val="107"/>
    <w:qFormat/>
    <w:uiPriority w:val="0"/>
    <w:rPr>
      <w:rFonts w:eastAsia="黑体"/>
      <w:color w:val="000000"/>
      <w:kern w:val="21"/>
    </w:rPr>
  </w:style>
  <w:style w:type="paragraph" w:customStyle="1" w:styleId="107">
    <w:name w:val="二级标题"/>
    <w:basedOn w:val="1"/>
    <w:link w:val="106"/>
    <w:qFormat/>
    <w:uiPriority w:val="0"/>
    <w:pPr>
      <w:widowControl/>
      <w:wordWrap w:val="0"/>
      <w:overflowPunct w:val="0"/>
      <w:autoSpaceDE w:val="0"/>
      <w:spacing w:afterLines="50" w:line="360" w:lineRule="auto"/>
      <w:contextualSpacing/>
      <w:jc w:val="left"/>
      <w:textAlignment w:val="baseline"/>
      <w:outlineLvl w:val="1"/>
    </w:pPr>
    <w:rPr>
      <w:rFonts w:eastAsia="黑体"/>
      <w:color w:val="000000"/>
      <w:kern w:val="21"/>
      <w:sz w:val="20"/>
      <w:szCs w:val="20"/>
    </w:rPr>
  </w:style>
  <w:style w:type="character" w:customStyle="1" w:styleId="108">
    <w:name w:val="yq标题3 Char"/>
    <w:link w:val="102"/>
    <w:qFormat/>
    <w:uiPriority w:val="0"/>
    <w:rPr>
      <w:rFonts w:ascii="Cambria" w:hAnsi="Cambria"/>
      <w:bCs/>
      <w:kern w:val="2"/>
      <w:sz w:val="21"/>
      <w:szCs w:val="21"/>
    </w:rPr>
  </w:style>
  <w:style w:type="paragraph" w:customStyle="1" w:styleId="109">
    <w:name w:val="yq4"/>
    <w:basedOn w:val="1"/>
    <w:qFormat/>
    <w:uiPriority w:val="0"/>
    <w:pPr>
      <w:keepNext/>
      <w:keepLines/>
      <w:widowControl/>
      <w:spacing w:line="360" w:lineRule="auto"/>
      <w:ind w:left="1984" w:hanging="1530"/>
      <w:outlineLvl w:val="3"/>
    </w:pPr>
    <w:rPr>
      <w:rFonts w:ascii="Cambria" w:hAnsi="Cambria"/>
      <w:bCs/>
      <w:szCs w:val="21"/>
    </w:rPr>
  </w:style>
  <w:style w:type="paragraph" w:customStyle="1" w:styleId="110">
    <w:name w:val="yq5"/>
    <w:basedOn w:val="109"/>
    <w:qFormat/>
    <w:uiPriority w:val="0"/>
    <w:pPr>
      <w:ind w:left="2551" w:hanging="850"/>
      <w:outlineLvl w:val="4"/>
    </w:pPr>
  </w:style>
  <w:style w:type="character" w:customStyle="1" w:styleId="111">
    <w:name w:val="正文文本 字符"/>
    <w:basedOn w:val="36"/>
    <w:link w:val="2"/>
    <w:qFormat/>
    <w:uiPriority w:val="0"/>
    <w:rPr>
      <w:sz w:val="21"/>
      <w:szCs w:val="24"/>
    </w:rPr>
  </w:style>
  <w:style w:type="paragraph" w:customStyle="1" w:styleId="112">
    <w:name w:val="_Style 5"/>
    <w:basedOn w:val="1"/>
    <w:qFormat/>
    <w:uiPriority w:val="0"/>
    <w:pPr>
      <w:ind w:firstLine="420"/>
    </w:pPr>
  </w:style>
  <w:style w:type="paragraph" w:customStyle="1" w:styleId="113">
    <w:name w:val="3"/>
    <w:basedOn w:val="1"/>
    <w:qFormat/>
    <w:uiPriority w:val="0"/>
    <w:pPr>
      <w:numPr>
        <w:ilvl w:val="2"/>
        <w:numId w:val="9"/>
      </w:numPr>
      <w:spacing w:line="288" w:lineRule="auto"/>
      <w:outlineLvl w:val="2"/>
    </w:pPr>
    <w:rPr>
      <w:rFonts w:ascii="黑体" w:hAnsi="黑体" w:eastAsia="黑体" w:cs="黑体"/>
    </w:rPr>
  </w:style>
  <w:style w:type="paragraph" w:customStyle="1" w:styleId="114">
    <w:name w:val="61a)"/>
    <w:basedOn w:val="1"/>
    <w:qFormat/>
    <w:uiPriority w:val="0"/>
    <w:pPr>
      <w:numPr>
        <w:ilvl w:val="5"/>
        <w:numId w:val="9"/>
      </w:numPr>
      <w:tabs>
        <w:tab w:val="left" w:pos="0"/>
      </w:tabs>
      <w:spacing w:line="288" w:lineRule="auto"/>
    </w:pPr>
  </w:style>
  <w:style w:type="paragraph" w:customStyle="1" w:styleId="115">
    <w:name w:val="621)"/>
    <w:basedOn w:val="1"/>
    <w:qFormat/>
    <w:uiPriority w:val="0"/>
    <w:pPr>
      <w:numPr>
        <w:ilvl w:val="6"/>
        <w:numId w:val="9"/>
      </w:numPr>
      <w:tabs>
        <w:tab w:val="left" w:pos="1259"/>
      </w:tabs>
      <w:spacing w:line="288" w:lineRule="auto"/>
    </w:pPr>
  </w:style>
  <w:style w:type="paragraph" w:customStyle="1" w:styleId="116">
    <w:name w:val="列出段落2"/>
    <w:basedOn w:val="1"/>
    <w:unhideWhenUsed/>
    <w:qFormat/>
    <w:uiPriority w:val="99"/>
    <w:pPr>
      <w:ind w:firstLine="420" w:firstLineChars="200"/>
    </w:pPr>
  </w:style>
  <w:style w:type="paragraph" w:customStyle="1" w:styleId="117">
    <w:name w:val="南网格式"/>
    <w:basedOn w:val="1"/>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A2F9A-54B0-45B3-9CDB-4A49257170FC}">
  <ds:schemaRefs/>
</ds:datastoreItem>
</file>

<file path=docProps/app.xml><?xml version="1.0" encoding="utf-8"?>
<Properties xmlns="http://schemas.openxmlformats.org/officeDocument/2006/extended-properties" xmlns:vt="http://schemas.openxmlformats.org/officeDocument/2006/docPropsVTypes">
  <Template>Normal.dotm</Template>
  <Pages>17</Pages>
  <Words>8178</Words>
  <Characters>9190</Characters>
  <Lines>65</Lines>
  <Paragraphs>18</Paragraphs>
  <TotalTime>8</TotalTime>
  <ScaleCrop>false</ScaleCrop>
  <LinksUpToDate>false</LinksUpToDate>
  <CharactersWithSpaces>9305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2021-12-16T12:23:00Z</dcterms:created>
  <dc:creator>wangzhichun</dc:creator>
  <cp:lastModifiedBy>王晓敏</cp:lastModifiedBy>
  <cp:lastPrinted>2022-03-10T06:16:00Z</cp:lastPrinted>
  <dcterms:modified xsi:type="dcterms:W3CDTF">2024-04-22T06:09:09Z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9A0A506F265B4424853AE8777254ABB9_13</vt:lpwstr>
  </property>
</Properties>
</file>