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32"/>
        </w:rPr>
      </w:pPr>
      <w:r>
        <w:rPr>
          <w:rFonts w:hint="eastAsia"/>
          <w:b/>
          <w:bCs/>
          <w:sz w:val="32"/>
          <w:szCs w:val="32"/>
        </w:rPr>
        <w:t>广西电网有限责任公司玉林供电局</w:t>
      </w:r>
      <w:r>
        <w:rPr>
          <w:rFonts w:hint="eastAsia"/>
          <w:b/>
          <w:bCs/>
          <w:sz w:val="32"/>
          <w:szCs w:val="32"/>
          <w:lang w:val="en-US" w:eastAsia="zh-CN"/>
        </w:rPr>
        <w:t>2024年</w:t>
      </w:r>
      <w:r>
        <w:rPr>
          <w:rFonts w:hint="eastAsia"/>
          <w:b/>
          <w:bCs/>
          <w:sz w:val="32"/>
          <w:szCs w:val="32"/>
          <w:lang w:eastAsia="zh-CN"/>
        </w:rPr>
        <w:t>取证类培训评价学习卡采购项目</w:t>
      </w:r>
      <w:r>
        <w:rPr>
          <w:rFonts w:hint="eastAsia"/>
          <w:b/>
          <w:bCs/>
          <w:sz w:val="32"/>
          <w:szCs w:val="32"/>
        </w:rPr>
        <w:t>技术规范书</w:t>
      </w:r>
    </w:p>
    <w:p>
      <w:pPr>
        <w:rPr>
          <w:rFonts w:hint="eastAsia"/>
          <w:b/>
          <w:bCs/>
          <w:sz w:val="32"/>
          <w:szCs w:val="32"/>
        </w:rPr>
      </w:pP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为规范广西电网有限责任公司玉林供电局</w:t>
      </w:r>
      <w:r>
        <w:rPr>
          <w:rFonts w:hint="eastAsia" w:ascii="宋体" w:hAnsi="宋体" w:eastAsia="宋体" w:cs="宋体"/>
          <w:color w:val="000000" w:themeColor="text1"/>
          <w:sz w:val="28"/>
          <w:szCs w:val="28"/>
          <w:lang w:val="en-US" w:eastAsia="zh-CN"/>
          <w14:textFill>
            <w14:solidFill>
              <w14:schemeClr w14:val="tx1"/>
            </w14:solidFill>
          </w14:textFill>
        </w:rPr>
        <w:t>2024年</w:t>
      </w:r>
      <w:r>
        <w:rPr>
          <w:rFonts w:hint="eastAsia" w:ascii="宋体" w:hAnsi="宋体" w:eastAsia="宋体" w:cs="宋体"/>
          <w:color w:val="000000" w:themeColor="text1"/>
          <w:sz w:val="28"/>
          <w:szCs w:val="28"/>
          <w:lang w:eastAsia="zh-CN"/>
          <w14:textFill>
            <w14:solidFill>
              <w14:schemeClr w14:val="tx1"/>
            </w14:solidFill>
          </w14:textFill>
        </w:rPr>
        <w:t>取证类培训评价学习卡采购项目采购工作，根据工作安排和相关要求，特制定本规范。</w:t>
      </w:r>
    </w:p>
    <w:p>
      <w:pPr>
        <w:pStyle w:val="3"/>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bookmarkStart w:id="0" w:name="_Toc514766946"/>
      <w:bookmarkStart w:id="1" w:name="_Toc411238017"/>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总则</w:t>
      </w:r>
      <w:bookmarkEnd w:id="0"/>
      <w:bookmarkEnd w:id="1"/>
    </w:p>
    <w:p>
      <w:pPr>
        <w:pStyle w:val="4"/>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一般要求</w:t>
      </w:r>
    </w:p>
    <w:p>
      <w:pPr>
        <w:pStyle w:val="9"/>
        <w:numPr>
          <w:ilvl w:val="2"/>
          <w:numId w:val="2"/>
        </w:numP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投标方必须认真阅读本技术条款内容，以免造成投标失败。</w:t>
      </w:r>
    </w:p>
    <w:p>
      <w:pPr>
        <w:pStyle w:val="9"/>
        <w:numPr>
          <w:ilvl w:val="2"/>
          <w:numId w:val="2"/>
        </w:numP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本技术规范书主要描述</w:t>
      </w:r>
      <w:r>
        <w:rPr>
          <w:rFonts w:hint="eastAsia" w:ascii="宋体" w:hAnsi="宋体" w:eastAsia="宋体" w:cs="宋体"/>
          <w:color w:val="000000" w:themeColor="text1"/>
          <w:sz w:val="28"/>
          <w:szCs w:val="28"/>
          <w:lang w:eastAsia="zh-CN"/>
          <w14:textFill>
            <w14:solidFill>
              <w14:schemeClr w14:val="tx1"/>
            </w14:solidFill>
          </w14:textFill>
        </w:rPr>
        <w:t>广西电网有限责任公司玉林供电局、北流供电局、陆川供电局、新电力博白供电局、新电力玉林供电公司、新电力容县供电公司</w:t>
      </w:r>
      <w:r>
        <w:rPr>
          <w:rFonts w:hint="eastAsia" w:ascii="宋体" w:hAnsi="宋体" w:eastAsia="宋体" w:cs="宋体"/>
          <w:color w:val="000000" w:themeColor="text1"/>
          <w:sz w:val="28"/>
          <w:szCs w:val="28"/>
          <w:lang w:val="en-US" w:eastAsia="zh-CN"/>
          <w14:textFill>
            <w14:solidFill>
              <w14:schemeClr w14:val="tx1"/>
            </w14:solidFill>
          </w14:textFill>
        </w:rPr>
        <w:t>2024年</w:t>
      </w:r>
      <w:r>
        <w:rPr>
          <w:rFonts w:hint="eastAsia" w:ascii="宋体" w:hAnsi="宋体" w:eastAsia="宋体" w:cs="宋体"/>
          <w:color w:val="000000" w:themeColor="text1"/>
          <w:sz w:val="28"/>
          <w:szCs w:val="28"/>
          <w:lang w:eastAsia="zh-CN"/>
          <w14:textFill>
            <w14:solidFill>
              <w14:schemeClr w14:val="tx1"/>
            </w14:solidFill>
          </w14:textFill>
        </w:rPr>
        <w:t>取证类培训评价学习卡采购项目</w:t>
      </w: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项目要求有关事项。</w:t>
      </w:r>
    </w:p>
    <w:p>
      <w:pPr>
        <w:pStyle w:val="9"/>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本技术规范书提出的是最低限度的技术要求, 并未对一切技术细节做出规定，也未充分引述有关标准和规范的条文。投标方应提供符合本招标技术文件工作产品、服务，认真阅读，逐条准确回答和陈述，必须清楚地说明是否满足本技术规范书的每一项具体要求。如果不满足要求，除在逐条应答时予以说明外，还需以“差异表”的形式另外列出。</w:t>
      </w:r>
    </w:p>
    <w:p>
      <w:pPr>
        <w:pStyle w:val="9"/>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pStyle w:val="9"/>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如果投标方认为本技术条款所描述技术要求等存在不合理性或不明白的，可在响应原要求后陈述相关建议。</w:t>
      </w:r>
    </w:p>
    <w:p>
      <w:pPr>
        <w:pStyle w:val="9"/>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投标方也可提出满足本技术规范书要求，且技术先进、成熟、价格合理的其他建议，供招标方选择。</w:t>
      </w:r>
    </w:p>
    <w:p>
      <w:pPr>
        <w:pStyle w:val="9"/>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投标方应提供满足本技术规范书要求的完整的服务、工作产品，满足国家及用户提出的有关质量标准要求。所有工作产品必须具有在中国境内的合法使用权。</w:t>
      </w:r>
    </w:p>
    <w:p>
      <w:pPr>
        <w:pStyle w:val="9"/>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本技术规范书所使用的标准如与投标方所执行的标准不一致，按较高标准执行。</w:t>
      </w:r>
    </w:p>
    <w:p>
      <w:pPr>
        <w:pStyle w:val="9"/>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如果因为无法提供的原因而提供其他产品、服务，投标方应明确说明并提出质量保证承诺。</w:t>
      </w:r>
    </w:p>
    <w:p>
      <w:pPr>
        <w:pStyle w:val="9"/>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投标方应保证为今后招标方开发的或招标方委托第三方开发的其他工作产品提供可靠的性能和兼容性。</w:t>
      </w:r>
    </w:p>
    <w:p>
      <w:pPr>
        <w:pStyle w:val="9"/>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投标方应对本次投标所有文件保密，不得向其他单位公布或泄漏招标项目的有关信息。</w:t>
      </w:r>
    </w:p>
    <w:p>
      <w:pPr>
        <w:pStyle w:val="9"/>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招标方保留技术规范书修改的权利，可以提出变更的意见和建议，最终签订的技术协议与合同具有同等效力。</w:t>
      </w:r>
    </w:p>
    <w:p>
      <w:pPr>
        <w:pStyle w:val="9"/>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在不超出本技术规范书要求的情况下，投标方应对招标方提出的所有细化要求予以满足。</w:t>
      </w:r>
    </w:p>
    <w:p>
      <w:pPr>
        <w:pStyle w:val="9"/>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投标方建议书的详细要求见招标书的商务部分。投标方必须随投标文件提供具有全部建议书的U盘文件壹份。投标内容以印刷的投标文件正本为准。</w:t>
      </w:r>
    </w:p>
    <w:p>
      <w:pPr>
        <w:pStyle w:val="9"/>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有文件、图纸、通信的均使用中文。所有计算、说明、图纸文件、手册等使用国际单位制。</w:t>
      </w:r>
    </w:p>
    <w:p>
      <w:pPr>
        <w:pStyle w:val="4"/>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招标方职责</w:t>
      </w:r>
    </w:p>
    <w:p>
      <w:pPr>
        <w:numPr>
          <w:ilvl w:val="0"/>
          <w:numId w:val="3"/>
        </w:numP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提出</w:t>
      </w:r>
      <w:r>
        <w:rPr>
          <w:rFonts w:hint="eastAsia" w:ascii="宋体" w:hAnsi="宋体" w:eastAsia="宋体" w:cs="宋体"/>
          <w:color w:val="000000" w:themeColor="text1"/>
          <w:sz w:val="28"/>
          <w:szCs w:val="28"/>
          <w:lang w:eastAsia="zh-CN"/>
          <w14:textFill>
            <w14:solidFill>
              <w14:schemeClr w14:val="tx1"/>
            </w14:solidFill>
          </w14:textFill>
        </w:rPr>
        <w:t>广西电网有限责任公司玉林供电局、北流供电局、陆川供电局、新电力博白供电局、新电力玉林供电公司、新电力容县供电公司</w:t>
      </w:r>
      <w:r>
        <w:rPr>
          <w:rFonts w:hint="eastAsia" w:ascii="宋体" w:hAnsi="宋体" w:eastAsia="宋体" w:cs="宋体"/>
          <w:color w:val="000000" w:themeColor="text1"/>
          <w:sz w:val="28"/>
          <w:szCs w:val="28"/>
          <w:lang w:val="en-US" w:eastAsia="zh-CN"/>
          <w14:textFill>
            <w14:solidFill>
              <w14:schemeClr w14:val="tx1"/>
            </w14:solidFill>
          </w14:textFill>
        </w:rPr>
        <w:t>2024年</w:t>
      </w:r>
      <w:r>
        <w:rPr>
          <w:rFonts w:hint="eastAsia" w:ascii="宋体" w:hAnsi="宋体" w:eastAsia="宋体" w:cs="宋体"/>
          <w:color w:val="000000" w:themeColor="text1"/>
          <w:sz w:val="28"/>
          <w:szCs w:val="28"/>
          <w:lang w:eastAsia="zh-CN"/>
          <w14:textFill>
            <w14:solidFill>
              <w14:schemeClr w14:val="tx1"/>
            </w14:solidFill>
          </w14:textFill>
        </w:rPr>
        <w:t>取证类培训评价学习卡采购项目</w:t>
      </w: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项目的详细需求；</w:t>
      </w:r>
    </w:p>
    <w:p>
      <w:pPr>
        <w:numPr>
          <w:ilvl w:val="0"/>
          <w:numId w:val="3"/>
        </w:numP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为响应方收集项目服务所需原始资料等提供协助；</w:t>
      </w:r>
    </w:p>
    <w:p>
      <w:pPr>
        <w:numPr>
          <w:ilvl w:val="0"/>
          <w:numId w:val="3"/>
        </w:numP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按照响应方提出的项目开展要求提供配合人员和办公场地；</w:t>
      </w:r>
    </w:p>
    <w:p>
      <w:pPr>
        <w:numPr>
          <w:ilvl w:val="0"/>
          <w:numId w:val="3"/>
        </w:numP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负责成果检测和现场验收；</w:t>
      </w:r>
    </w:p>
    <w:p>
      <w:pPr>
        <w:numPr>
          <w:ilvl w:val="0"/>
          <w:numId w:val="3"/>
        </w:numP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为响应方人员在采购方所在地工作期间提供支持与方便；</w:t>
      </w:r>
    </w:p>
    <w:p>
      <w:pPr>
        <w:numPr>
          <w:ilvl w:val="0"/>
          <w:numId w:val="3"/>
        </w:numP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指派技术人员协助项目实施，但指派的技术人员不对合同履行情况承担责任。</w:t>
      </w:r>
    </w:p>
    <w:p>
      <w:pPr>
        <w:pStyle w:val="4"/>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投标方职责</w:t>
      </w:r>
    </w:p>
    <w:p>
      <w:pP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a.提供完整的技术服务详细清单和报价；</w:t>
      </w:r>
    </w:p>
    <w:p>
      <w:pP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b.按合同范围提供完整的项目实施方案；</w:t>
      </w:r>
    </w:p>
    <w:p>
      <w:pP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c.按合同要求进行项目服务等工作；</w:t>
      </w:r>
    </w:p>
    <w:p>
      <w:pP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d.负责协助素材评审和现场验收工作；</w:t>
      </w:r>
    </w:p>
    <w:p>
      <w:pP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e.负责质保期间技术服务的维护；</w:t>
      </w:r>
    </w:p>
    <w:p>
      <w:pP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f.按期提交满足采购方要求的项目服务成果。</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2.</w:t>
      </w:r>
      <w:r>
        <w:rPr>
          <w:rFonts w:hint="eastAsia" w:ascii="宋体" w:hAnsi="宋体" w:eastAsia="宋体" w:cs="宋体"/>
          <w:b/>
          <w:bCs/>
          <w:sz w:val="28"/>
          <w:szCs w:val="28"/>
          <w:lang w:eastAsia="zh-CN"/>
        </w:rPr>
        <w:t>项目概况</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2.1</w:t>
      </w:r>
      <w:r>
        <w:rPr>
          <w:rFonts w:hint="eastAsia" w:ascii="宋体" w:hAnsi="宋体" w:eastAsia="宋体" w:cs="宋体"/>
          <w:b w:val="0"/>
          <w:bCs w:val="0"/>
          <w:sz w:val="28"/>
          <w:szCs w:val="28"/>
          <w:lang w:eastAsia="zh-CN"/>
        </w:rPr>
        <w:t>项目名称：广西电网有限责任公司玉林供电局</w:t>
      </w:r>
      <w:r>
        <w:rPr>
          <w:rFonts w:hint="eastAsia" w:ascii="宋体" w:hAnsi="宋体" w:eastAsia="宋体" w:cs="宋体"/>
          <w:b w:val="0"/>
          <w:bCs w:val="0"/>
          <w:sz w:val="28"/>
          <w:szCs w:val="28"/>
          <w:lang w:val="en-US" w:eastAsia="zh-CN"/>
        </w:rPr>
        <w:t>2024年</w:t>
      </w:r>
      <w:r>
        <w:rPr>
          <w:rFonts w:hint="eastAsia" w:ascii="宋体" w:hAnsi="宋体" w:eastAsia="宋体" w:cs="宋体"/>
          <w:b w:val="0"/>
          <w:bCs w:val="0"/>
          <w:sz w:val="28"/>
          <w:szCs w:val="28"/>
          <w:lang w:eastAsia="zh-CN"/>
        </w:rPr>
        <w:t>取证类培训评价学习卡采购项目。</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2.1.1</w:t>
      </w:r>
      <w:r>
        <w:rPr>
          <w:rFonts w:hint="eastAsia" w:ascii="宋体" w:hAnsi="宋体" w:eastAsia="宋体" w:cs="宋体"/>
          <w:b w:val="0"/>
          <w:bCs w:val="0"/>
          <w:sz w:val="28"/>
          <w:szCs w:val="28"/>
          <w:lang w:eastAsia="zh-CN"/>
        </w:rPr>
        <w:t>资金来源：自筹。</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2.1.2项目实施地点：</w:t>
      </w:r>
      <w:r>
        <w:rPr>
          <w:rFonts w:hint="eastAsia" w:ascii="宋体" w:hAnsi="宋体" w:eastAsia="宋体" w:cs="宋体"/>
          <w:color w:val="000000" w:themeColor="text1"/>
          <w:sz w:val="28"/>
          <w:szCs w:val="28"/>
          <w:lang w:eastAsia="zh-CN"/>
          <w14:textFill>
            <w14:solidFill>
              <w14:schemeClr w14:val="tx1"/>
            </w14:solidFill>
          </w14:textFill>
        </w:rPr>
        <w:t>玉林供电局、北流供电局、陆川供电局、新电力博白供电局、新电力玉林供电公司、新电力容县供电公司。</w:t>
      </w:r>
    </w:p>
    <w:p>
      <w:pPr>
        <w:numPr>
          <w:ilvl w:val="0"/>
          <w:numId w:val="0"/>
        </w:numPr>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3.</w:t>
      </w:r>
      <w:r>
        <w:rPr>
          <w:rFonts w:hint="eastAsia" w:ascii="宋体" w:hAnsi="宋体" w:eastAsia="宋体" w:cs="宋体"/>
          <w:b/>
          <w:bCs/>
          <w:sz w:val="28"/>
          <w:szCs w:val="28"/>
          <w:lang w:eastAsia="zh-CN"/>
        </w:rPr>
        <w:t>服务内容：</w:t>
      </w:r>
    </w:p>
    <w:tbl>
      <w:tblPr>
        <w:tblStyle w:val="5"/>
        <w:tblW w:w="9212" w:type="dxa"/>
        <w:tblInd w:w="-18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200"/>
        <w:gridCol w:w="8702"/>
        <w:gridCol w:w="3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5" w:hRule="atLeast"/>
        </w:trPr>
        <w:tc>
          <w:tcPr>
            <w:tcW w:w="9212" w:type="dxa"/>
            <w:gridSpan w:val="3"/>
            <w:tcBorders>
              <w:top w:val="nil"/>
              <w:left w:val="nil"/>
              <w:bottom w:val="nil"/>
              <w:right w:val="nil"/>
            </w:tcBorders>
            <w:shd w:val="clear" w:color="auto" w:fill="auto"/>
            <w:tcMar>
              <w:top w:w="15" w:type="dxa"/>
              <w:left w:w="15" w:type="dxa"/>
              <w:right w:w="15" w:type="dxa"/>
            </w:tcMar>
            <w:vAlign w:val="center"/>
          </w:tcPr>
          <w:tbl>
            <w:tblPr>
              <w:tblStyle w:val="5"/>
              <w:tblW w:w="9116" w:type="dxa"/>
              <w:tblInd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604"/>
              <w:gridCol w:w="1281"/>
              <w:gridCol w:w="2101"/>
              <w:gridCol w:w="1128"/>
              <w:gridCol w:w="1050"/>
              <w:gridCol w:w="1861"/>
              <w:gridCol w:w="10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39" w:hRule="atLeast"/>
              </w:trPr>
              <w:tc>
                <w:tcPr>
                  <w:tcW w:w="60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华文楷体" w:hAnsi="华文楷体" w:eastAsia="华文楷体" w:cs="华文楷体"/>
                      <w:b/>
                      <w:i w:val="0"/>
                      <w:color w:val="000000"/>
                      <w:sz w:val="22"/>
                      <w:szCs w:val="22"/>
                      <w:u w:val="none"/>
                      <w:lang w:val="en-US" w:eastAsia="zh-CN"/>
                    </w:rPr>
                  </w:pPr>
                  <w:r>
                    <w:rPr>
                      <w:rFonts w:hint="eastAsia" w:ascii="华文楷体" w:hAnsi="华文楷体" w:eastAsia="华文楷体" w:cs="华文楷体"/>
                      <w:b/>
                      <w:i w:val="0"/>
                      <w:color w:val="000000"/>
                      <w:sz w:val="22"/>
                      <w:szCs w:val="22"/>
                      <w:u w:val="none"/>
                      <w:lang w:val="en-US" w:eastAsia="zh-CN"/>
                    </w:rPr>
                    <w:t>标段</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华文楷体" w:hAnsi="华文楷体" w:eastAsia="华文楷体" w:cs="华文楷体"/>
                      <w:b/>
                      <w:i w:val="0"/>
                      <w:color w:val="000000"/>
                      <w:kern w:val="0"/>
                      <w:sz w:val="22"/>
                      <w:szCs w:val="22"/>
                      <w:u w:val="none"/>
                      <w:lang w:val="en-US" w:eastAsia="zh-CN" w:bidi="ar"/>
                    </w:rPr>
                  </w:pPr>
                  <w:r>
                    <w:rPr>
                      <w:rFonts w:hint="eastAsia" w:ascii="华文楷体" w:hAnsi="华文楷体" w:eastAsia="华文楷体" w:cs="华文楷体"/>
                      <w:b/>
                      <w:i w:val="0"/>
                      <w:color w:val="000000"/>
                      <w:sz w:val="22"/>
                      <w:szCs w:val="22"/>
                      <w:u w:val="none"/>
                      <w:lang w:val="en-US" w:eastAsia="zh-CN"/>
                    </w:rPr>
                    <w:t>内容</w:t>
                  </w:r>
                </w:p>
              </w:tc>
              <w:tc>
                <w:tcPr>
                  <w:tcW w:w="21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default" w:ascii="华文楷体" w:hAnsi="华文楷体" w:eastAsia="华文楷体" w:cs="华文楷体"/>
                      <w:b/>
                      <w:i w:val="0"/>
                      <w:color w:val="000000"/>
                      <w:sz w:val="22"/>
                      <w:szCs w:val="22"/>
                      <w:u w:val="none"/>
                    </w:rPr>
                  </w:pPr>
                  <w:r>
                    <w:rPr>
                      <w:rFonts w:hint="default" w:ascii="华文楷体" w:hAnsi="华文楷体" w:eastAsia="华文楷体" w:cs="华文楷体"/>
                      <w:b/>
                      <w:i w:val="0"/>
                      <w:color w:val="000000"/>
                      <w:kern w:val="0"/>
                      <w:sz w:val="22"/>
                      <w:szCs w:val="22"/>
                      <w:u w:val="none"/>
                      <w:lang w:val="en-US" w:eastAsia="zh-CN" w:bidi="ar"/>
                    </w:rPr>
                    <w:t>货物（劳务）名称</w:t>
                  </w: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华文楷体" w:hAnsi="华文楷体" w:eastAsia="华文楷体" w:cs="华文楷体"/>
                      <w:b/>
                      <w:i w:val="0"/>
                      <w:color w:val="000000"/>
                      <w:sz w:val="22"/>
                      <w:szCs w:val="22"/>
                      <w:u w:val="none"/>
                    </w:rPr>
                  </w:pPr>
                  <w:r>
                    <w:rPr>
                      <w:rFonts w:hint="default" w:ascii="华文楷体" w:hAnsi="华文楷体" w:eastAsia="华文楷体" w:cs="华文楷体"/>
                      <w:b/>
                      <w:i w:val="0"/>
                      <w:color w:val="000000"/>
                      <w:kern w:val="0"/>
                      <w:sz w:val="22"/>
                      <w:szCs w:val="22"/>
                      <w:u w:val="none"/>
                      <w:lang w:val="en-US" w:eastAsia="zh-CN" w:bidi="ar"/>
                    </w:rPr>
                    <w:t>单位</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华文楷体" w:hAnsi="华文楷体" w:eastAsia="华文楷体" w:cs="华文楷体"/>
                      <w:b/>
                      <w:i w:val="0"/>
                      <w:color w:val="000000"/>
                      <w:sz w:val="22"/>
                      <w:szCs w:val="22"/>
                      <w:u w:val="none"/>
                    </w:rPr>
                  </w:pPr>
                  <w:r>
                    <w:rPr>
                      <w:rFonts w:hint="default" w:ascii="华文楷体" w:hAnsi="华文楷体" w:eastAsia="华文楷体" w:cs="华文楷体"/>
                      <w:b/>
                      <w:i w:val="0"/>
                      <w:color w:val="000000"/>
                      <w:kern w:val="0"/>
                      <w:sz w:val="22"/>
                      <w:szCs w:val="22"/>
                      <w:u w:val="none"/>
                      <w:lang w:val="en-US" w:eastAsia="zh-CN" w:bidi="ar"/>
                    </w:rPr>
                    <w:t>数量</w:t>
                  </w:r>
                </w:p>
              </w:tc>
              <w:tc>
                <w:tcPr>
                  <w:tcW w:w="186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both"/>
                    <w:textAlignment w:val="center"/>
                    <w:rPr>
                      <w:rFonts w:hint="default" w:ascii="华文楷体" w:hAnsi="华文楷体" w:eastAsia="华文楷体" w:cs="华文楷体"/>
                      <w:b/>
                      <w:i w:val="0"/>
                      <w:color w:val="000000"/>
                      <w:sz w:val="22"/>
                      <w:szCs w:val="22"/>
                      <w:u w:val="none"/>
                    </w:rPr>
                  </w:pPr>
                  <w:r>
                    <w:rPr>
                      <w:rFonts w:hint="default" w:ascii="华文楷体" w:hAnsi="华文楷体" w:eastAsia="华文楷体" w:cs="华文楷体"/>
                      <w:b/>
                      <w:i w:val="0"/>
                      <w:color w:val="000000"/>
                      <w:kern w:val="0"/>
                      <w:sz w:val="22"/>
                      <w:szCs w:val="22"/>
                      <w:u w:val="none"/>
                      <w:lang w:val="en-US" w:eastAsia="zh-CN" w:bidi="ar"/>
                    </w:rPr>
                    <w:t>单价（元）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华文楷体" w:hAnsi="华文楷体" w:eastAsia="华文楷体" w:cs="华文楷体"/>
                      <w:b/>
                      <w:i w:val="0"/>
                      <w:color w:val="000000"/>
                      <w:sz w:val="22"/>
                      <w:szCs w:val="22"/>
                      <w:u w:val="none"/>
                    </w:rPr>
                  </w:pPr>
                  <w:r>
                    <w:rPr>
                      <w:rFonts w:hint="eastAsia" w:ascii="华文楷体" w:hAnsi="华文楷体" w:eastAsia="华文楷体" w:cs="华文楷体"/>
                      <w:b/>
                      <w:i w:val="0"/>
                      <w:color w:val="000000"/>
                      <w:kern w:val="0"/>
                      <w:sz w:val="22"/>
                      <w:szCs w:val="22"/>
                      <w:u w:val="none"/>
                      <w:lang w:val="en-US" w:eastAsia="zh-CN" w:bidi="ar"/>
                    </w:rPr>
                    <w:t>服务期限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54" w:hRule="atLeast"/>
              </w:trPr>
              <w:tc>
                <w:tcPr>
                  <w:tcW w:w="604" w:type="dxa"/>
                  <w:vMerge w:val="restart"/>
                  <w:tcBorders>
                    <w:top w:val="single" w:color="000000" w:sz="4" w:space="0"/>
                    <w:left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华文楷体" w:hAnsi="华文楷体" w:eastAsia="华文楷体" w:cs="华文楷体"/>
                      <w:b/>
                      <w:i w:val="0"/>
                      <w:color w:val="000000"/>
                      <w:sz w:val="22"/>
                      <w:szCs w:val="22"/>
                      <w:u w:val="none"/>
                      <w:lang w:eastAsia="zh-CN"/>
                    </w:rPr>
                  </w:pPr>
                  <w:r>
                    <w:rPr>
                      <w:rFonts w:hint="eastAsia" w:ascii="华文楷体" w:hAnsi="华文楷体" w:eastAsia="华文楷体" w:cs="华文楷体"/>
                      <w:b/>
                      <w:i w:val="0"/>
                      <w:color w:val="000000"/>
                      <w:sz w:val="22"/>
                      <w:szCs w:val="22"/>
                      <w:u w:val="none"/>
                      <w:lang w:eastAsia="zh-CN"/>
                    </w:rPr>
                    <w:t>一</w:t>
                  </w:r>
                </w:p>
              </w:tc>
              <w:tc>
                <w:tcPr>
                  <w:tcW w:w="1281"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广西电网有限责任公司玉林供电局2024年取证类培训评价学习卡采购项目</w:t>
                  </w:r>
                </w:p>
              </w:tc>
              <w:tc>
                <w:tcPr>
                  <w:tcW w:w="2101"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安全生产在线学习平台学习卡</w:t>
                  </w: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张</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lang w:val="en-US"/>
                    </w:rPr>
                  </w:pPr>
                </w:p>
              </w:tc>
              <w:tc>
                <w:tcPr>
                  <w:tcW w:w="186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p>
              </w:tc>
              <w:tc>
                <w:tcPr>
                  <w:tcW w:w="1091" w:type="dxa"/>
                  <w:vMerge w:val="restart"/>
                  <w:tcBorders>
                    <w:top w:val="single" w:color="000000" w:sz="4" w:space="0"/>
                    <w:left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color w:val="auto"/>
                      <w:highlight w:val="none"/>
                      <w:shd w:val="clear" w:color="auto" w:fill="auto"/>
                      <w:lang w:eastAsia="zh-CN"/>
                    </w:rPr>
                    <w:t>自合同约定之日起</w:t>
                  </w:r>
                  <w:r>
                    <w:rPr>
                      <w:rFonts w:hint="eastAsia"/>
                      <w:color w:val="auto"/>
                      <w:highlight w:val="none"/>
                      <w:shd w:val="clear" w:color="auto" w:fill="auto"/>
                      <w:lang w:val="en-US" w:eastAsia="zh-CN"/>
                    </w:rPr>
                    <w:t>6</w:t>
                  </w:r>
                  <w:bookmarkStart w:id="2" w:name="_GoBack"/>
                  <w:bookmarkEnd w:id="2"/>
                  <w:r>
                    <w:rPr>
                      <w:rFonts w:hint="eastAsia"/>
                      <w:color w:val="auto"/>
                      <w:highlight w:val="none"/>
                      <w:shd w:val="clear" w:color="auto" w:fill="auto"/>
                      <w:lang w:val="en-US" w:eastAsia="zh-CN"/>
                    </w:rPr>
                    <w:t>个月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54" w:hRule="atLeast"/>
              </w:trPr>
              <w:tc>
                <w:tcPr>
                  <w:tcW w:w="604" w:type="dxa"/>
                  <w:vMerge w:val="continue"/>
                  <w:tcBorders>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default" w:ascii="华文楷体" w:hAnsi="华文楷体" w:eastAsia="华文楷体" w:cs="华文楷体"/>
                      <w:i w:val="0"/>
                      <w:color w:val="000000"/>
                      <w:sz w:val="22"/>
                      <w:szCs w:val="22"/>
                      <w:u w:val="none"/>
                    </w:rPr>
                  </w:pPr>
                </w:p>
              </w:tc>
              <w:tc>
                <w:tcPr>
                  <w:tcW w:w="1281"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2101"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i w:val="0"/>
                      <w:color w:val="000000"/>
                      <w:sz w:val="20"/>
                      <w:szCs w:val="20"/>
                      <w:u w:val="none"/>
                      <w:lang w:val="en-US" w:eastAsia="zh-CN"/>
                    </w:rPr>
                    <w:t>合计</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宋体" w:hAnsi="宋体" w:eastAsia="宋体" w:cs="宋体"/>
                      <w:i w:val="0"/>
                      <w:color w:val="000000"/>
                      <w:sz w:val="20"/>
                      <w:szCs w:val="20"/>
                      <w:u w:val="none"/>
                      <w:lang w:val="en-US" w:eastAsia="zh-CN"/>
                    </w:rPr>
                  </w:pPr>
                </w:p>
              </w:tc>
              <w:tc>
                <w:tcPr>
                  <w:tcW w:w="186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宋体" w:hAnsi="宋体" w:eastAsia="宋体" w:cs="宋体"/>
                      <w:i w:val="0"/>
                      <w:color w:val="000000"/>
                      <w:sz w:val="20"/>
                      <w:szCs w:val="20"/>
                      <w:u w:val="none"/>
                      <w:lang w:val="en-US" w:eastAsia="zh-CN"/>
                    </w:rPr>
                  </w:pPr>
                </w:p>
              </w:tc>
              <w:tc>
                <w:tcPr>
                  <w:tcW w:w="1091" w:type="dxa"/>
                  <w:vMerge w:val="continue"/>
                  <w:tcBorders>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p>
              </w:tc>
            </w:tr>
          </w:tbl>
          <w:p>
            <w:pPr>
              <w:keepNext w:val="0"/>
              <w:keepLines w:val="0"/>
              <w:widowControl/>
              <w:suppressLineNumbers w:val="0"/>
              <w:jc w:val="both"/>
              <w:textAlignment w:val="center"/>
              <w:rPr>
                <w:rFonts w:ascii="宋体" w:hAnsi="宋体" w:eastAsia="宋体" w:cs="宋体"/>
                <w:b/>
                <w:i w:val="0"/>
                <w:color w:val="000000"/>
                <w:sz w:val="32"/>
                <w:szCs w:val="32"/>
                <w:highlight w:val="yellow"/>
                <w:u w:val="none"/>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0" w:type="dxa"/>
            <w:bottom w:w="0" w:type="dxa"/>
            <w:right w:w="0" w:type="dxa"/>
          </w:tblCellMar>
        </w:tblPrEx>
        <w:trPr>
          <w:gridBefore w:val="1"/>
          <w:gridAfter w:val="1"/>
          <w:wBefore w:w="200" w:type="dxa"/>
          <w:wAfter w:w="310" w:type="dxa"/>
          <w:trHeight w:val="485" w:hRule="atLeast"/>
          <w:jc w:val="center"/>
        </w:trPr>
        <w:tc>
          <w:tcPr>
            <w:tcW w:w="8702" w:type="dxa"/>
            <w:tcBorders>
              <w:top w:val="nil"/>
              <w:left w:val="nil"/>
              <w:bottom w:val="nil"/>
              <w:right w:val="nil"/>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textAlignment w:val="auto"/>
              <w:rPr>
                <w:rFonts w:ascii="Dialog" w:hAnsi="Dialog"/>
                <w:sz w:val="24"/>
              </w:rPr>
            </w:pPr>
          </w:p>
        </w:tc>
      </w:tr>
    </w:tbl>
    <w:p>
      <w:pPr>
        <w:pStyle w:val="2"/>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sz w:val="28"/>
          <w:szCs w:val="28"/>
          <w:lang w:val="en-US" w:eastAsia="zh-CN"/>
        </w:rPr>
        <w:t>4</w:t>
      </w: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.资格要求</w:t>
      </w:r>
    </w:p>
    <w:p>
      <w:pPr>
        <w:pStyle w:val="2"/>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4.1通用资格</w:t>
      </w:r>
      <w:r>
        <w:rPr>
          <w:rFonts w:hint="eastAsia" w:ascii="宋体" w:hAnsi="宋体" w:eastAsia="宋体" w:cs="宋体"/>
          <w:b w:val="0"/>
          <w:bCs w:val="0"/>
          <w:color w:val="FF0000"/>
          <w:kern w:val="2"/>
          <w:sz w:val="28"/>
          <w:szCs w:val="28"/>
          <w:lang w:val="en-US" w:eastAsia="zh-CN" w:bidi="ar-SA"/>
        </w:rPr>
        <w:t>（详见招标文件）</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4.2</w:t>
      </w:r>
      <w:r>
        <w:rPr>
          <w:rFonts w:hint="eastAsia" w:ascii="宋体" w:hAnsi="宋体" w:eastAsia="宋体" w:cs="宋体"/>
          <w:sz w:val="28"/>
          <w:szCs w:val="28"/>
          <w:lang w:val="en-US" w:eastAsia="zh-CN"/>
        </w:rPr>
        <w:t>服务要求</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w:t>
      </w:r>
      <w:r>
        <w:rPr>
          <w:rFonts w:hint="eastAsia" w:ascii="宋体" w:hAnsi="宋体" w:eastAsia="宋体" w:cs="宋体"/>
          <w:color w:val="000000" w:themeColor="text1"/>
          <w:sz w:val="28"/>
          <w:szCs w:val="28"/>
          <w:lang w:eastAsia="zh-CN"/>
          <w14:textFill>
            <w14:solidFill>
              <w14:schemeClr w14:val="tx1"/>
            </w14:solidFill>
          </w14:textFill>
        </w:rPr>
        <w:t>打印、复印的文件如出现质量问题或者不能达到使用要求，玉林供电局可以要求中标单位再进行重做，对于重做的情况双方需做好验收。重做费用由中标单位自行承担。</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2、所有需要印刷的用品需根据玉林供电局的要求进行策划、修改和完善，确保所有内容确认以获得玉林供电局的认可为准。</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8"/>
          <w:szCs w:val="28"/>
        </w:rPr>
      </w:pPr>
      <w:r>
        <w:rPr>
          <w:rFonts w:hint="eastAsia" w:ascii="宋体" w:hAnsi="宋体" w:eastAsia="宋体" w:cs="宋体"/>
          <w:b/>
          <w:bCs/>
          <w:sz w:val="28"/>
          <w:szCs w:val="28"/>
          <w:lang w:val="en-US" w:eastAsia="zh-CN"/>
        </w:rPr>
        <w:t>5.</w:t>
      </w:r>
      <w:r>
        <w:rPr>
          <w:rFonts w:hint="eastAsia" w:ascii="宋体" w:hAnsi="宋体" w:eastAsia="宋体" w:cs="宋体"/>
          <w:b/>
          <w:bCs/>
          <w:sz w:val="28"/>
          <w:szCs w:val="28"/>
          <w:lang w:eastAsia="zh-CN"/>
        </w:rPr>
        <w:t>供应商需要说明的其他问题</w:t>
      </w:r>
      <w:r>
        <w:rPr>
          <w:rFonts w:hint="eastAsia" w:ascii="宋体" w:hAnsi="宋体" w:eastAsia="宋体" w:cs="宋体"/>
          <w:b/>
          <w:bCs/>
          <w:sz w:val="28"/>
          <w:szCs w:val="28"/>
        </w:rPr>
        <w:t>：</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sz w:val="28"/>
          <w:szCs w:val="28"/>
        </w:rPr>
      </w:pPr>
      <w:r>
        <w:rPr>
          <w:rFonts w:hint="eastAsia" w:ascii="宋体" w:hAnsi="宋体" w:eastAsia="宋体" w:cs="宋体"/>
          <w:b w:val="0"/>
          <w:bCs w:val="0"/>
          <w:sz w:val="28"/>
          <w:szCs w:val="28"/>
          <w:lang w:eastAsia="zh-CN"/>
        </w:rPr>
        <w:t>无</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sz w:val="28"/>
          <w:szCs w:val="28"/>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Dialog">
    <w:altName w:val="Times New Roman"/>
    <w:panose1 w:val="00000000000000000000"/>
    <w:charset w:val="00"/>
    <w:family w:val="roman"/>
    <w:pitch w:val="default"/>
    <w:sig w:usb0="00000000"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5501A"/>
    <w:multiLevelType w:val="multilevel"/>
    <w:tmpl w:val="0595501A"/>
    <w:lvl w:ilvl="0" w:tentative="0">
      <w:start w:val="1"/>
      <w:numFmt w:val="decimal"/>
      <w:pStyle w:val="3"/>
      <w:suff w:val="space"/>
      <w:lvlText w:val="%1."/>
      <w:lvlJc w:val="left"/>
      <w:pPr>
        <w:ind w:left="0" w:firstLine="0"/>
      </w:pPr>
      <w:rPr>
        <w:rFonts w:hint="eastAsia"/>
      </w:rPr>
    </w:lvl>
    <w:lvl w:ilvl="1" w:tentative="0">
      <w:start w:val="1"/>
      <w:numFmt w:val="decimal"/>
      <w:pStyle w:val="4"/>
      <w:isLgl/>
      <w:suff w:val="space"/>
      <w:lvlText w:val="%1.%2"/>
      <w:lvlJc w:val="left"/>
      <w:pPr>
        <w:ind w:left="0" w:firstLine="0"/>
      </w:pPr>
      <w:rPr>
        <w:rFonts w:hint="eastAsia"/>
      </w:rPr>
    </w:lvl>
    <w:lvl w:ilvl="2" w:tentative="0">
      <w:start w:val="1"/>
      <w:numFmt w:val="decimal"/>
      <w:pStyle w:val="9"/>
      <w:isLgl/>
      <w:suff w:val="space"/>
      <w:lvlText w:val="%1.%2.%3"/>
      <w:lvlJc w:val="left"/>
      <w:pPr>
        <w:ind w:left="0" w:firstLine="0"/>
      </w:pPr>
      <w:rPr>
        <w:rFonts w:hint="eastAsia"/>
        <w:b/>
        <w:i w:val="0"/>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78925966"/>
    <w:multiLevelType w:val="multilevel"/>
    <w:tmpl w:val="78925966"/>
    <w:lvl w:ilvl="0" w:tentative="0">
      <w:start w:val="1"/>
      <w:numFmt w:val="lowerLetter"/>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0"/>
    <w:lvlOverride w:ilvl="2">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0OGIxOTdiMDIwNWM4ZDI3YzRmN2UwZTk2MjYwNGQifQ=="/>
  </w:docVars>
  <w:rsids>
    <w:rsidRoot w:val="00172A27"/>
    <w:rsid w:val="00550AAC"/>
    <w:rsid w:val="00D95C8D"/>
    <w:rsid w:val="00F974A4"/>
    <w:rsid w:val="02E339DE"/>
    <w:rsid w:val="03557DDC"/>
    <w:rsid w:val="03A44152"/>
    <w:rsid w:val="04CA78DE"/>
    <w:rsid w:val="060F6D3F"/>
    <w:rsid w:val="06294661"/>
    <w:rsid w:val="070901BF"/>
    <w:rsid w:val="072432AC"/>
    <w:rsid w:val="09BF380D"/>
    <w:rsid w:val="0D082A6E"/>
    <w:rsid w:val="0DA85006"/>
    <w:rsid w:val="0E773638"/>
    <w:rsid w:val="0E991AC5"/>
    <w:rsid w:val="0FE35B28"/>
    <w:rsid w:val="10FF23DE"/>
    <w:rsid w:val="114E7220"/>
    <w:rsid w:val="128D513D"/>
    <w:rsid w:val="13714DAC"/>
    <w:rsid w:val="14AF7C59"/>
    <w:rsid w:val="153A5A29"/>
    <w:rsid w:val="16283862"/>
    <w:rsid w:val="16400090"/>
    <w:rsid w:val="166B1A33"/>
    <w:rsid w:val="17A53759"/>
    <w:rsid w:val="18137609"/>
    <w:rsid w:val="191B4100"/>
    <w:rsid w:val="19801DEC"/>
    <w:rsid w:val="199925CC"/>
    <w:rsid w:val="1B1849A1"/>
    <w:rsid w:val="1D474A5C"/>
    <w:rsid w:val="1E9A7158"/>
    <w:rsid w:val="1F0C4709"/>
    <w:rsid w:val="214712F7"/>
    <w:rsid w:val="228F30E4"/>
    <w:rsid w:val="22BA150A"/>
    <w:rsid w:val="23D022AF"/>
    <w:rsid w:val="25F643DC"/>
    <w:rsid w:val="27EB6310"/>
    <w:rsid w:val="283D27FD"/>
    <w:rsid w:val="288E0FF4"/>
    <w:rsid w:val="29D2680F"/>
    <w:rsid w:val="2A490BB7"/>
    <w:rsid w:val="2BB05186"/>
    <w:rsid w:val="2BB5389A"/>
    <w:rsid w:val="2BF25578"/>
    <w:rsid w:val="2CF73565"/>
    <w:rsid w:val="322B2FC2"/>
    <w:rsid w:val="32BF26AF"/>
    <w:rsid w:val="33FE1224"/>
    <w:rsid w:val="3415635E"/>
    <w:rsid w:val="34243156"/>
    <w:rsid w:val="342546ED"/>
    <w:rsid w:val="34B20711"/>
    <w:rsid w:val="34FB1B2C"/>
    <w:rsid w:val="35143F5C"/>
    <w:rsid w:val="36F00B30"/>
    <w:rsid w:val="36F61C70"/>
    <w:rsid w:val="38E91782"/>
    <w:rsid w:val="396816DF"/>
    <w:rsid w:val="3B40515E"/>
    <w:rsid w:val="3B736A22"/>
    <w:rsid w:val="3BD511CF"/>
    <w:rsid w:val="3D51262B"/>
    <w:rsid w:val="3DFA0403"/>
    <w:rsid w:val="3E2E3212"/>
    <w:rsid w:val="3E4460CF"/>
    <w:rsid w:val="3EBE1CFF"/>
    <w:rsid w:val="3EE918EA"/>
    <w:rsid w:val="40824A83"/>
    <w:rsid w:val="42CE5F8A"/>
    <w:rsid w:val="42F43B5C"/>
    <w:rsid w:val="431E5925"/>
    <w:rsid w:val="43C84F0C"/>
    <w:rsid w:val="44950CF9"/>
    <w:rsid w:val="449E5791"/>
    <w:rsid w:val="47F653B6"/>
    <w:rsid w:val="48011EE8"/>
    <w:rsid w:val="4A530E8B"/>
    <w:rsid w:val="4C443D1B"/>
    <w:rsid w:val="4C5408C5"/>
    <w:rsid w:val="4F1B7636"/>
    <w:rsid w:val="4FFE3D27"/>
    <w:rsid w:val="51EF71F9"/>
    <w:rsid w:val="531405A8"/>
    <w:rsid w:val="54574ECA"/>
    <w:rsid w:val="55370776"/>
    <w:rsid w:val="55A6059B"/>
    <w:rsid w:val="57DE41EF"/>
    <w:rsid w:val="582D0CBD"/>
    <w:rsid w:val="599A1C0F"/>
    <w:rsid w:val="5A8A5021"/>
    <w:rsid w:val="5AF2155F"/>
    <w:rsid w:val="5B05499A"/>
    <w:rsid w:val="5B273F3C"/>
    <w:rsid w:val="5CCD2DDB"/>
    <w:rsid w:val="5CF649B4"/>
    <w:rsid w:val="5DAC76F5"/>
    <w:rsid w:val="5E722B5C"/>
    <w:rsid w:val="5EE56ABE"/>
    <w:rsid w:val="5F680472"/>
    <w:rsid w:val="5FEC4A2B"/>
    <w:rsid w:val="60656368"/>
    <w:rsid w:val="60920AF2"/>
    <w:rsid w:val="62C4784F"/>
    <w:rsid w:val="63A05631"/>
    <w:rsid w:val="646F6A98"/>
    <w:rsid w:val="648659EC"/>
    <w:rsid w:val="649328AC"/>
    <w:rsid w:val="65495C0B"/>
    <w:rsid w:val="65BF0DD6"/>
    <w:rsid w:val="65D05EAF"/>
    <w:rsid w:val="67A42A5F"/>
    <w:rsid w:val="68D057F2"/>
    <w:rsid w:val="696479CA"/>
    <w:rsid w:val="6A716980"/>
    <w:rsid w:val="6B080509"/>
    <w:rsid w:val="6BFC7C6B"/>
    <w:rsid w:val="6C145B25"/>
    <w:rsid w:val="6C991F90"/>
    <w:rsid w:val="6DB35A4E"/>
    <w:rsid w:val="6E7A31A5"/>
    <w:rsid w:val="6EEF7B01"/>
    <w:rsid w:val="734323FA"/>
    <w:rsid w:val="75AA1B72"/>
    <w:rsid w:val="7753429E"/>
    <w:rsid w:val="7A4E1FA5"/>
    <w:rsid w:val="7D2526F9"/>
    <w:rsid w:val="7D574C31"/>
    <w:rsid w:val="7EFF63F1"/>
    <w:rsid w:val="7F62204B"/>
    <w:rsid w:val="7FF003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9"/>
    <w:pPr>
      <w:keepNext/>
      <w:keepLines/>
      <w:numPr>
        <w:ilvl w:val="0"/>
        <w:numId w:val="1"/>
      </w:numPr>
      <w:outlineLvl w:val="0"/>
    </w:pPr>
    <w:rPr>
      <w:b/>
      <w:bCs/>
      <w:kern w:val="44"/>
      <w:szCs w:val="44"/>
    </w:rPr>
  </w:style>
  <w:style w:type="paragraph" w:styleId="4">
    <w:name w:val="heading 2"/>
    <w:basedOn w:val="1"/>
    <w:next w:val="1"/>
    <w:qFormat/>
    <w:uiPriority w:val="9"/>
    <w:pPr>
      <w:keepNext/>
      <w:keepLines/>
      <w:numPr>
        <w:ilvl w:val="1"/>
        <w:numId w:val="1"/>
      </w:numPr>
      <w:outlineLvl w:val="1"/>
    </w:pPr>
    <w:rPr>
      <w:rFonts w:hAnsi="Arial"/>
      <w:b/>
      <w:bCs/>
      <w:szCs w:val="32"/>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font01"/>
    <w:basedOn w:val="7"/>
    <w:qFormat/>
    <w:uiPriority w:val="0"/>
    <w:rPr>
      <w:rFonts w:hint="eastAsia" w:ascii="宋体" w:hAnsi="宋体" w:eastAsia="宋体" w:cs="宋体"/>
      <w:b/>
      <w:color w:val="000000"/>
      <w:sz w:val="20"/>
      <w:szCs w:val="20"/>
      <w:u w:val="none"/>
    </w:rPr>
  </w:style>
  <w:style w:type="paragraph" w:customStyle="1" w:styleId="9">
    <w:name w:val="样式1"/>
    <w:basedOn w:val="1"/>
    <w:qFormat/>
    <w:uiPriority w:val="0"/>
    <w:pPr>
      <w:numPr>
        <w:ilvl w:val="2"/>
        <w:numId w:val="1"/>
      </w:numPr>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ylg</Company>
  <Pages>5</Pages>
  <Words>1774</Words>
  <Characters>1854</Characters>
  <Lines>0</Lines>
  <Paragraphs>0</Paragraphs>
  <TotalTime>2</TotalTime>
  <ScaleCrop>false</ScaleCrop>
  <LinksUpToDate>false</LinksUpToDate>
  <CharactersWithSpaces>1857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2020-08-17T00:35:00Z</dcterms:created>
  <dc:creator>王伟</dc:creator>
  <cp:lastModifiedBy>黄海潮</cp:lastModifiedBy>
  <cp:lastPrinted>2024-04-22T02:56:00Z</cp:lastPrinted>
  <dcterms:modified xsi:type="dcterms:W3CDTF">2024-04-22T03:17:49Z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4881E138CED24F7E87EA89AD7D287458</vt:lpwstr>
  </property>
</Properties>
</file>