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昆明局2022</w:t>
      </w:r>
      <w:r>
        <w:rPr>
          <w:rFonts w:hint="eastAsia" w:ascii="黑体" w:hAnsi="黑体" w:eastAsia="黑体" w:cs="宋体"/>
          <w:b/>
          <w:color w:val="auto"/>
          <w:sz w:val="36"/>
          <w:szCs w:val="36"/>
          <w:highlight w:val="none"/>
          <w:u w:val="single"/>
          <w:lang w:val="en-US" w:eastAsia="zh-CN"/>
        </w:rPr>
        <w:t>-2023年度废旧车辆实物处置</w:t>
      </w:r>
      <w:r>
        <w:rPr>
          <w:rFonts w:hint="eastAsia" w:ascii="黑体" w:hAnsi="黑体" w:eastAsia="黑体" w:cs="宋体"/>
          <w:b/>
          <w:color w:val="auto"/>
          <w:sz w:val="36"/>
          <w:szCs w:val="36"/>
          <w:highlight w:val="none"/>
          <w:u w:val="single"/>
          <w:lang w:val="zh-CN"/>
        </w:rPr>
        <w:t>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none"/>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根据《关于公司2022年度车辆报废的批复》（超高压办〔2022〕8号）、《关于公司2023年度车辆报废的批复》（超高压办〔2023〕4号）相关要求，废旧车辆实物处置优先采用车辆转让方式。现已完成废旧车辆实物评估，选定废旧车辆实物拍卖公司</w:t>
      </w:r>
      <w:r>
        <w:rPr>
          <w:rFonts w:hint="eastAsia" w:ascii="宋体" w:hAnsi="宋体" w:eastAsia="宋体" w:cs="宋体"/>
          <w:color w:val="auto"/>
          <w:sz w:val="28"/>
          <w:szCs w:val="28"/>
          <w:highlight w:val="none"/>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选定废旧车辆实物拍卖公司</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color w:val="auto"/>
          <w:sz w:val="28"/>
          <w:szCs w:val="28"/>
          <w:highlight w:val="none"/>
          <w:u w:val="single"/>
          <w:lang w:val="en-US" w:eastAsia="zh-CN"/>
        </w:rPr>
        <w:t>成交通知书落款日期起至6个月内</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中国（云南）自由贸易试验区昆明片区经开区出口加工区玉缘路21号</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2.4.1</w:t>
      </w:r>
      <w:r>
        <w:rPr>
          <w:rFonts w:hint="eastAsia" w:ascii="宋体" w:hAnsi="宋体" w:eastAsia="宋体" w:cs="宋体"/>
          <w:color w:val="auto"/>
          <w:sz w:val="28"/>
          <w:szCs w:val="28"/>
          <w:highlight w:val="none"/>
          <w:u w:val="single"/>
          <w:lang w:val="en-US" w:eastAsia="zh-CN"/>
        </w:rPr>
        <w:t>此次废旧车辆实物评估价合计：4.72万元，项目概算金额按照评估价的5%暂估计算；</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2.4.</w:t>
      </w:r>
      <w:r>
        <w:rPr>
          <w:rFonts w:hint="eastAsia" w:ascii="宋体" w:hAnsi="宋体" w:eastAsia="宋体" w:cs="宋体"/>
          <w:color w:val="auto"/>
          <w:sz w:val="28"/>
          <w:szCs w:val="28"/>
          <w:highlight w:val="none"/>
          <w:u w:val="single"/>
          <w:lang w:val="en-US" w:eastAsia="zh-CN"/>
        </w:rPr>
        <w:t>2成交供应商（拍卖人）拍卖未成交的，拍卖人不收取委托人任何费用；拍卖成功的，除收取买受人5%的佣金外，收取委托人费用为：拍卖成交金额*5%*下浮点报价。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2.4.</w:t>
      </w:r>
      <w:r>
        <w:rPr>
          <w:rFonts w:hint="eastAsia" w:ascii="宋体" w:hAnsi="宋体" w:eastAsia="宋体" w:cs="宋体"/>
          <w:color w:val="auto"/>
          <w:sz w:val="28"/>
          <w:szCs w:val="28"/>
          <w:highlight w:val="none"/>
          <w:u w:val="single"/>
          <w:lang w:val="en-US" w:eastAsia="zh-CN"/>
        </w:rPr>
        <w:t>3根据《中华人民共和国拍卖法》第五十六条规定：”委托人、买受人可以与拍卖人约定佣金的比例。 委托人、买受人与拍卖人对佣金比例未作约定，拍卖成交的，拍卖人可以向委托人、买受人各收取不超过拍卖成交价百分之五的佣金。</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2.4.</w:t>
      </w:r>
      <w:r>
        <w:rPr>
          <w:rFonts w:hint="eastAsia" w:ascii="宋体" w:hAnsi="宋体" w:eastAsia="宋体" w:cs="宋体"/>
          <w:color w:val="auto"/>
          <w:sz w:val="28"/>
          <w:szCs w:val="28"/>
          <w:highlight w:val="none"/>
          <w:u w:val="single"/>
          <w:lang w:val="en-US" w:eastAsia="zh-CN"/>
        </w:rPr>
        <w:t>4成交供应商下浮点比例一致的情况下，优先选取拍卖业绩数量多的供应商为推荐供应商</w:t>
      </w:r>
      <w:r>
        <w:rPr>
          <w:rFonts w:hint="eastAsia" w:ascii="宋体" w:hAnsi="宋体" w:cs="宋体"/>
          <w:color w:val="auto"/>
          <w:sz w:val="28"/>
          <w:szCs w:val="28"/>
          <w:highlight w:val="none"/>
          <w:u w:val="single"/>
          <w:lang w:val="en-US" w:eastAsia="zh-CN"/>
        </w:rPr>
        <w:t>;如下浮点比例和业绩数量均一致，以业绩累积成交金额大的为推荐供应商</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无。</w:t>
      </w: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color w:val="auto"/>
                <w:kern w:val="2"/>
                <w:sz w:val="24"/>
                <w:szCs w:val="22"/>
                <w:highlight w:val="none"/>
                <w:vertAlign w:val="baseline"/>
                <w:lang w:val="en-US" w:eastAsia="zh-CN" w:bidi="ar-SA"/>
              </w:rPr>
            </w:pPr>
            <w:r>
              <w:rPr>
                <w:rFonts w:hint="eastAsia" w:ascii="宋体" w:hAnsi="宋体" w:cs="Times New Roman"/>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lang w:eastAsia="zh-CN"/>
              </w:rPr>
            </w:pPr>
            <w:r>
              <w:rPr>
                <w:rFonts w:hint="eastAsia" w:ascii="宋体" w:hAnsi="宋体" w:cs="Times New Roman"/>
                <w:color w:val="auto"/>
                <w:sz w:val="24"/>
                <w:highlight w:val="none"/>
                <w:vertAlign w:val="baseline"/>
              </w:rPr>
              <w:t>①</w:t>
            </w:r>
            <w:r>
              <w:rPr>
                <w:rFonts w:hint="eastAsia" w:ascii="宋体" w:hAnsi="宋体" w:cs="Times New Roman"/>
                <w:color w:val="auto"/>
                <w:sz w:val="24"/>
                <w:highlight w:val="none"/>
                <w:vertAlign w:val="baseline"/>
                <w:lang w:eastAsia="zh-CN"/>
              </w:rPr>
              <w:t>拍卖经营批准证书；</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2"/>
                <w:highlight w:val="none"/>
                <w:vertAlign w:val="baseline"/>
                <w:lang w:val="en-US" w:eastAsia="zh-CN" w:bidi="ar-SA"/>
              </w:rPr>
            </w:pPr>
            <w:r>
              <w:rPr>
                <w:rFonts w:hint="eastAsia" w:ascii="宋体" w:hAnsi="宋体" w:cs="Times New Roman"/>
                <w:color w:val="auto"/>
                <w:sz w:val="24"/>
                <w:highlight w:val="none"/>
                <w:vertAlign w:val="baseline"/>
              </w:rPr>
              <w:t>②近三年</w:t>
            </w:r>
            <w:r>
              <w:rPr>
                <w:rFonts w:hint="eastAsia" w:ascii="宋体" w:hAnsi="宋体" w:cs="Times New Roman"/>
                <w:color w:val="auto"/>
                <w:sz w:val="24"/>
                <w:highlight w:val="none"/>
                <w:vertAlign w:val="baseline"/>
                <w:lang w:val="en-US" w:eastAsia="zh-CN"/>
              </w:rPr>
              <w:t>类同</w:t>
            </w:r>
            <w:r>
              <w:rPr>
                <w:rFonts w:hint="eastAsia" w:ascii="宋体" w:hAnsi="宋体" w:cs="Times New Roman"/>
                <w:color w:val="auto"/>
                <w:sz w:val="24"/>
                <w:highlight w:val="none"/>
                <w:vertAlign w:val="baseline"/>
              </w:rPr>
              <w:t>拍卖业绩证明文件。</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eastAsia" w:ascii="宋体" w:hAnsi="宋体" w:cs="宋体"/>
          <w:color w:val="auto"/>
          <w:spacing w:val="-1"/>
          <w:szCs w:val="21"/>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00" w:type="dxa"/>
            <w:noWrap w:val="0"/>
            <w:vAlign w:val="center"/>
          </w:tcPr>
          <w:p>
            <w:pPr>
              <w:spacing w:line="24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24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00" w:type="dxa"/>
            <w:noWrap w:val="0"/>
            <w:vAlign w:val="center"/>
          </w:tcPr>
          <w:p>
            <w:pPr>
              <w:adjustRightInd w:val="0"/>
              <w:snapToGrid w:val="0"/>
              <w:spacing w:beforeLines="0" w:afterLines="0" w:line="24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cs="宋体"/>
                <w:b w:val="0"/>
                <w:bCs w:val="0"/>
                <w:color w:val="auto"/>
                <w:kern w:val="0"/>
                <w:sz w:val="18"/>
                <w:szCs w:val="18"/>
                <w:highlight w:val="none"/>
                <w:lang w:val="en-US" w:eastAsia="zh-CN"/>
              </w:rPr>
              <w:t>/</w:t>
            </w:r>
          </w:p>
        </w:tc>
        <w:tc>
          <w:tcPr>
            <w:tcW w:w="1075" w:type="dxa"/>
            <w:noWrap w:val="0"/>
            <w:vAlign w:val="center"/>
          </w:tcPr>
          <w:p>
            <w:pPr>
              <w:adjustRightInd w:val="0"/>
              <w:snapToGrid w:val="0"/>
              <w:spacing w:beforeLines="0" w:afterLines="0" w:line="24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w:t>
            </w:r>
          </w:p>
        </w:tc>
        <w:tc>
          <w:tcPr>
            <w:tcW w:w="3735" w:type="dxa"/>
            <w:noWrap w:val="0"/>
            <w:vAlign w:val="center"/>
          </w:tcPr>
          <w:p>
            <w:pPr>
              <w:keepNext w:val="0"/>
              <w:keepLines w:val="0"/>
              <w:widowControl/>
              <w:suppressLineNumbers w:val="0"/>
              <w:spacing w:line="240" w:lineRule="auto"/>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w:t>
            </w:r>
          </w:p>
        </w:tc>
        <w:tc>
          <w:tcPr>
            <w:tcW w:w="2732" w:type="dxa"/>
            <w:noWrap w:val="0"/>
            <w:vAlign w:val="center"/>
          </w:tcPr>
          <w:p>
            <w:pPr>
              <w:adjustRightInd w:val="0"/>
              <w:snapToGrid w:val="0"/>
              <w:spacing w:line="240" w:lineRule="auto"/>
              <w:jc w:val="center"/>
              <w:rPr>
                <w:rFonts w:hint="default" w:ascii="宋体" w:hAnsi="宋体" w:eastAsia="宋体" w:cs="宋体"/>
                <w:b w:val="0"/>
                <w:bCs w:val="0"/>
                <w:color w:val="FF0000"/>
                <w:kern w:val="0"/>
                <w:sz w:val="18"/>
                <w:szCs w:val="18"/>
                <w:highlight w:val="none"/>
                <w:lang w:val="en-US" w:eastAsia="zh-CN" w:bidi="ar-SA"/>
              </w:rPr>
            </w:pPr>
            <w:r>
              <w:rPr>
                <w:rFonts w:hint="eastAsia" w:ascii="宋体" w:hAnsi="宋体" w:cs="宋体"/>
                <w:b w:val="0"/>
                <w:bCs w:val="0"/>
                <w:color w:val="FF0000"/>
                <w:kern w:val="0"/>
                <w:sz w:val="18"/>
                <w:szCs w:val="18"/>
                <w:highlight w:val="none"/>
                <w:lang w:val="en-US" w:eastAsia="zh-CN"/>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jc w:val="left"/>
        <w:textAlignment w:val="auto"/>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七、联系人信息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highlight w:val="none"/>
        </w:rPr>
      </w:pPr>
      <w:r>
        <w:rPr>
          <w:rFonts w:hint="eastAsia" w:cs="Times New Roman"/>
          <w:b/>
          <w:color w:val="auto"/>
          <w:sz w:val="28"/>
          <w:szCs w:val="28"/>
          <w:highlight w:val="none"/>
          <w:lang w:val="en-US" w:eastAsia="zh-CN"/>
        </w:rPr>
        <w:t>为方便沟通，请将此项目联系人信息填写后，上传系统。</w:t>
      </w:r>
    </w:p>
    <w:bookmarkEnd w:id="3"/>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5657D"/>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B57DC"/>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CF66B41"/>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9F635A"/>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392E9F"/>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28158B"/>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3156FE"/>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252DA"/>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DE667E"/>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22DE4"/>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DF96824"/>
    <w:rsid w:val="4E220374"/>
    <w:rsid w:val="4E321855"/>
    <w:rsid w:val="4E3F4C54"/>
    <w:rsid w:val="4E712D50"/>
    <w:rsid w:val="4E7F0172"/>
    <w:rsid w:val="4E810DFB"/>
    <w:rsid w:val="4E861861"/>
    <w:rsid w:val="4E867E26"/>
    <w:rsid w:val="4E8F0453"/>
    <w:rsid w:val="4E9248C8"/>
    <w:rsid w:val="4ED94331"/>
    <w:rsid w:val="4EDF1751"/>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93281F"/>
    <w:rsid w:val="59B727D2"/>
    <w:rsid w:val="59B7353F"/>
    <w:rsid w:val="59CA4011"/>
    <w:rsid w:val="59D72AF2"/>
    <w:rsid w:val="59E76C44"/>
    <w:rsid w:val="59F034A6"/>
    <w:rsid w:val="59F43016"/>
    <w:rsid w:val="5A1E7B0E"/>
    <w:rsid w:val="5A3547C6"/>
    <w:rsid w:val="5A4F32DC"/>
    <w:rsid w:val="5A547BBA"/>
    <w:rsid w:val="5A5D1513"/>
    <w:rsid w:val="5A62495D"/>
    <w:rsid w:val="5A672916"/>
    <w:rsid w:val="5A7A2908"/>
    <w:rsid w:val="5A7F7766"/>
    <w:rsid w:val="5A9F4957"/>
    <w:rsid w:val="5AC667C1"/>
    <w:rsid w:val="5ACA6500"/>
    <w:rsid w:val="5AE07A51"/>
    <w:rsid w:val="5AEA5BB9"/>
    <w:rsid w:val="5B510484"/>
    <w:rsid w:val="5B553EE5"/>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4A7AD3"/>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2B303C"/>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92D2E"/>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9629B"/>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46DCA"/>
    <w:rsid w:val="6B26304F"/>
    <w:rsid w:val="6B2C5D50"/>
    <w:rsid w:val="6B345DB3"/>
    <w:rsid w:val="6B412954"/>
    <w:rsid w:val="6B5D49E9"/>
    <w:rsid w:val="6B773B2F"/>
    <w:rsid w:val="6B7D4B3D"/>
    <w:rsid w:val="6B9769F4"/>
    <w:rsid w:val="6B994889"/>
    <w:rsid w:val="6B9C5079"/>
    <w:rsid w:val="6B9E5DA9"/>
    <w:rsid w:val="6BC63A92"/>
    <w:rsid w:val="6BCD763B"/>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45861"/>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3150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85993"/>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00035115_cgy</cp:lastModifiedBy>
  <dcterms:modified xsi:type="dcterms:W3CDTF">2024-04-01T01:17:48Z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F074DD191CE94C3FBDE985F0764AED60</vt:lpwstr>
  </property>
</Properties>
</file>