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default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标的名称：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标的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1</w:t>
      </w:r>
    </w:p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标段名称：阳江220千伏银岭输变电工程施工</w:t>
      </w: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（不含变电站建筑部分）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阳江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阳江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阳江市凯源电力设计有限公司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</w:tbl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bookmarkEnd w:id="0"/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项目概况</w:t>
      </w:r>
      <w:bookmarkStart w:id="1" w:name="_Toc4755"/>
      <w:bookmarkStart w:id="2" w:name="_Toc28718"/>
      <w:bookmarkStart w:id="3" w:name="_Toc13498"/>
    </w:p>
    <w:bookmarkEnd w:id="1"/>
    <w:bookmarkEnd w:id="2"/>
    <w:bookmarkEnd w:id="3"/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220千伏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银岭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输变电工程施工（不含变电站建筑部分）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 xml:space="preserve">※变电部分: 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1、220千伏银岭变电站工程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（不含变电站建筑部分）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新建180兆伏安主变压器2台，每台主变10千伏侧安装5组8兆乏并联电容器组。新建220千伏出线5回，110千伏出线6回，10千伏出线20回。本工程按最终规模一次征地，征地面积2.0901公顷（31.35亩），其中围墙内用地面积1.3651公顷（20.48亩）。全站总建筑面积5988.92平方米，其中综合配电楼建筑面积4626.02平方米，220千伏配电装置室建筑面积1174.20平方米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500千伏蝶岭站扩建220千伏间隔工程：在220千伏配电装置场地东侧超规模扩建1个220千伏出线间隔，并更换原蝶坝线（本期改为蝶银甲线）线路引下线，采用户外GIS设备，电气接线和配电装置型式同前期。需新增地2419平方米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3、220千伏坝基头站220千伏间隔改造工程：更换原蝶坝线、坝旗线（本期改为银坝甲、乙线）间隔内导线，采用户外敞开式设备，电气接线和配电装置型式同前期。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4、220千伏旗鼓岭站220千伏间隔改造工程更换原坝旗线（本期改为银旗线）间隔内导线，采用户外敞开式设备，电气接线和配电装置型式同前期。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5、110千伏白沙站110千伏间隔改造工程：更换原白银线、白长线（本期改为银白甲、乙线）间隔内导线，采用户外敞开式设备，电气接线和配电装置型式同前期。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6、110千伏长兴站保护改造工程：本期至银岭站110千伏线路配置复用光纤通道的电流差动保护，利用原有保护装置升级改造。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7、110千伏银河站保护改造工程：本期至银岭站110千伏线路配置复用光纤通道的电流差动保护，利用原有保护装置升级改造。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※架空线路部分: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220千伏坝旗线（旗鼓岭侧）改接入银岭站线路工程：断开220千伏坝基头至旗鼓岭单回线路，旗鼓岭侧线路改接入220千伏银岭站，形成220千伏旗鼓岭至银岭单回线路。新建220千伏同塔双回挂单回导线线路长约1×19.5千米，利用已有线路更换单回耐热导线长约1×10.3千米。新建导线采用2×JL/LB20A-630/45型铝包钢芯铝绞线，更改耐热导线段采用2×JNRLH1/LBY-315/55型铝包殷钢芯耐热铝合金绞线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220千伏蝶岭至银岭线路工程：自500千伏蝶岭站至220千伏银岭站，新建220千伏同塔双回架空线路长约2×19.6千米，新建220千伏单回架空线路长约1×（1.5+1.5+1.8+2.0）千米，利用已有同塔双回架空线路长约2×（1.0+1.9）千米。新建导线采用2×JL/LB20A-630/45型铝包钢芯铝绞线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3、220千伏蝶坝线、坝旗线（坝基头侧）改接入银岭站线路工程：断开220千伏蝶岭至坝基头单回线路及220千伏坝基头至旗鼓岭单回线路，坝基头侧线路改接入220千伏银岭站，形成220千伏坝基头至银岭双回线路。新建220千伏同塔双回架空线路长约2×33.4千米，利用已有线路更换耐热导线长约2×7.1千米。新建导线采用2×JL/LB20A-630/45型铝包钢芯铝绞线；更改耐热导线段采用2×JNRLH1/LBY-315/55型铝包殷钢芯耐热铝合金绞线。升高改造部分：新建 220kV 银岭至旗鼓岭线路、220kV 银岭至坝基头线路需分别钻越 500kV 回碟甲乙线、500kV 茂碟甲线、500kV 茂碟乙线，现状不满足钻越要求，分别做以下改造。对 500kV 回碟甲乙线#19 塔加高改造，新建双回路直线塔 1 基，拆除双回路直线塔 1 基，重 12 吨；对 500kV 回碟甲乙线#14-#25 段导地线重新紧线，路径长 4.2km，导线采用 4×ACSR/AS-720/50，地线采用 1 根 OPGW 光缆和 1 根铝包钢芯铝绞线。在 500kV 茂碟甲线#290-#291 段新增 1 基单回路直线塔。导地线重新紧线长 3.2km，导线采用 4×LGJX-400/35，地线采用 1 根 OPGW 光缆和 1 根铝包钢芯铝绞线。在 500kV 茂碟乙线#284-#285 段新增 1 基单回路直线塔。导地线重新紧线长 3.5km。导线采用4×LGJX-400/35，地线采用 1 根 OPGW 光缆和 1 根铝包钢芯铝绞线。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4、110千伏银长线（长兴侧）改接入银岭站线路工程：断开110千伏银河至长兴单回线路，把长兴侧线路改接入220千伏银岭站，把原T接银长线上的环境园垃圾电厂改接入220千伏银岭站，形成110千伏银岭至长兴单回线路、110千伏银岭至环境园垃圾电厂单回线路。新建110千伏同塔双回架空线路长约2×3.6千米。新建导线采用1×JL/LB20A-400/35型铝包钢芯铝绞线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5、110千伏银岭至银河线路工程：自220千伏银岭站至110千伏银河站，新建110千伏同塔双回架空线路长约2×10.65千米。新建导线采用1×JL/LB20A-400/35型铝包钢芯铝绞线。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6、110千伏银岭至白沙线路工程：自220千伏银岭站至110千伏白沙站，新建110千伏同塔双回架空线路长约2×6.8千米，新建110千伏同塔四回挂双回导线架空线路长约 2×4.0千米。利用原有110千伏同塔双回架空线路更换双回耐热导线长约 2×2.3千米。新建导线采用1×JL/LB20A-400/35型铝包钢芯铝绞线，更改耐热导线段采用1×JNRLH1/LBY-200/45型铝包钢芯耐热铝合金绞线。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※通信部分：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1、配套通信设备工程：配套建设站端通信设备和光缆路由等。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2、220kV坝旗线（旗鼓岭侧）改接入银岭站线路配套新建段OPGW光缆工程：新建线路起于220kV银岭站，止于220kV坝旗线改接点JB23，新建线路总长1×19.5km，全线按同塔双回单边挂线架设。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3、220kV蝶岭至银岭站线路配套OPGW光缆工程：地线：双回路采用2根72芯OPGW光缆(2×20.6km)，单回路采用采用1根72芯OPGW光缆(1×1.5km+×1.5km+1×1.8km+1×2.0km)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4、220kV蝶坝线、坝旗线（坝基头侧）改接入银岭站线路配套OPGW光缆工程：新建线路起于220kV银岭站，止于110kV白沙站，全线按同塔双回架设，线路总长2×13.1km；其中新建线路长2×10.8km（双回路段6.8km、四回路挂双回4.0km），利用原110kV白银线改造线路总长2×2.3km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5、110kV银长线（长兴侧）改接入银岭站线路配套OPGW光缆工程：220kV银岭站新建双回110kV架空线至110kV银河～长兴站线路#40塔附近改接点，新建线路全长2×3.6km。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6、110kV 银岭至银河线路配套 OPGW 光缆工程：线路全长10.65km，光缆采用2根48芯OPGW光缆。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7、110kV银岭至白沙线路配套OPGW光缆工程：新建线路起于220kV银岭站，止于110kV白沙站，全线按同塔双回架设，线路总长2×13.1km；其中新建线路长2×10.8km（双回路段6.8km、四回路挂双回4.0km），利用原110kV白银线改造线路总长2×2.3km。</w:t>
      </w:r>
    </w:p>
    <w:p>
      <w:pPr>
        <w:keepNext w:val="0"/>
        <w:keepLines w:val="0"/>
        <w:pageBreakBefore w:val="0"/>
        <w:tabs>
          <w:tab w:val="left" w:pos="2354"/>
        </w:tabs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  <w:t>具体建设规模以施工图纸为准。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采购范围</w:t>
      </w:r>
      <w:bookmarkStart w:id="4" w:name="施工招标范围综合"/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的为本次报价范围；□未打√的，不在本次报价范围内</w:t>
      </w:r>
      <w:bookmarkEnd w:id="4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，特殊情况在“其他”中说明。</w:t>
      </w:r>
    </w:p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（1）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220千伏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银岭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输变电工程施工（不含变电站建筑部分）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建筑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（一）主要生产工程：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主要生产建筑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配电装置建筑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供水系统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消防系统；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（二）辅助生产工程：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辅助生产建筑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站区性建筑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特殊构筑物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全站沉降观测点，站区绿化；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（三）与站址有关的单项工程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地基处理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站外道路（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□桥涵），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站外水源，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站外排水，□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站外蒸发池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，□施工降水，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临时施工电源，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临时施工水源，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临时施工道路，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临时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施工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通信线路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，□临时施工防护工程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白蚁防治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/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安装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主变压器系统，配电装置，无功补偿，控制及直流系统，站用电系统（不含站区照明），电缆及接地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（不含站区照明电缆、电线和全站接地）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，远动系统（含总调、中调、地调调度端的扩容），计费系统，全站调试（其中特殊调试以合同附件特殊调试项目为准）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）辅助生产工程：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检修及修配设备；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（三）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与站址有关的单项工程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□站外电源，□站外通信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☑全站调试不包含接地网阻抗测试，☑不含与吊车、电梯有关的建筑及安装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防坠地装置，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防鸟刺装置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施工临时占用地（含牵引场地）青苗赔偿，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施工道路的青苗赔偿，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塔基占地及其青苗赔偿，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架线青苗赔偿，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接地线铺设的青苗赔偿，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跨越通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>☑跨越普通铁路补偿费，跨越高铁补偿费，跨越高速公路补偿费，地下输油管道防护处理措施费，跨越封航措施费计入合同价，结算时按项目实际发生的费用（经发包人确认）结算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架空线路部分：施工图纸范围内的光缆单盘测量、接续、全程测量；与施工相关的所有其他费用项目；不包含光缆架设、拆除、跨越及青苗赔偿。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0" w:leftChars="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  <w:t>承包方式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begin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-4"/>
          <w:sz w:val="31"/>
          <w:szCs w:val="21"/>
          <w:highlight w:val="none"/>
          <w:u w:val="none"/>
        </w:rPr>
        <w:instrText xml:space="preserve">□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0"/>
          <w:sz w:val="21"/>
          <w:szCs w:val="21"/>
          <w:highlight w:val="none"/>
          <w:u w:val="none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end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的为甲供，□未打√的及不在下列的为乙供。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（1）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阳江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220千伏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银岭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输变电工程施工（不含变电站建筑部分）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，低压电线，铜铝端子，铜端子，构支架钢结构（含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构支架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横梁，爬梯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避雷针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、装配式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变电站围墙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主变防火墙（含混凝土和复合材质，厂家包安装及基础灌浆）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（铝合金、角钢、复合材质），电杆（含混凝土和复合材料）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）、电缆管塞封堵器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，防爆空调（蓄电池室）、智能围栏。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电缆沟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□消防电缆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□吊车、□电梯（不含货物电梯）、□嵌入式空调（天井式）、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专用空调（生产场所、带自动启动功能）。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电气一、二次设备，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铝镁合金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管形母线及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其配套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，金具及附件（含线夹），钢绞线，铝绞线，红外热像仪，变电站智能巡检机器人，独立五防系统，检修隔离装置，视频及环境监控系统，监测装置，变压器配电箱（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SMC材质、不锈钢材质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端子箱，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发电车开关箱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，低压电线，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10kV及以上电缆头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1"/>
          <w:szCs w:val="21"/>
          <w:highlight w:val="none"/>
          <w:lang w:eastAsia="zh-CN"/>
        </w:rPr>
        <w:t>各种类型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缘子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封闭母线桥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10kV绝缘铜管母线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穿墙套管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（铝合金、角钢、复合材质）、铝合金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电缆桥架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、计量接引装置、电抗器接地装置、小电流接地选线装置。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吊车。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杆塔，铁塔加固器装置，高空防坠落装置，钢绞线，铝绞线，导地线，绝缘子、绝缘横担，金具，光缆，光缆金具，线路避雷器，故障指示器，故障精确定位装置，监测装置，视频监控系统，石墨基接地体，标志牌（线路标志牌、警示牌、标示桩、安装支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1、变电部分：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（一）甲供物资：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通信相关设备（含电话、电池、监控等），数据网设备，机架，通信电源，各类光缆，综合配线设备及材料，电缆保护管材（HDPE管、涂塑钢管、PVC管、MPP管）。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（二）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其他甲供物资：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auto"/>
          <w:sz w:val="21"/>
          <w:szCs w:val="21"/>
          <w:highlight w:val="none"/>
          <w:lang w:val="en-US" w:eastAsia="zh-CN"/>
        </w:rPr>
        <w:t>2、架空线路部分：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甲供物资：光缆。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（二）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其他甲供物资：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/    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jOWJiZGQ2ZGFiMmUxMDYyZjIyYjgzZjI5ZTk4MmYifQ=="/>
  </w:docVars>
  <w:rsids>
    <w:rsidRoot w:val="24F737D8"/>
    <w:rsid w:val="00503881"/>
    <w:rsid w:val="00675492"/>
    <w:rsid w:val="00C073B0"/>
    <w:rsid w:val="01000F1F"/>
    <w:rsid w:val="014C5F8B"/>
    <w:rsid w:val="014D50AE"/>
    <w:rsid w:val="0270337E"/>
    <w:rsid w:val="0465127D"/>
    <w:rsid w:val="04D31677"/>
    <w:rsid w:val="050E07AE"/>
    <w:rsid w:val="05B87515"/>
    <w:rsid w:val="068D71D9"/>
    <w:rsid w:val="07751D79"/>
    <w:rsid w:val="09F12F4F"/>
    <w:rsid w:val="09F62510"/>
    <w:rsid w:val="0BC07002"/>
    <w:rsid w:val="0C053234"/>
    <w:rsid w:val="0C6B30AA"/>
    <w:rsid w:val="0D0758F3"/>
    <w:rsid w:val="0D882D55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AE66ACC"/>
    <w:rsid w:val="1B1435D1"/>
    <w:rsid w:val="1B663F82"/>
    <w:rsid w:val="1BA9108A"/>
    <w:rsid w:val="1C660CB1"/>
    <w:rsid w:val="1D592E11"/>
    <w:rsid w:val="1EA379B5"/>
    <w:rsid w:val="1F3969B8"/>
    <w:rsid w:val="20E776A4"/>
    <w:rsid w:val="216F4D5B"/>
    <w:rsid w:val="22B30023"/>
    <w:rsid w:val="22BD2637"/>
    <w:rsid w:val="22D01CE9"/>
    <w:rsid w:val="23570160"/>
    <w:rsid w:val="24E46BF4"/>
    <w:rsid w:val="24F737D8"/>
    <w:rsid w:val="250E3A49"/>
    <w:rsid w:val="274170EE"/>
    <w:rsid w:val="2785030E"/>
    <w:rsid w:val="278F57AD"/>
    <w:rsid w:val="27E47C4B"/>
    <w:rsid w:val="28F46A2A"/>
    <w:rsid w:val="296555D1"/>
    <w:rsid w:val="29A55C56"/>
    <w:rsid w:val="29FC239E"/>
    <w:rsid w:val="2BED7EC0"/>
    <w:rsid w:val="2BFF0E0F"/>
    <w:rsid w:val="2C2C1A35"/>
    <w:rsid w:val="2D8D50EF"/>
    <w:rsid w:val="2D8E3667"/>
    <w:rsid w:val="2E816236"/>
    <w:rsid w:val="2E9A5E18"/>
    <w:rsid w:val="2F362DFB"/>
    <w:rsid w:val="2FF65FF8"/>
    <w:rsid w:val="30035F08"/>
    <w:rsid w:val="300D195C"/>
    <w:rsid w:val="3044134F"/>
    <w:rsid w:val="309B6D9A"/>
    <w:rsid w:val="30BF37B5"/>
    <w:rsid w:val="312C2AE5"/>
    <w:rsid w:val="3178798B"/>
    <w:rsid w:val="3244265D"/>
    <w:rsid w:val="32F2736E"/>
    <w:rsid w:val="33A937BD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AD468A3"/>
    <w:rsid w:val="3B2A0F67"/>
    <w:rsid w:val="3BB261E1"/>
    <w:rsid w:val="3BCA27B8"/>
    <w:rsid w:val="3C114F9E"/>
    <w:rsid w:val="3C1E17EA"/>
    <w:rsid w:val="3C4A35F1"/>
    <w:rsid w:val="3E9D7E49"/>
    <w:rsid w:val="3F9B7EF1"/>
    <w:rsid w:val="415A7E63"/>
    <w:rsid w:val="42E701E3"/>
    <w:rsid w:val="42F4158E"/>
    <w:rsid w:val="43193F4E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CB2C71"/>
    <w:rsid w:val="49332FB5"/>
    <w:rsid w:val="4B3A1BDA"/>
    <w:rsid w:val="4C1966EB"/>
    <w:rsid w:val="4D392B7F"/>
    <w:rsid w:val="4DC759F3"/>
    <w:rsid w:val="4DD3333C"/>
    <w:rsid w:val="4E040B17"/>
    <w:rsid w:val="4EA560D6"/>
    <w:rsid w:val="525522E2"/>
    <w:rsid w:val="528404F0"/>
    <w:rsid w:val="52932C2A"/>
    <w:rsid w:val="53463775"/>
    <w:rsid w:val="53523D60"/>
    <w:rsid w:val="53AA5AAD"/>
    <w:rsid w:val="547776C9"/>
    <w:rsid w:val="55734D49"/>
    <w:rsid w:val="55C3156A"/>
    <w:rsid w:val="57593089"/>
    <w:rsid w:val="58354CB1"/>
    <w:rsid w:val="599017B7"/>
    <w:rsid w:val="5A277DBB"/>
    <w:rsid w:val="5D884004"/>
    <w:rsid w:val="5DE84119"/>
    <w:rsid w:val="5EB72BF2"/>
    <w:rsid w:val="5F091698"/>
    <w:rsid w:val="5F8E0C51"/>
    <w:rsid w:val="5FE724D4"/>
    <w:rsid w:val="60395037"/>
    <w:rsid w:val="60546075"/>
    <w:rsid w:val="608606DE"/>
    <w:rsid w:val="639D46DC"/>
    <w:rsid w:val="6424058D"/>
    <w:rsid w:val="64FC3BC3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D897695"/>
    <w:rsid w:val="6DAA2FDF"/>
    <w:rsid w:val="6E121228"/>
    <w:rsid w:val="701E68A6"/>
    <w:rsid w:val="70873960"/>
    <w:rsid w:val="70A4425D"/>
    <w:rsid w:val="70B81233"/>
    <w:rsid w:val="70D1495F"/>
    <w:rsid w:val="7129638F"/>
    <w:rsid w:val="72D25F1A"/>
    <w:rsid w:val="73641402"/>
    <w:rsid w:val="74E73186"/>
    <w:rsid w:val="74F238E6"/>
    <w:rsid w:val="76015DEA"/>
    <w:rsid w:val="763B2CF0"/>
    <w:rsid w:val="764E470D"/>
    <w:rsid w:val="76850D49"/>
    <w:rsid w:val="76E5622D"/>
    <w:rsid w:val="76EB7161"/>
    <w:rsid w:val="77E67240"/>
    <w:rsid w:val="7842124A"/>
    <w:rsid w:val="78650586"/>
    <w:rsid w:val="79435213"/>
    <w:rsid w:val="79527737"/>
    <w:rsid w:val="79D51B6D"/>
    <w:rsid w:val="7B0303D6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3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8"/>
    <w:next w:val="8"/>
    <w:unhideWhenUsed/>
    <w:qFormat/>
    <w:uiPriority w:val="99"/>
    <w:pPr>
      <w:spacing w:after="120"/>
    </w:pPr>
  </w:style>
  <w:style w:type="paragraph" w:styleId="8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7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7111</Words>
  <Characters>7982</Characters>
  <Lines>0</Lines>
  <Paragraphs>0</Paragraphs>
  <TotalTime>1</TotalTime>
  <ScaleCrop>false</ScaleCrop>
  <LinksUpToDate>false</LinksUpToDate>
  <CharactersWithSpaces>8069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朱嘉仪</cp:lastModifiedBy>
  <cp:lastPrinted>2022-02-11T02:00:00Z</cp:lastPrinted>
  <dcterms:modified xsi:type="dcterms:W3CDTF">2024-05-06T06:04:44Z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FAD280E18B314FAFA88251CD59B75AF8</vt:lpwstr>
  </property>
</Properties>
</file>