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hint="default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bookmarkStart w:id="0" w:name="_Toc8445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标的名称：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标的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2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标段名称：阳江高新区天然气热电联产项目接入系统工程施工</w:t>
      </w:r>
    </w:p>
    <w:tbl>
      <w:tblPr>
        <w:tblStyle w:val="15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阳江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阳江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阳江市凯源电力设计有限公司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/</w:t>
            </w:r>
          </w:p>
        </w:tc>
      </w:tr>
    </w:tbl>
    <w:p>
      <w:pPr>
        <w:pStyle w:val="1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</w:p>
    <w:bookmarkEnd w:id="0"/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项目概况</w:t>
      </w:r>
      <w:bookmarkStart w:id="1" w:name="_Toc13498"/>
      <w:bookmarkStart w:id="2" w:name="_Toc28718"/>
      <w:bookmarkStart w:id="3" w:name="_Toc4755"/>
    </w:p>
    <w:bookmarkEnd w:id="1"/>
    <w:bookmarkEnd w:id="2"/>
    <w:bookmarkEnd w:id="3"/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（一）阳江高新区天然气热电联产项目接入系统工程施工</w:t>
      </w:r>
    </w:p>
    <w:p>
      <w:pPr>
        <w:pStyle w:val="1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 xml:space="preserve">※变电部分: </w:t>
      </w:r>
    </w:p>
    <w:p>
      <w:pPr>
        <w:pStyle w:val="1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1、220kV润龙站扩建220kV间隔工程：在220kV润龙站扩建1个220kV出线间隔。</w:t>
      </w:r>
    </w:p>
    <w:p>
      <w:pPr>
        <w:pStyle w:val="1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※电缆线路部分:</w:t>
      </w:r>
    </w:p>
    <w:p>
      <w:pPr>
        <w:pStyle w:val="1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1、220kV高新热电联产站至润龙站线路工程：新建线路起于220kV润龙站，止于高新热电联产站。新建220kV单回电缆线路长约1×0.4km（站外路径长约0.19km），采用ZRA-YJLW02-Z-127/220-1×2500 型电力电缆。</w:t>
      </w:r>
    </w:p>
    <w:p>
      <w:pPr>
        <w:pStyle w:val="1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※通信部分:</w:t>
      </w:r>
    </w:p>
    <w:p>
      <w:pPr>
        <w:pStyle w:val="1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配套通信设备工程：在220kV润龙站内配置1块S64.1光接口单元及1块S4.1光接口单元，在仙源站内配置1块S64.1光接口单元，在登高站内配置1块S64.1光接口单元，在翌川站内配置1块S4.1光接口单元，在压延站内配置1块S4.1光接口单元，在镍合金站内配置1块S4.1光接口单元，及在阳江和平地站各增加1块汇聚型以太网接口板。</w:t>
      </w:r>
    </w:p>
    <w:p>
      <w:pPr>
        <w:pStyle w:val="1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2、220kV高新热电联产站至润龙站线路工程配套管道光缆工程：敷设5根48芯管道光缆（其中 2×0.55km+1×2.5km+1×3.9km+1×4.9km），总长12.4km。</w:t>
      </w:r>
    </w:p>
    <w:p>
      <w:pPr>
        <w:pStyle w:val="1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具体建设规模以施工图纸为准。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采购范围</w:t>
      </w:r>
      <w:bookmarkStart w:id="4" w:name="施工招标范围综合"/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包括施工图范围内的建筑、安装及调试工程。施工图范围内的下列工作内容，无□及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的为本次报价范围；□未打√的，不在本次报价范围内</w:t>
      </w:r>
      <w:bookmarkEnd w:id="4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，特殊情况在“其他”中说明。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（1）阳江高新区天然气热电联产项目接入系统工程施工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※变电部分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变电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安装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主要生产工程：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主变压器系统，配电装置，无功补偿，控制及直流系统，站用电系统（不含站区照明），电缆及接地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（不含站区照明电缆、电线和全站接地）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，远动系统（含总调、中调、地调调度端的扩容），计费系统，全站调试（其中特殊调试以合同附件特殊调试项目为准）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）辅助生产工程：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检修及修配设备；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（三）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与站址有关的单项工程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□站外电源，□站外通信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（四）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标志牌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装，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拆除工程；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（五）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u w:val="single"/>
        </w:rPr>
        <w:t xml:space="preserve">   /  。</w:t>
      </w:r>
    </w:p>
    <w:p>
      <w:pPr>
        <w:pStyle w:val="11"/>
        <w:numPr>
          <w:ilvl w:val="0"/>
          <w:numId w:val="0"/>
        </w:numPr>
        <w:spacing w:line="360" w:lineRule="auto"/>
        <w:ind w:firstLine="442" w:firstLineChars="200"/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  <w:lang w:val="en-US" w:eastAsia="zh-CN"/>
        </w:rPr>
        <w:t>※电缆线路部分:</w:t>
      </w:r>
    </w:p>
    <w:p>
      <w:pPr>
        <w:pStyle w:val="11"/>
        <w:numPr>
          <w:ilvl w:val="0"/>
          <w:numId w:val="0"/>
        </w:numPr>
        <w:spacing w:line="360" w:lineRule="auto"/>
        <w:ind w:firstLine="442" w:firstLineChars="200"/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  <w:lang w:val="en-US" w:eastAsia="zh-CN"/>
        </w:rPr>
        <w:t>施工图纸范围内的电缆建筑：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（一）土石方：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材料运输，土石方挖填，开挖路面，修复路面，隧道挖填；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（二）构筑物：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材料运输，直埋电缆垫层及盖板，电缆沟、浅槽，工作井，电缆埋管，隧道，隧道工作井，栈桥，基础；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（三）辅助工程：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材料运输，通风，照明，排水，消防，围护，地基处理；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（四）其他费用工程：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☑白蚁防治，□拆除工程 ，□征地及青苗赔偿，□沿线建（构）筑物的拆除，☑与城市规划、市政、园林、交警、城监、公路等部门联系办理施工许可手续，□施工临时占用地补偿费；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 xml:space="preserve">（五）其他：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/  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施工图纸范围内的电缆安装：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（一）电缆桥、支架制作安装：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材料运输，电缆桥架，电缆支架；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（二）电缆敷设：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材料运输，直埋敷设，电缆沟、浅槽敷设，埋管内敷设，电缆隧道敷设，桥架敷设，栈桥敷设；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（三）电缆附件：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材料运输，终端头制作安装，中间接头制作安装，接地安装，设备安装，电缆保护管；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（四）电缆防火：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材料运输，构筑物防火，电缆本体防火；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（五）调试与试验：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电缆试验，设备试验，☑电缆线路参数测试；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（六）电缆监测（控）系统：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材料运输，在线监测，安保监控；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（七）其他费用工程：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☑标志牌安装，□拆除工程，☑线路牌挂牌；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（八）其他：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 /   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※通信部分：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变电站工程：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施工图纸范围内的通信设备安装及测试、光缆单盘测试、中继测试、接续、光缆及联络光缆敷设、通信子管敷设、通道开通及业务接入、割接等；设备、光缆及金具卸车清点、验收及保管，与施工相关的所有其他费用项目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架空线路部分：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施工图纸范围内的光缆单盘测量、接续、全程测量；与施工相关的所有其他费用项目；不包含光缆架设、拆除、跨越及青苗赔偿。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420" w:leftChars="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</w:rPr>
        <w:t>承包方式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2" w:firstLineChars="2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包工、部分包料，施工图纸范围内如有下列设备、材料，无□及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fldChar w:fldCharType="begin"/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instrText xml:space="preserve"> EQ \o\ac(</w:instrTex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position w:val="-4"/>
          <w:sz w:val="31"/>
          <w:szCs w:val="21"/>
          <w:highlight w:val="none"/>
          <w:u w:val="none"/>
        </w:rPr>
        <w:instrText xml:space="preserve">□</w:instrTex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position w:val="0"/>
          <w:sz w:val="21"/>
          <w:szCs w:val="21"/>
          <w:highlight w:val="none"/>
          <w:u w:val="none"/>
        </w:rPr>
        <w:instrText xml:space="preserve">,√)</w:instrTex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fldChar w:fldCharType="end"/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的为甲供，□未打√的及不在下列的为乙供。</w:t>
      </w:r>
    </w:p>
    <w:p>
      <w:pPr>
        <w:pStyle w:val="1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）阳江高新区天然气热电联产项目接入系统工程施工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※变电部分：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（一）甲供物资：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变电安装工程：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电气一、二次设备，铝镁合金管形母线及其配套金具，金具及附件（含线夹），钢绞线，铝绞线，红外热像仪，变电站智能巡检机器人，独立五防系统，检修隔离装置，视频及环境监控系统，监测装置，变压器配电箱（SMC材质、不锈钢材质），不锈钢材质端子箱，不锈钢材质检修电源箱，不锈钢材质发电车开关箱，不锈钢材质配电箱（含照明和动力配电箱），电力电缆，控制电缆，低压电线，10kV及以上电缆头，各种类型绝缘子，封闭母线桥，10kV绝缘铜管母线，穿墙套管，电缆支架（铝合金、角钢、复合材质）、铝合金电缆桥架、计量接引装置、电抗器接地装置、小电流接地选线装置。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2、标志牌、□吊车。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（二）其他甲供物资：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/    。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※电缆线路部分：建设单位提供部分设备及材料：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（一）甲供物资：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电力电缆，电缆终端头，电缆直通接头，电缆绝缘接头，电缆T接头，电缆固定夹，带保护器接地箱，直接接地箱，同轴电缆，接地线，回流线，接地箱，避雷器，故障指示器，故障精确定位装置，监测装置，光缆及光缆附件，电缆隧道装置（含隧道专用LED灯具、电缆隧道巡检机器人轨道、电缆隧道智能巡检机器人、电缆防火防爆装置、电缆隧道立柱支架、成套稳压供水设备、电缆隧道户外动力箱（IP66）、全不锈钢潜污泵）、接头区灭火装置，电缆支架（铝合金、角钢、复合材质），电缆保护管材（包括HDPE管、涂塑钢管、PVC-C管、PVC管、MPP管）、电缆管塞封堵器，标准成品预制电缆沟盖板（包括混凝土盖板和复合盖板）、智能围栏，标志牌（电缆标志牌、警示牌、标示桩、走向标志、安装支架）。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2、□装配式电缆沟，□玻璃钢管。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（二）其他甲供物资：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/    。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※通信部分：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变电通信工程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（一）甲供物资：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通信相关设备（含电话、电池、监控等），数据网设备，机架，通信电源，各类光缆，综合配线设备及材料，电缆保护管材（HDPE管、涂塑钢管、PVC管、MPP管）。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（二）其他甲供物资：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/    。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※电缆线路部分：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（一）甲供物资：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1、光缆及光缆附件，电缆保护管材（HDPE管、涂塑钢管、PVC管、MPP管）。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2、□装配式电缆沟，□玻璃钢管。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（二）其他甲供物资：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/    。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注：建设单位提供的设备、材料以合同附件（甲供设备材料明细表）为准。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62E749"/>
    <w:multiLevelType w:val="singleLevel"/>
    <w:tmpl w:val="5862E74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xNThjYThmN2FhZGM3ZDU3OGZiMjUyODc5MzkwOGEifQ=="/>
  </w:docVars>
  <w:rsids>
    <w:rsidRoot w:val="24F737D8"/>
    <w:rsid w:val="00503881"/>
    <w:rsid w:val="00675492"/>
    <w:rsid w:val="00C073B0"/>
    <w:rsid w:val="01000F1F"/>
    <w:rsid w:val="014C5F8B"/>
    <w:rsid w:val="014D50AE"/>
    <w:rsid w:val="0270337E"/>
    <w:rsid w:val="0465127D"/>
    <w:rsid w:val="04D31677"/>
    <w:rsid w:val="050E07AE"/>
    <w:rsid w:val="05B87515"/>
    <w:rsid w:val="068D71D9"/>
    <w:rsid w:val="07751D79"/>
    <w:rsid w:val="09F62510"/>
    <w:rsid w:val="0BC07002"/>
    <w:rsid w:val="0C053234"/>
    <w:rsid w:val="0C6B30AA"/>
    <w:rsid w:val="0D0758F3"/>
    <w:rsid w:val="0D882D55"/>
    <w:rsid w:val="10A919C2"/>
    <w:rsid w:val="11444D6C"/>
    <w:rsid w:val="116419AD"/>
    <w:rsid w:val="11DF6CFE"/>
    <w:rsid w:val="11FC1228"/>
    <w:rsid w:val="1221206F"/>
    <w:rsid w:val="12617BA5"/>
    <w:rsid w:val="13C71878"/>
    <w:rsid w:val="142C4DA5"/>
    <w:rsid w:val="14440D4B"/>
    <w:rsid w:val="15056A61"/>
    <w:rsid w:val="15F1120D"/>
    <w:rsid w:val="16BE50DE"/>
    <w:rsid w:val="16BF5333"/>
    <w:rsid w:val="17241016"/>
    <w:rsid w:val="17311749"/>
    <w:rsid w:val="18B14F30"/>
    <w:rsid w:val="18E57496"/>
    <w:rsid w:val="190C67D7"/>
    <w:rsid w:val="193066EB"/>
    <w:rsid w:val="196B23E3"/>
    <w:rsid w:val="1A2F2F81"/>
    <w:rsid w:val="1AE66ACC"/>
    <w:rsid w:val="1B1435D1"/>
    <w:rsid w:val="1B663F82"/>
    <w:rsid w:val="1BA9108A"/>
    <w:rsid w:val="1C660CB1"/>
    <w:rsid w:val="1D592E11"/>
    <w:rsid w:val="1EA379B5"/>
    <w:rsid w:val="1F3969B8"/>
    <w:rsid w:val="20E776A4"/>
    <w:rsid w:val="216F4D5B"/>
    <w:rsid w:val="22B30023"/>
    <w:rsid w:val="22BD2637"/>
    <w:rsid w:val="22D01CE9"/>
    <w:rsid w:val="24E46BF4"/>
    <w:rsid w:val="24F737D8"/>
    <w:rsid w:val="250E3A49"/>
    <w:rsid w:val="251300D9"/>
    <w:rsid w:val="25880EB5"/>
    <w:rsid w:val="274170EE"/>
    <w:rsid w:val="2785030E"/>
    <w:rsid w:val="278F57AD"/>
    <w:rsid w:val="27980A77"/>
    <w:rsid w:val="27E47C4B"/>
    <w:rsid w:val="28F46A2A"/>
    <w:rsid w:val="296555D1"/>
    <w:rsid w:val="29A55C56"/>
    <w:rsid w:val="29FC239E"/>
    <w:rsid w:val="2BED7EC0"/>
    <w:rsid w:val="2BFF0E0F"/>
    <w:rsid w:val="2C2C1A35"/>
    <w:rsid w:val="2D8D50EF"/>
    <w:rsid w:val="2D8E3667"/>
    <w:rsid w:val="2E816236"/>
    <w:rsid w:val="2E9A5E18"/>
    <w:rsid w:val="2F362DFB"/>
    <w:rsid w:val="2FF65FF8"/>
    <w:rsid w:val="30035F08"/>
    <w:rsid w:val="300D195C"/>
    <w:rsid w:val="3044134F"/>
    <w:rsid w:val="30BF37B5"/>
    <w:rsid w:val="312C2AE5"/>
    <w:rsid w:val="3178798B"/>
    <w:rsid w:val="3244265D"/>
    <w:rsid w:val="32F2736E"/>
    <w:rsid w:val="33A937BD"/>
    <w:rsid w:val="35B73053"/>
    <w:rsid w:val="361736AD"/>
    <w:rsid w:val="36676B65"/>
    <w:rsid w:val="36905D28"/>
    <w:rsid w:val="36A54835"/>
    <w:rsid w:val="36D200CF"/>
    <w:rsid w:val="38382DC3"/>
    <w:rsid w:val="38F32560"/>
    <w:rsid w:val="39446F46"/>
    <w:rsid w:val="3AD468A3"/>
    <w:rsid w:val="3B2A0F67"/>
    <w:rsid w:val="3BB261E1"/>
    <w:rsid w:val="3BCA27B8"/>
    <w:rsid w:val="3C114F9E"/>
    <w:rsid w:val="3C1E17EA"/>
    <w:rsid w:val="3C4A35F1"/>
    <w:rsid w:val="3E9D7E49"/>
    <w:rsid w:val="3EE05C97"/>
    <w:rsid w:val="3F9B7EF1"/>
    <w:rsid w:val="415A7E63"/>
    <w:rsid w:val="42E701E3"/>
    <w:rsid w:val="42F4158E"/>
    <w:rsid w:val="43193F4E"/>
    <w:rsid w:val="44A8314C"/>
    <w:rsid w:val="44D414C9"/>
    <w:rsid w:val="45AE252B"/>
    <w:rsid w:val="45BA6458"/>
    <w:rsid w:val="45C37365"/>
    <w:rsid w:val="460D1423"/>
    <w:rsid w:val="46472D5E"/>
    <w:rsid w:val="468E0BD5"/>
    <w:rsid w:val="469B4709"/>
    <w:rsid w:val="46A85B41"/>
    <w:rsid w:val="47CB2C71"/>
    <w:rsid w:val="49332FB5"/>
    <w:rsid w:val="4B12784D"/>
    <w:rsid w:val="4B3A1BDA"/>
    <w:rsid w:val="4C1966EB"/>
    <w:rsid w:val="4D392B7F"/>
    <w:rsid w:val="4DC759F3"/>
    <w:rsid w:val="4DD3333C"/>
    <w:rsid w:val="4E040B17"/>
    <w:rsid w:val="4EA560D6"/>
    <w:rsid w:val="525522E2"/>
    <w:rsid w:val="528404F0"/>
    <w:rsid w:val="52932C2A"/>
    <w:rsid w:val="53463775"/>
    <w:rsid w:val="53523D60"/>
    <w:rsid w:val="53AA5AAD"/>
    <w:rsid w:val="547776C9"/>
    <w:rsid w:val="55734D49"/>
    <w:rsid w:val="55C3156A"/>
    <w:rsid w:val="57593089"/>
    <w:rsid w:val="58354CB1"/>
    <w:rsid w:val="599017B7"/>
    <w:rsid w:val="5D884004"/>
    <w:rsid w:val="5DE84119"/>
    <w:rsid w:val="5EB72BF2"/>
    <w:rsid w:val="5F091698"/>
    <w:rsid w:val="5F8E0C51"/>
    <w:rsid w:val="5FE724D4"/>
    <w:rsid w:val="60395037"/>
    <w:rsid w:val="60546075"/>
    <w:rsid w:val="608606DE"/>
    <w:rsid w:val="63277529"/>
    <w:rsid w:val="639D46DC"/>
    <w:rsid w:val="6424058D"/>
    <w:rsid w:val="64FC3BC3"/>
    <w:rsid w:val="663511C3"/>
    <w:rsid w:val="663B2A3B"/>
    <w:rsid w:val="66C35559"/>
    <w:rsid w:val="66D91A76"/>
    <w:rsid w:val="67977F0F"/>
    <w:rsid w:val="68B337CC"/>
    <w:rsid w:val="69311D38"/>
    <w:rsid w:val="6A287B5E"/>
    <w:rsid w:val="6A485E7E"/>
    <w:rsid w:val="6A6B37FA"/>
    <w:rsid w:val="6B303A1A"/>
    <w:rsid w:val="6C141EE0"/>
    <w:rsid w:val="6D897695"/>
    <w:rsid w:val="6DAA2FDF"/>
    <w:rsid w:val="6E121228"/>
    <w:rsid w:val="6E1E434D"/>
    <w:rsid w:val="701E68A6"/>
    <w:rsid w:val="70873960"/>
    <w:rsid w:val="70A4425D"/>
    <w:rsid w:val="70B81233"/>
    <w:rsid w:val="70D1495F"/>
    <w:rsid w:val="7129638F"/>
    <w:rsid w:val="72D25F1A"/>
    <w:rsid w:val="73641402"/>
    <w:rsid w:val="74E73186"/>
    <w:rsid w:val="74F238E6"/>
    <w:rsid w:val="76015DEA"/>
    <w:rsid w:val="763B2CF0"/>
    <w:rsid w:val="764E470D"/>
    <w:rsid w:val="76850D49"/>
    <w:rsid w:val="76B04363"/>
    <w:rsid w:val="76E5622D"/>
    <w:rsid w:val="76EB7161"/>
    <w:rsid w:val="77E67240"/>
    <w:rsid w:val="780D6D66"/>
    <w:rsid w:val="7842124A"/>
    <w:rsid w:val="78650586"/>
    <w:rsid w:val="79435213"/>
    <w:rsid w:val="79527737"/>
    <w:rsid w:val="79D51B6D"/>
    <w:rsid w:val="7B0303D6"/>
    <w:rsid w:val="7B2B3FE2"/>
    <w:rsid w:val="7B3B73B5"/>
    <w:rsid w:val="7C233754"/>
    <w:rsid w:val="7C766170"/>
    <w:rsid w:val="7CC45B07"/>
    <w:rsid w:val="7CC84BE5"/>
    <w:rsid w:val="7D26550D"/>
    <w:rsid w:val="7D2D6A7C"/>
    <w:rsid w:val="7D3A3102"/>
    <w:rsid w:val="7E3420E0"/>
    <w:rsid w:val="7E405052"/>
    <w:rsid w:val="7F1A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4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9"/>
    <w:next w:val="9"/>
    <w:unhideWhenUsed/>
    <w:qFormat/>
    <w:uiPriority w:val="99"/>
    <w:pPr>
      <w:spacing w:after="120"/>
    </w:p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3">
    <w:name w:val="Body Text First Indent"/>
    <w:basedOn w:val="8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8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7111</Words>
  <Characters>7982</Characters>
  <Lines>0</Lines>
  <Paragraphs>0</Paragraphs>
  <TotalTime>0</TotalTime>
  <ScaleCrop>false</ScaleCrop>
  <LinksUpToDate>false</LinksUpToDate>
  <CharactersWithSpaces>8069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朱嘉仪</cp:lastModifiedBy>
  <cp:lastPrinted>2022-02-11T02:00:00Z</cp:lastPrinted>
  <dcterms:modified xsi:type="dcterms:W3CDTF">2024-05-06T06:05:24Z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2C30F4CFB9154DC69838568CC59BF600</vt:lpwstr>
  </property>
</Properties>
</file>