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color w:val="auto"/>
          <w:sz w:val="28"/>
          <w:szCs w:val="28"/>
          <w:highlight w:val="none"/>
          <w:lang w:val="en-US" w:eastAsia="zh-CN"/>
        </w:rPr>
      </w:pPr>
      <w:bookmarkStart w:id="0" w:name="_Toc8445"/>
      <w:r>
        <w:rPr>
          <w:rFonts w:hint="eastAsia" w:ascii="宋体" w:hAnsi="宋体" w:eastAsia="宋体" w:cs="宋体"/>
          <w:b/>
          <w:bCs/>
          <w:snapToGrid w:val="0"/>
          <w:color w:val="auto"/>
          <w:kern w:val="0"/>
          <w:sz w:val="28"/>
          <w:szCs w:val="28"/>
          <w:highlight w:val="none"/>
          <w:u w:val="none"/>
          <w:lang w:val="en-US" w:eastAsia="zh-CN"/>
        </w:rPr>
        <w:t>标的名称：</w:t>
      </w:r>
      <w:r>
        <w:rPr>
          <w:rFonts w:hint="eastAsia" w:ascii="宋体" w:hAnsi="宋体" w:eastAsia="宋体" w:cs="宋体"/>
          <w:b/>
          <w:color w:val="auto"/>
          <w:sz w:val="28"/>
          <w:szCs w:val="28"/>
          <w:highlight w:val="none"/>
          <w:lang w:val="en-US" w:eastAsia="zh-CN"/>
        </w:rPr>
        <w:t>标的</w:t>
      </w:r>
      <w:r>
        <w:rPr>
          <w:rFonts w:hint="eastAsia" w:hAnsi="宋体" w:cs="宋体"/>
          <w:b/>
          <w:color w:val="auto"/>
          <w:sz w:val="28"/>
          <w:szCs w:val="28"/>
          <w:highlight w:val="none"/>
          <w:lang w:val="en-US" w:eastAsia="zh-CN"/>
        </w:rPr>
        <w:t>4</w:t>
      </w:r>
    </w:p>
    <w:p>
      <w:pPr>
        <w:pStyle w:val="2"/>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rPr>
          <w:rFonts w:hint="default" w:ascii="宋体" w:hAnsi="宋体" w:eastAsia="宋体" w:cs="宋体"/>
          <w:b w:val="0"/>
          <w:bCs w:val="0"/>
          <w:snapToGrid w:val="0"/>
          <w:color w:val="auto"/>
          <w:kern w:val="0"/>
          <w:sz w:val="28"/>
          <w:szCs w:val="28"/>
          <w:highlight w:val="none"/>
          <w:u w:val="none"/>
          <w:vertAlign w:val="baseline"/>
          <w:lang w:val="en-US" w:eastAsia="zh-CN"/>
        </w:rPr>
      </w:pPr>
      <w:r>
        <w:rPr>
          <w:rFonts w:hint="eastAsia" w:ascii="宋体" w:hAnsi="宋体" w:eastAsia="宋体" w:cs="宋体"/>
          <w:b/>
          <w:bCs/>
          <w:snapToGrid w:val="0"/>
          <w:color w:val="auto"/>
          <w:kern w:val="0"/>
          <w:sz w:val="28"/>
          <w:szCs w:val="28"/>
          <w:highlight w:val="none"/>
          <w:u w:val="none"/>
          <w:lang w:val="en-US" w:eastAsia="zh-CN"/>
        </w:rPr>
        <w:t>标段名称：</w:t>
      </w:r>
      <w:r>
        <w:rPr>
          <w:rFonts w:hint="eastAsia" w:ascii="宋体" w:hAnsi="宋体" w:eastAsia="宋体" w:cs="宋体"/>
          <w:b/>
          <w:color w:val="auto"/>
          <w:sz w:val="28"/>
          <w:szCs w:val="28"/>
          <w:highlight w:val="none"/>
          <w:lang w:val="en-US" w:eastAsia="zh-CN"/>
        </w:rPr>
        <w:t>东莞高埗电厂改扩建项目接入系统工程</w:t>
      </w:r>
      <w:r>
        <w:rPr>
          <w:rFonts w:hint="eastAsia" w:hAnsi="宋体" w:cs="宋体"/>
          <w:b/>
          <w:color w:val="auto"/>
          <w:sz w:val="28"/>
          <w:szCs w:val="28"/>
          <w:highlight w:val="none"/>
          <w:lang w:val="en-US" w:eastAsia="zh-CN"/>
        </w:rPr>
        <w:t>施工</w:t>
      </w:r>
    </w:p>
    <w:tbl>
      <w:tblPr>
        <w:tblStyle w:val="16"/>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2911" w:type="dxa"/>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名称</w:t>
            </w:r>
          </w:p>
        </w:tc>
        <w:tc>
          <w:tcPr>
            <w:tcW w:w="3476" w:type="dxa"/>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hAnsi="宋体" w:cs="宋体"/>
                <w:b/>
                <w:bCs/>
                <w:snapToGrid w:val="0"/>
                <w:color w:val="auto"/>
                <w:sz w:val="24"/>
                <w:szCs w:val="24"/>
                <w:highlight w:val="none"/>
                <w:u w:val="none"/>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rPr>
              <w:t>东莞供电局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rPr>
              <w:t>东莞市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pPr>
              <w:pStyle w:val="2"/>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color w:val="auto"/>
                <w:sz w:val="21"/>
                <w:szCs w:val="21"/>
                <w:highlight w:val="none"/>
              </w:rPr>
              <w:t>东莞电力设计院有限公司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pPr>
              <w:pStyle w:val="2"/>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hAnsi="宋体" w:cs="宋体"/>
                <w:b w:val="0"/>
                <w:bCs w:val="0"/>
                <w:snapToGrid w:val="0"/>
                <w:color w:val="auto"/>
                <w:kern w:val="0"/>
                <w:sz w:val="21"/>
                <w:szCs w:val="21"/>
                <w:highlight w:val="none"/>
                <w:u w:val="none"/>
                <w:vertAlign w:val="baseline"/>
                <w:lang w:val="en-US" w:eastAsia="zh-CN"/>
              </w:rPr>
              <w:t>/</w:t>
            </w:r>
          </w:p>
        </w:tc>
      </w:tr>
    </w:tbl>
    <w:p>
      <w:pPr>
        <w:pStyle w:val="2"/>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bCs/>
          <w:snapToGrid w:val="0"/>
          <w:color w:val="auto"/>
          <w:kern w:val="0"/>
          <w:sz w:val="28"/>
          <w:szCs w:val="28"/>
          <w:highlight w:val="none"/>
          <w:u w:val="none"/>
          <w:lang w:val="en-US" w:eastAsia="zh-CN"/>
        </w:rPr>
      </w:pPr>
    </w:p>
    <w:bookmarkEnd w:id="0"/>
    <w:p>
      <w:pPr>
        <w:pStyle w:val="2"/>
        <w:keepNext w:val="0"/>
        <w:keepLines w:val="0"/>
        <w:pageBreakBefore w:val="0"/>
        <w:shd w:val="clear" w:color="auto" w:fill="auto"/>
        <w:kinsoku/>
        <w:wordWrap/>
        <w:overflowPunct/>
        <w:topLinePunct w:val="0"/>
        <w:bidi w:val="0"/>
        <w:adjustRightInd w:val="0"/>
        <w:snapToGrid w:val="0"/>
        <w:spacing w:line="360" w:lineRule="auto"/>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一、项目概况</w:t>
      </w:r>
      <w:bookmarkStart w:id="1" w:name="_Toc4755"/>
      <w:bookmarkStart w:id="2" w:name="_Toc13498"/>
      <w:bookmarkStart w:id="3" w:name="_Toc28718"/>
    </w:p>
    <w:bookmarkEnd w:id="1"/>
    <w:bookmarkEnd w:id="2"/>
    <w:bookmarkEnd w:id="3"/>
    <w:p>
      <w:pPr>
        <w:pStyle w:val="2"/>
        <w:keepNext w:val="0"/>
        <w:keepLines w:val="0"/>
        <w:pageBreakBefore w:val="0"/>
        <w:shd w:val="clear" w:color="auto" w:fill="auto"/>
        <w:kinsoku/>
        <w:wordWrap/>
        <w:overflowPunct/>
        <w:topLinePunct w:val="0"/>
        <w:bidi w:val="0"/>
        <w:adjustRightInd w:val="0"/>
        <w:snapToGrid w:val="0"/>
        <w:spacing w:line="360" w:lineRule="auto"/>
        <w:ind w:firstLine="422"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（一）东莞高埗电厂改扩建项目接入系统工程</w:t>
      </w:r>
      <w:r>
        <w:rPr>
          <w:rFonts w:hint="eastAsia" w:hAnsi="宋体" w:cs="宋体"/>
          <w:b/>
          <w:color w:val="auto"/>
          <w:sz w:val="21"/>
          <w:szCs w:val="21"/>
          <w:highlight w:val="none"/>
          <w:lang w:val="en-US" w:eastAsia="zh-CN"/>
        </w:rPr>
        <w:t>施工</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outlineLvl w:val="9"/>
        <w:rPr>
          <w:rFonts w:hint="eastAsia" w:hAnsi="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※变电部分</w:t>
      </w:r>
      <w:r>
        <w:rPr>
          <w:rFonts w:hint="eastAsia" w:hAnsi="宋体" w:cs="宋体"/>
          <w:b/>
          <w:bCs w:val="0"/>
          <w:color w:val="auto"/>
          <w:sz w:val="21"/>
          <w:szCs w:val="21"/>
          <w:highlight w:val="none"/>
          <w:lang w:val="en-US" w:eastAsia="zh-CN"/>
        </w:rPr>
        <w:t>：</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outlineLvl w:val="9"/>
        <w:rPr>
          <w:rFonts w:hint="default" w:ascii="宋体" w:hAnsi="宋体" w:eastAsia="宋体" w:cs="宋体"/>
          <w:b/>
          <w:bCs w:val="0"/>
          <w:color w:val="auto"/>
          <w:sz w:val="21"/>
          <w:szCs w:val="21"/>
          <w:highlight w:val="none"/>
          <w:lang w:val="en-US" w:eastAsia="zh-CN"/>
        </w:rPr>
      </w:pPr>
      <w:r>
        <w:rPr>
          <w:rFonts w:hint="eastAsia" w:hAnsi="宋体" w:cs="宋体"/>
          <w:b/>
          <w:bCs w:val="0"/>
          <w:color w:val="auto"/>
          <w:sz w:val="21"/>
          <w:szCs w:val="21"/>
          <w:highlight w:val="none"/>
          <w:lang w:val="en-US" w:eastAsia="zh-CN"/>
        </w:rPr>
        <w:t>无</w:t>
      </w:r>
    </w:p>
    <w:p>
      <w:pPr>
        <w:keepNext w:val="0"/>
        <w:keepLines w:val="0"/>
        <w:pageBreakBefore w:val="0"/>
        <w:widowControl w:val="0"/>
        <w:shd w:val="clear" w:color="auto" w:fill="auto"/>
        <w:tabs>
          <w:tab w:val="left" w:pos="1146"/>
        </w:tabs>
        <w:kinsoku/>
        <w:wordWrap/>
        <w:overflowPunct/>
        <w:topLinePunct w:val="0"/>
        <w:autoSpaceDE/>
        <w:autoSpaceDN/>
        <w:bidi w:val="0"/>
        <w:spacing w:line="360" w:lineRule="auto"/>
        <w:ind w:firstLine="422" w:firstLineChars="200"/>
        <w:jc w:val="left"/>
        <w:textAlignment w:val="auto"/>
        <w:outlineLvl w:val="9"/>
        <w:rPr>
          <w:rFonts w:hint="eastAsia" w:ascii="宋体" w:hAnsi="宋体" w:eastAsia="宋体" w:cs="宋体"/>
          <w:b w:val="0"/>
          <w:bCs/>
          <w:color w:val="auto"/>
          <w:sz w:val="21"/>
          <w:szCs w:val="21"/>
          <w:highlight w:val="none"/>
          <w:lang w:val="en-US" w:eastAsia="zh-CN"/>
        </w:rPr>
      </w:pPr>
      <w:r>
        <w:rPr>
          <w:rFonts w:hint="eastAsia" w:ascii="宋体" w:hAnsi="宋体" w:eastAsia="宋体" w:cs="宋体"/>
          <w:b/>
          <w:bCs w:val="0"/>
          <w:color w:val="auto"/>
          <w:kern w:val="0"/>
          <w:sz w:val="21"/>
          <w:szCs w:val="21"/>
          <w:highlight w:val="none"/>
          <w:lang w:val="en-US" w:eastAsia="zh-CN" w:bidi="ar-SA"/>
        </w:rPr>
        <w:t>※线路部分：</w:t>
      </w:r>
    </w:p>
    <w:p>
      <w:pPr>
        <w:keepNext w:val="0"/>
        <w:keepLines w:val="0"/>
        <w:pageBreakBefore w:val="0"/>
        <w:widowControl w:val="0"/>
        <w:shd w:val="clear" w:color="auto" w:fill="auto"/>
        <w:tabs>
          <w:tab w:val="left" w:pos="1146"/>
        </w:tabs>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1、220kV板陈线、陈荔线架空改造工程：由于陈屋站出线走廊需要调整，需对220kV板陈线、陈荔乙线同塔双回线路进行改造，新建220kV同塔双回线路长约2×0.3km。</w:t>
      </w:r>
    </w:p>
    <w:p>
      <w:pPr>
        <w:keepNext w:val="0"/>
        <w:keepLines w:val="0"/>
        <w:pageBreakBefore w:val="0"/>
        <w:widowControl w:val="0"/>
        <w:shd w:val="clear" w:color="auto" w:fill="auto"/>
        <w:tabs>
          <w:tab w:val="left" w:pos="1146"/>
        </w:tabs>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2、220kV高埗电厂至板桥线路工程：将220kV埗低乙线及220kV板陈线断开，将220kV埗低乙线高埗电厂侧线路与220kV板陈线板桥侧线路连通，形成高埗电厂升压站至220kV板桥站1回线路。新建220kV同塔双回架空线路长约2×（1.4+0.4）km，220kV/110kV混压四回架空线路长约4×1.8km（利用110kV陈沙甲乙线、110kV陈卢线、110kV低屋乙线线路走廊）。新建110kV同塔双回架空线路长约2×(0.3+0.1)km（改造110kV陈沙甲乙线线路、110kV低卢线、110kV低屋乙线）。220kV导线截面采用2×630mm2。110kV导线截面采用1×400mm2。</w:t>
      </w:r>
    </w:p>
    <w:p>
      <w:pPr>
        <w:keepNext w:val="0"/>
        <w:keepLines w:val="0"/>
        <w:pageBreakBefore w:val="0"/>
        <w:widowControl w:val="0"/>
        <w:shd w:val="clear" w:color="auto" w:fill="auto"/>
        <w:tabs>
          <w:tab w:val="left" w:pos="1146"/>
        </w:tabs>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由于线路穿越，需对220kV水陈甲乙线进行升高改造，新建220kV同塔双回线路长约2×0.3km，导线截面采用4×300mm2。220kV/110kV混压四回架空线路为利用现状线路塔位改造，为保证在线路实施过程中，110kV沙腰站不全停，需新建临时单回架空线路转供电，新建110kV单回架空线路长约1×0.7km，导线截面采用1×400mm2。</w:t>
      </w:r>
    </w:p>
    <w:p>
      <w:pPr>
        <w:pStyle w:val="2"/>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outlineLvl w:val="9"/>
        <w:rPr>
          <w:rFonts w:hint="eastAsia" w:ascii="宋体" w:hAnsi="宋体" w:eastAsia="宋体" w:cs="宋体"/>
          <w:b w:val="0"/>
          <w:bCs/>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※通信部分：</w:t>
      </w:r>
    </w:p>
    <w:p>
      <w:pPr>
        <w:keepNext w:val="0"/>
        <w:keepLines w:val="0"/>
        <w:pageBreakBefore w:val="0"/>
        <w:widowControl w:val="0"/>
        <w:shd w:val="clear" w:color="auto" w:fill="auto"/>
        <w:tabs>
          <w:tab w:val="left" w:pos="1146"/>
        </w:tabs>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1、配套通信设备工程：配套建设站端通信设备和光缆路由等。</w:t>
      </w:r>
    </w:p>
    <w:p>
      <w:pPr>
        <w:keepNext w:val="0"/>
        <w:keepLines w:val="0"/>
        <w:pageBreakBefore w:val="0"/>
        <w:widowControl w:val="0"/>
        <w:shd w:val="clear" w:color="auto" w:fill="auto"/>
        <w:tabs>
          <w:tab w:val="left" w:pos="1146"/>
        </w:tabs>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2、220kV板陈线、陈荔线架空改造工程（OPGW光缆部分）：由于线路改造，需恢复荔城站至陈屋站220kV线路改造段的1条48芯OPGW光缆，新建光缆路径长约0.3km。</w:t>
      </w:r>
    </w:p>
    <w:p>
      <w:pPr>
        <w:keepNext w:val="0"/>
        <w:keepLines w:val="0"/>
        <w:pageBreakBefore w:val="0"/>
        <w:widowControl w:val="0"/>
        <w:shd w:val="clear" w:color="auto" w:fill="auto"/>
        <w:tabs>
          <w:tab w:val="left" w:pos="1146"/>
        </w:tabs>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3、220kV高埗电厂至板桥线路工程（OPGW光缆部分）：1）沿埗低乙线JK1塔至陈屋站建设1条48芯OPGW光缆，与原有光缆接续，形成高埗电厂至陈屋站的1条光缆路由，新建光缆路径长约3.6km。</w:t>
      </w:r>
    </w:p>
    <w:p>
      <w:pPr>
        <w:keepNext w:val="0"/>
        <w:keepLines w:val="0"/>
        <w:pageBreakBefore w:val="0"/>
        <w:widowControl w:val="0"/>
        <w:shd w:val="clear" w:color="auto" w:fill="auto"/>
        <w:tabs>
          <w:tab w:val="left" w:pos="1146"/>
        </w:tabs>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2）由于线路改造，需恢复陈屋站至水乡站、陈屋站至板桥站220kV线路改造段的各1条72芯OPGW光缆，新建光缆路径长约2×0.35km。3）随线路改造，将陈屋站至卢溪站的1条24芯ADSS光缆更换为1条48芯OPGW光缆，新建光缆路径长约2.1km。</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bCs w:val="0"/>
          <w:color w:val="auto"/>
          <w:sz w:val="21"/>
          <w:szCs w:val="21"/>
          <w:highlight w:val="none"/>
          <w:u w:val="single"/>
          <w:lang w:val="en-US" w:eastAsia="zh-CN"/>
        </w:rPr>
        <w:t>具体建设规模以施工图纸为准。</w:t>
      </w:r>
    </w:p>
    <w:p>
      <w:pPr>
        <w:pStyle w:val="2"/>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22" w:firstLineChars="200"/>
        <w:jc w:val="left"/>
        <w:textAlignment w:val="auto"/>
        <w:outlineLvl w:val="0"/>
        <w:rPr>
          <w:rFonts w:hint="eastAsia" w:ascii="宋体" w:hAnsi="宋体" w:eastAsia="宋体" w:cs="宋体"/>
          <w:b/>
          <w:bCs/>
          <w:snapToGrid w:val="0"/>
          <w:color w:val="auto"/>
          <w:kern w:val="0"/>
          <w:sz w:val="21"/>
          <w:szCs w:val="21"/>
          <w:highlight w:val="none"/>
          <w:u w:val="none"/>
          <w:lang w:val="en-US" w:eastAsia="zh-CN"/>
        </w:rPr>
      </w:pPr>
    </w:p>
    <w:p>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bCs/>
          <w:snapToGrid w:val="0"/>
          <w:color w:val="auto"/>
          <w:kern w:val="0"/>
          <w:sz w:val="24"/>
          <w:szCs w:val="24"/>
          <w:highlight w:val="none"/>
          <w:u w:val="none"/>
          <w:lang w:val="en-US" w:eastAsia="zh-CN"/>
        </w:rPr>
      </w:pPr>
      <w:r>
        <w:rPr>
          <w:rFonts w:hint="eastAsia" w:ascii="宋体" w:hAnsi="宋体" w:eastAsia="宋体" w:cs="宋体"/>
          <w:b/>
          <w:bCs/>
          <w:snapToGrid w:val="0"/>
          <w:color w:val="auto"/>
          <w:kern w:val="0"/>
          <w:sz w:val="24"/>
          <w:szCs w:val="24"/>
          <w:highlight w:val="none"/>
          <w:u w:val="none"/>
          <w:lang w:val="en-US" w:eastAsia="zh-CN"/>
        </w:rPr>
        <w:t>二、采购范围</w:t>
      </w:r>
      <w:bookmarkStart w:id="4" w:name="施工招标范围综合"/>
    </w:p>
    <w:p>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2" w:firstLineChars="200"/>
        <w:jc w:val="left"/>
        <w:textAlignment w:val="auto"/>
        <w:outlineLvl w:val="0"/>
        <w:rPr>
          <w:rFonts w:hint="eastAsia" w:ascii="宋体" w:hAnsi="宋体" w:eastAsia="宋体" w:cs="宋体"/>
          <w:b/>
          <w:bCs/>
          <w:snapToGrid w:val="0"/>
          <w:color w:val="auto"/>
          <w:kern w:val="0"/>
          <w:sz w:val="21"/>
          <w:szCs w:val="21"/>
          <w:highlight w:val="none"/>
          <w:u w:val="single"/>
        </w:rPr>
      </w:pPr>
      <w:r>
        <w:rPr>
          <w:rFonts w:hint="eastAsia" w:ascii="宋体" w:hAnsi="宋体" w:eastAsia="宋体" w:cs="宋体"/>
          <w:b/>
          <w:bCs/>
          <w:snapToGrid w:val="0"/>
          <w:color w:val="auto"/>
          <w:kern w:val="0"/>
          <w:sz w:val="21"/>
          <w:szCs w:val="21"/>
          <w:highlight w:val="none"/>
          <w:u w:val="none"/>
        </w:rPr>
        <w:t>包括施工图范围内的建筑、安装及调试工程。施工图范围内的下列工作内容，无□及</w:t>
      </w:r>
      <w:r>
        <w:rPr>
          <w:rFonts w:hint="eastAsia" w:ascii="宋体" w:hAnsi="宋体" w:eastAsia="宋体" w:cs="宋体"/>
          <w:color w:val="auto"/>
          <w:sz w:val="21"/>
          <w:szCs w:val="21"/>
          <w:highlight w:val="none"/>
          <w:lang w:eastAsia="zh-CN"/>
        </w:rPr>
        <w:t>☑</w:t>
      </w:r>
      <w:r>
        <w:rPr>
          <w:rFonts w:hint="eastAsia" w:ascii="宋体" w:hAnsi="宋体" w:eastAsia="宋体" w:cs="宋体"/>
          <w:b/>
          <w:bCs/>
          <w:snapToGrid w:val="0"/>
          <w:color w:val="auto"/>
          <w:kern w:val="0"/>
          <w:sz w:val="21"/>
          <w:szCs w:val="21"/>
          <w:highlight w:val="none"/>
          <w:u w:val="none"/>
        </w:rPr>
        <w:t>的为本次报价范围；□未打√的，不在本次报价范围内</w:t>
      </w:r>
      <w:bookmarkEnd w:id="4"/>
      <w:r>
        <w:rPr>
          <w:rFonts w:hint="eastAsia" w:ascii="宋体" w:hAnsi="宋体" w:eastAsia="宋体" w:cs="宋体"/>
          <w:b/>
          <w:bCs/>
          <w:snapToGrid w:val="0"/>
          <w:color w:val="auto"/>
          <w:kern w:val="0"/>
          <w:sz w:val="21"/>
          <w:szCs w:val="21"/>
          <w:highlight w:val="none"/>
          <w:u w:val="none"/>
        </w:rPr>
        <w:t>，特殊情况在“其他”中说明。</w:t>
      </w:r>
    </w:p>
    <w:p>
      <w:pPr>
        <w:pStyle w:val="2"/>
        <w:keepNext w:val="0"/>
        <w:keepLines w:val="0"/>
        <w:pageBreakBefore w:val="0"/>
        <w:shd w:val="clear" w:color="auto" w:fill="auto"/>
        <w:kinsoku/>
        <w:wordWrap/>
        <w:overflowPunct/>
        <w:topLinePunct w:val="0"/>
        <w:bidi w:val="0"/>
        <w:adjustRightInd w:val="0"/>
        <w:snapToGrid w:val="0"/>
        <w:spacing w:line="360" w:lineRule="auto"/>
        <w:ind w:firstLine="422" w:firstLineChars="200"/>
        <w:textAlignment w:val="auto"/>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（1）东莞高埗电厂改扩建项目接入系统工程</w:t>
      </w:r>
      <w:r>
        <w:rPr>
          <w:rFonts w:hint="eastAsia" w:hAnsi="宋体" w:cs="宋体"/>
          <w:b/>
          <w:color w:val="auto"/>
          <w:sz w:val="21"/>
          <w:szCs w:val="21"/>
          <w:highlight w:val="none"/>
          <w:lang w:val="en-US" w:eastAsia="zh-CN"/>
        </w:rPr>
        <w:t>施工</w:t>
      </w:r>
    </w:p>
    <w:p>
      <w:pPr>
        <w:pStyle w:val="2"/>
        <w:keepNext w:val="0"/>
        <w:keepLines w:val="0"/>
        <w:pageBreakBefore w:val="0"/>
        <w:kinsoku/>
        <w:wordWrap/>
        <w:overflowPunct/>
        <w:topLinePunct w:val="0"/>
        <w:bidi w:val="0"/>
        <w:spacing w:line="360" w:lineRule="auto"/>
        <w:ind w:firstLine="422" w:firstLineChars="200"/>
        <w:jc w:val="left"/>
        <w:textAlignment w:val="auto"/>
        <w:outlineLvl w:val="9"/>
        <w:rPr>
          <w:rFonts w:hint="eastAsia" w:ascii="宋体" w:hAnsi="宋体" w:eastAsia="宋体" w:cs="宋体"/>
          <w:b/>
          <w:bCs/>
          <w:color w:val="auto"/>
          <w:kern w:val="2"/>
          <w:sz w:val="21"/>
          <w:szCs w:val="21"/>
          <w:highlight w:val="none"/>
          <w:u w:val="none"/>
          <w:lang w:val="en-US" w:eastAsia="zh-CN" w:bidi="ar-SA"/>
        </w:rPr>
      </w:pPr>
      <w:r>
        <w:rPr>
          <w:rFonts w:hint="eastAsia" w:ascii="宋体" w:hAnsi="宋体" w:eastAsia="宋体" w:cs="宋体"/>
          <w:b/>
          <w:bCs/>
          <w:color w:val="auto"/>
          <w:kern w:val="2"/>
          <w:sz w:val="21"/>
          <w:szCs w:val="21"/>
          <w:highlight w:val="none"/>
          <w:u w:val="none"/>
          <w:lang w:val="en-US" w:eastAsia="zh-CN" w:bidi="ar-SA"/>
        </w:rPr>
        <w:t>※架空线路部分：</w:t>
      </w:r>
    </w:p>
    <w:p>
      <w:pPr>
        <w:pStyle w:val="2"/>
        <w:keepNext w:val="0"/>
        <w:keepLines w:val="0"/>
        <w:pageBreakBefore w:val="0"/>
        <w:kinsoku/>
        <w:wordWrap/>
        <w:overflowPunct/>
        <w:topLinePunct w:val="0"/>
        <w:bidi w:val="0"/>
        <w:spacing w:line="360" w:lineRule="auto"/>
        <w:ind w:firstLine="422" w:firstLineChars="200"/>
        <w:jc w:val="left"/>
        <w:textAlignment w:val="auto"/>
        <w:outlineLvl w:val="9"/>
        <w:rPr>
          <w:rFonts w:hint="eastAsia" w:ascii="宋体" w:hAnsi="宋体" w:eastAsia="宋体" w:cs="宋体"/>
          <w:b/>
          <w:bCs/>
          <w:color w:val="auto"/>
          <w:kern w:val="2"/>
          <w:sz w:val="21"/>
          <w:szCs w:val="21"/>
          <w:highlight w:val="none"/>
          <w:u w:val="none"/>
          <w:lang w:val="en-US" w:eastAsia="zh-CN" w:bidi="ar-SA"/>
        </w:rPr>
      </w:pPr>
      <w:r>
        <w:rPr>
          <w:rFonts w:hint="eastAsia" w:ascii="宋体" w:hAnsi="宋体" w:eastAsia="宋体" w:cs="宋体"/>
          <w:b/>
          <w:bCs/>
          <w:color w:val="auto"/>
          <w:kern w:val="2"/>
          <w:sz w:val="21"/>
          <w:szCs w:val="21"/>
          <w:highlight w:val="none"/>
          <w:u w:val="none"/>
          <w:lang w:val="en-US" w:eastAsia="zh-CN" w:bidi="ar-SA"/>
        </w:rPr>
        <w:t>（一）基础工程：</w:t>
      </w:r>
      <w:r>
        <w:rPr>
          <w:rFonts w:hint="eastAsia" w:ascii="宋体" w:hAnsi="宋体" w:eastAsia="宋体" w:cs="宋体"/>
          <w:b w:val="0"/>
          <w:bCs w:val="0"/>
          <w:color w:val="auto"/>
          <w:kern w:val="2"/>
          <w:sz w:val="21"/>
          <w:szCs w:val="21"/>
          <w:highlight w:val="none"/>
          <w:u w:val="none"/>
          <w:lang w:val="en-US" w:eastAsia="zh-CN" w:bidi="ar-SA"/>
        </w:rPr>
        <w:t>基础工程材料工地运输，土石方工程，基础砌筑，基础防腐，基础防护，地基处理；</w:t>
      </w:r>
    </w:p>
    <w:p>
      <w:pPr>
        <w:pStyle w:val="2"/>
        <w:keepNext w:val="0"/>
        <w:keepLines w:val="0"/>
        <w:pageBreakBefore w:val="0"/>
        <w:kinsoku/>
        <w:wordWrap/>
        <w:overflowPunct/>
        <w:topLinePunct w:val="0"/>
        <w:bidi w:val="0"/>
        <w:spacing w:line="360" w:lineRule="auto"/>
        <w:ind w:firstLine="422" w:firstLineChars="200"/>
        <w:jc w:val="left"/>
        <w:textAlignment w:val="auto"/>
        <w:outlineLvl w:val="9"/>
        <w:rPr>
          <w:rFonts w:hint="eastAsia" w:ascii="宋体" w:hAnsi="宋体" w:eastAsia="宋体" w:cs="宋体"/>
          <w:b w:val="0"/>
          <w:bCs w:val="0"/>
          <w:color w:val="auto"/>
          <w:kern w:val="2"/>
          <w:sz w:val="21"/>
          <w:szCs w:val="21"/>
          <w:highlight w:val="none"/>
          <w:u w:val="none"/>
          <w:lang w:val="en-US" w:eastAsia="zh-CN" w:bidi="ar-SA"/>
        </w:rPr>
      </w:pPr>
      <w:r>
        <w:rPr>
          <w:rFonts w:hint="eastAsia" w:ascii="宋体" w:hAnsi="宋体" w:eastAsia="宋体" w:cs="宋体"/>
          <w:b/>
          <w:bCs/>
          <w:color w:val="auto"/>
          <w:kern w:val="2"/>
          <w:sz w:val="21"/>
          <w:szCs w:val="21"/>
          <w:highlight w:val="none"/>
          <w:u w:val="none"/>
          <w:lang w:val="en-US" w:eastAsia="zh-CN" w:bidi="ar-SA"/>
        </w:rPr>
        <w:t>（二）杆塔工程：</w:t>
      </w:r>
      <w:r>
        <w:rPr>
          <w:rFonts w:hint="eastAsia" w:ascii="宋体" w:hAnsi="宋体" w:eastAsia="宋体" w:cs="宋体"/>
          <w:b w:val="0"/>
          <w:bCs w:val="0"/>
          <w:color w:val="auto"/>
          <w:kern w:val="2"/>
          <w:sz w:val="21"/>
          <w:szCs w:val="21"/>
          <w:highlight w:val="none"/>
          <w:u w:val="none"/>
          <w:lang w:val="en-US" w:eastAsia="zh-CN" w:bidi="ar-SA"/>
        </w:rPr>
        <w:t>杆塔工程材料工地运输，杆塔组立；</w:t>
      </w:r>
    </w:p>
    <w:p>
      <w:pPr>
        <w:pStyle w:val="2"/>
        <w:keepNext w:val="0"/>
        <w:keepLines w:val="0"/>
        <w:pageBreakBefore w:val="0"/>
        <w:kinsoku/>
        <w:wordWrap/>
        <w:overflowPunct/>
        <w:topLinePunct w:val="0"/>
        <w:bidi w:val="0"/>
        <w:spacing w:line="360" w:lineRule="auto"/>
        <w:ind w:firstLine="422" w:firstLineChars="200"/>
        <w:jc w:val="left"/>
        <w:textAlignment w:val="auto"/>
        <w:outlineLvl w:val="9"/>
        <w:rPr>
          <w:rFonts w:hint="eastAsia" w:ascii="宋体" w:hAnsi="宋体" w:eastAsia="宋体" w:cs="宋体"/>
          <w:b w:val="0"/>
          <w:bCs w:val="0"/>
          <w:color w:val="auto"/>
          <w:kern w:val="2"/>
          <w:sz w:val="21"/>
          <w:szCs w:val="21"/>
          <w:highlight w:val="none"/>
          <w:u w:val="none"/>
          <w:lang w:val="en-US" w:eastAsia="zh-CN" w:bidi="ar-SA"/>
        </w:rPr>
      </w:pPr>
      <w:r>
        <w:rPr>
          <w:rFonts w:hint="eastAsia" w:ascii="宋体" w:hAnsi="宋体" w:eastAsia="宋体" w:cs="宋体"/>
          <w:b/>
          <w:bCs/>
          <w:color w:val="auto"/>
          <w:kern w:val="2"/>
          <w:sz w:val="21"/>
          <w:szCs w:val="21"/>
          <w:highlight w:val="none"/>
          <w:u w:val="none"/>
          <w:lang w:val="en-US" w:eastAsia="zh-CN" w:bidi="ar-SA"/>
        </w:rPr>
        <w:t>（三）接地工程：</w:t>
      </w:r>
      <w:r>
        <w:rPr>
          <w:rFonts w:hint="eastAsia" w:ascii="宋体" w:hAnsi="宋体" w:eastAsia="宋体" w:cs="宋体"/>
          <w:b w:val="0"/>
          <w:bCs w:val="0"/>
          <w:color w:val="auto"/>
          <w:kern w:val="2"/>
          <w:sz w:val="21"/>
          <w:szCs w:val="21"/>
          <w:highlight w:val="none"/>
          <w:u w:val="none"/>
          <w:lang w:val="en-US" w:eastAsia="zh-CN" w:bidi="ar-SA"/>
        </w:rPr>
        <w:t>接地工程材料工地运输，接地土石方，接地安装；</w:t>
      </w:r>
    </w:p>
    <w:p>
      <w:pPr>
        <w:pStyle w:val="2"/>
        <w:keepNext w:val="0"/>
        <w:keepLines w:val="0"/>
        <w:pageBreakBefore w:val="0"/>
        <w:kinsoku/>
        <w:wordWrap/>
        <w:overflowPunct/>
        <w:topLinePunct w:val="0"/>
        <w:bidi w:val="0"/>
        <w:spacing w:line="360" w:lineRule="auto"/>
        <w:ind w:firstLine="422" w:firstLineChars="200"/>
        <w:jc w:val="left"/>
        <w:textAlignment w:val="auto"/>
        <w:outlineLvl w:val="9"/>
        <w:rPr>
          <w:rFonts w:hint="eastAsia" w:ascii="宋体" w:hAnsi="宋体" w:eastAsia="宋体" w:cs="宋体"/>
          <w:b/>
          <w:bCs/>
          <w:color w:val="auto"/>
          <w:kern w:val="2"/>
          <w:sz w:val="21"/>
          <w:szCs w:val="21"/>
          <w:highlight w:val="none"/>
          <w:u w:val="none"/>
          <w:lang w:val="en-US" w:eastAsia="zh-CN" w:bidi="ar-SA"/>
        </w:rPr>
      </w:pPr>
      <w:r>
        <w:rPr>
          <w:rFonts w:hint="eastAsia" w:ascii="宋体" w:hAnsi="宋体" w:eastAsia="宋体" w:cs="宋体"/>
          <w:b/>
          <w:bCs/>
          <w:color w:val="auto"/>
          <w:kern w:val="2"/>
          <w:sz w:val="21"/>
          <w:szCs w:val="21"/>
          <w:highlight w:val="none"/>
          <w:u w:val="none"/>
          <w:lang w:val="en-US" w:eastAsia="zh-CN" w:bidi="ar-SA"/>
        </w:rPr>
        <w:t>（四）架线工程：</w:t>
      </w:r>
      <w:r>
        <w:rPr>
          <w:rFonts w:hint="eastAsia" w:ascii="宋体" w:hAnsi="宋体" w:eastAsia="宋体" w:cs="宋体"/>
          <w:b w:val="0"/>
          <w:bCs w:val="0"/>
          <w:color w:val="auto"/>
          <w:kern w:val="2"/>
          <w:sz w:val="21"/>
          <w:szCs w:val="21"/>
          <w:highlight w:val="none"/>
          <w:u w:val="none"/>
          <w:lang w:val="en-US" w:eastAsia="zh-CN" w:bidi="ar-SA"/>
        </w:rPr>
        <w:t>架线工程材料工地运输，导地线架设（不含OPGW接续与测量），导地线跨越架设（其中</w:t>
      </w:r>
      <w:r>
        <w:rPr>
          <w:rFonts w:hint="eastAsia" w:hAnsi="宋体" w:cs="宋体"/>
          <w:b w:val="0"/>
          <w:bCs w:val="0"/>
          <w:color w:val="auto"/>
          <w:kern w:val="2"/>
          <w:sz w:val="21"/>
          <w:szCs w:val="21"/>
          <w:highlight w:val="none"/>
          <w:u w:val="none"/>
          <w:lang w:val="en-US" w:eastAsia="zh-CN" w:bidi="ar-SA"/>
        </w:rPr>
        <w:t>☑</w:t>
      </w:r>
      <w:r>
        <w:rPr>
          <w:rFonts w:hint="eastAsia" w:ascii="宋体" w:hAnsi="宋体" w:eastAsia="宋体" w:cs="宋体"/>
          <w:b w:val="0"/>
          <w:bCs w:val="0"/>
          <w:color w:val="auto"/>
          <w:kern w:val="2"/>
          <w:sz w:val="21"/>
          <w:szCs w:val="21"/>
          <w:highlight w:val="none"/>
          <w:u w:val="none"/>
          <w:lang w:val="en-US" w:eastAsia="zh-CN" w:bidi="ar-SA"/>
        </w:rPr>
        <w:t>带电跨越10千伏及以下电力线路、□带电跨越35千伏及以上电力线路、□跨越铁路、□高速公路、</w:t>
      </w:r>
      <w:r>
        <w:rPr>
          <w:rFonts w:hint="eastAsia" w:hAnsi="宋体" w:cs="宋体"/>
          <w:b w:val="0"/>
          <w:bCs w:val="0"/>
          <w:color w:val="auto"/>
          <w:kern w:val="2"/>
          <w:sz w:val="21"/>
          <w:szCs w:val="21"/>
          <w:highlight w:val="none"/>
          <w:u w:val="none"/>
          <w:lang w:val="en-US" w:eastAsia="zh-CN" w:bidi="ar-SA"/>
        </w:rPr>
        <w:t>☑</w:t>
      </w:r>
      <w:r>
        <w:rPr>
          <w:rFonts w:hint="eastAsia" w:ascii="宋体" w:hAnsi="宋体" w:eastAsia="宋体" w:cs="宋体"/>
          <w:b w:val="0"/>
          <w:bCs w:val="0"/>
          <w:color w:val="auto"/>
          <w:kern w:val="2"/>
          <w:sz w:val="21"/>
          <w:szCs w:val="21"/>
          <w:highlight w:val="none"/>
          <w:u w:val="none"/>
          <w:lang w:val="en-US" w:eastAsia="zh-CN" w:bidi="ar-SA"/>
        </w:rPr>
        <w:t>一、二级公路、</w:t>
      </w:r>
      <w:r>
        <w:rPr>
          <w:rFonts w:hint="eastAsia" w:hAnsi="宋体" w:cs="宋体"/>
          <w:b w:val="0"/>
          <w:bCs w:val="0"/>
          <w:color w:val="auto"/>
          <w:kern w:val="2"/>
          <w:sz w:val="21"/>
          <w:szCs w:val="21"/>
          <w:highlight w:val="none"/>
          <w:u w:val="none"/>
          <w:lang w:val="en-US" w:eastAsia="zh-CN" w:bidi="ar-SA"/>
        </w:rPr>
        <w:t>☑</w:t>
      </w:r>
      <w:r>
        <w:rPr>
          <w:rFonts w:hint="eastAsia" w:ascii="宋体" w:hAnsi="宋体" w:eastAsia="宋体" w:cs="宋体"/>
          <w:b w:val="0"/>
          <w:bCs w:val="0"/>
          <w:color w:val="auto"/>
          <w:kern w:val="2"/>
          <w:sz w:val="21"/>
          <w:szCs w:val="21"/>
          <w:highlight w:val="none"/>
          <w:u w:val="none"/>
          <w:lang w:val="en-US" w:eastAsia="zh-CN" w:bidi="ar-SA"/>
        </w:rPr>
        <w:t>河流），其他架线工程；</w:t>
      </w:r>
    </w:p>
    <w:p>
      <w:pPr>
        <w:pStyle w:val="2"/>
        <w:keepNext w:val="0"/>
        <w:keepLines w:val="0"/>
        <w:pageBreakBefore w:val="0"/>
        <w:kinsoku/>
        <w:wordWrap/>
        <w:overflowPunct/>
        <w:topLinePunct w:val="0"/>
        <w:bidi w:val="0"/>
        <w:spacing w:line="360" w:lineRule="auto"/>
        <w:ind w:firstLine="422" w:firstLineChars="200"/>
        <w:jc w:val="left"/>
        <w:textAlignment w:val="auto"/>
        <w:outlineLvl w:val="9"/>
        <w:rPr>
          <w:rFonts w:hint="eastAsia" w:ascii="宋体" w:hAnsi="宋体" w:eastAsia="宋体" w:cs="宋体"/>
          <w:b/>
          <w:bCs/>
          <w:color w:val="auto"/>
          <w:kern w:val="2"/>
          <w:sz w:val="21"/>
          <w:szCs w:val="21"/>
          <w:highlight w:val="none"/>
          <w:u w:val="none"/>
          <w:lang w:val="en-US" w:eastAsia="zh-CN" w:bidi="ar-SA"/>
        </w:rPr>
      </w:pPr>
      <w:r>
        <w:rPr>
          <w:rFonts w:hint="eastAsia" w:ascii="宋体" w:hAnsi="宋体" w:eastAsia="宋体" w:cs="宋体"/>
          <w:b/>
          <w:bCs/>
          <w:color w:val="auto"/>
          <w:kern w:val="2"/>
          <w:sz w:val="21"/>
          <w:szCs w:val="21"/>
          <w:highlight w:val="none"/>
          <w:u w:val="none"/>
          <w:lang w:val="en-US" w:eastAsia="zh-CN" w:bidi="ar-SA"/>
        </w:rPr>
        <w:t>（五）附件安装工程：</w:t>
      </w:r>
      <w:r>
        <w:rPr>
          <w:rFonts w:hint="eastAsia" w:ascii="宋体" w:hAnsi="宋体" w:eastAsia="宋体" w:cs="宋体"/>
          <w:b w:val="0"/>
          <w:bCs w:val="0"/>
          <w:color w:val="auto"/>
          <w:kern w:val="2"/>
          <w:sz w:val="21"/>
          <w:szCs w:val="21"/>
          <w:highlight w:val="none"/>
          <w:u w:val="none"/>
          <w:lang w:val="en-US" w:eastAsia="zh-CN" w:bidi="ar-SA"/>
        </w:rPr>
        <w:t>附件安装工程材料工地运输，绝缘子串及金具安装；</w:t>
      </w:r>
    </w:p>
    <w:p>
      <w:pPr>
        <w:pStyle w:val="2"/>
        <w:keepNext w:val="0"/>
        <w:keepLines w:val="0"/>
        <w:pageBreakBefore w:val="0"/>
        <w:kinsoku/>
        <w:wordWrap/>
        <w:overflowPunct/>
        <w:topLinePunct w:val="0"/>
        <w:bidi w:val="0"/>
        <w:spacing w:line="360" w:lineRule="auto"/>
        <w:ind w:firstLine="422" w:firstLineChars="200"/>
        <w:jc w:val="left"/>
        <w:textAlignment w:val="auto"/>
        <w:outlineLvl w:val="9"/>
        <w:rPr>
          <w:rFonts w:hint="eastAsia" w:ascii="宋体" w:hAnsi="宋体" w:eastAsia="宋体" w:cs="宋体"/>
          <w:b/>
          <w:bCs/>
          <w:color w:val="auto"/>
          <w:kern w:val="2"/>
          <w:sz w:val="21"/>
          <w:szCs w:val="21"/>
          <w:highlight w:val="none"/>
          <w:u w:val="none"/>
          <w:lang w:val="en-US" w:eastAsia="zh-CN" w:bidi="ar-SA"/>
        </w:rPr>
      </w:pPr>
      <w:r>
        <w:rPr>
          <w:rFonts w:hint="eastAsia" w:ascii="宋体" w:hAnsi="宋体" w:eastAsia="宋体" w:cs="宋体"/>
          <w:b/>
          <w:bCs/>
          <w:color w:val="auto"/>
          <w:kern w:val="2"/>
          <w:sz w:val="21"/>
          <w:szCs w:val="21"/>
          <w:highlight w:val="none"/>
          <w:u w:val="none"/>
          <w:lang w:val="en-US" w:eastAsia="zh-CN" w:bidi="ar-SA"/>
        </w:rPr>
        <w:t>（六）辅助工程：</w:t>
      </w:r>
      <w:r>
        <w:rPr>
          <w:rFonts w:hint="eastAsia" w:ascii="宋体" w:hAnsi="宋体" w:eastAsia="宋体" w:cs="宋体"/>
          <w:b w:val="0"/>
          <w:bCs w:val="0"/>
          <w:color w:val="auto"/>
          <w:kern w:val="2"/>
          <w:sz w:val="21"/>
          <w:szCs w:val="21"/>
          <w:highlight w:val="none"/>
          <w:u w:val="none"/>
          <w:lang w:val="en-US" w:eastAsia="zh-CN" w:bidi="ar-SA"/>
        </w:rPr>
        <w:t>永久施工道路修筑，尖峰、施工基面土石方工程，护坡、挡土墙及排洪沟，基础永久性围堰，索道站安装，杆塔上装的各类辅助生产装置（其中：</w:t>
      </w:r>
      <w:r>
        <w:rPr>
          <w:rFonts w:hint="eastAsia" w:hAnsi="宋体" w:cs="宋体"/>
          <w:b w:val="0"/>
          <w:bCs w:val="0"/>
          <w:color w:val="auto"/>
          <w:kern w:val="2"/>
          <w:sz w:val="21"/>
          <w:szCs w:val="21"/>
          <w:highlight w:val="none"/>
          <w:u w:val="none"/>
          <w:lang w:val="en-US" w:eastAsia="zh-CN" w:bidi="ar-SA"/>
        </w:rPr>
        <w:t>☑</w:t>
      </w:r>
      <w:r>
        <w:rPr>
          <w:rFonts w:hint="eastAsia" w:ascii="宋体" w:hAnsi="宋体" w:eastAsia="宋体" w:cs="宋体"/>
          <w:b w:val="0"/>
          <w:bCs w:val="0"/>
          <w:color w:val="auto"/>
          <w:kern w:val="2"/>
          <w:sz w:val="21"/>
          <w:szCs w:val="21"/>
          <w:highlight w:val="none"/>
          <w:u w:val="none"/>
          <w:lang w:val="en-US" w:eastAsia="zh-CN" w:bidi="ar-SA"/>
        </w:rPr>
        <w:t>标志牌安装，</w:t>
      </w:r>
      <w:r>
        <w:rPr>
          <w:rFonts w:hint="eastAsia" w:hAnsi="宋体" w:cs="宋体"/>
          <w:b w:val="0"/>
          <w:bCs w:val="0"/>
          <w:color w:val="auto"/>
          <w:kern w:val="2"/>
          <w:sz w:val="21"/>
          <w:szCs w:val="21"/>
          <w:highlight w:val="none"/>
          <w:u w:val="none"/>
          <w:lang w:val="en-US" w:eastAsia="zh-CN" w:bidi="ar-SA"/>
        </w:rPr>
        <w:t>☑</w:t>
      </w:r>
      <w:r>
        <w:rPr>
          <w:rFonts w:hint="eastAsia" w:ascii="宋体" w:hAnsi="宋体" w:eastAsia="宋体" w:cs="宋体"/>
          <w:b w:val="0"/>
          <w:bCs w:val="0"/>
          <w:color w:val="auto"/>
          <w:kern w:val="2"/>
          <w:sz w:val="21"/>
          <w:szCs w:val="21"/>
          <w:highlight w:val="none"/>
          <w:u w:val="none"/>
          <w:lang w:val="en-US" w:eastAsia="zh-CN" w:bidi="ar-SA"/>
        </w:rPr>
        <w:t>防坠地装置，□防鸟刺装置），</w:t>
      </w:r>
      <w:r>
        <w:rPr>
          <w:rFonts w:hint="eastAsia" w:hAnsi="宋体" w:cs="宋体"/>
          <w:b w:val="0"/>
          <w:bCs w:val="0"/>
          <w:color w:val="auto"/>
          <w:kern w:val="2"/>
          <w:sz w:val="21"/>
          <w:szCs w:val="21"/>
          <w:highlight w:val="none"/>
          <w:u w:val="none"/>
          <w:lang w:val="en-US" w:eastAsia="zh-CN" w:bidi="ar-SA"/>
        </w:rPr>
        <w:t>☑</w:t>
      </w:r>
      <w:r>
        <w:rPr>
          <w:rFonts w:hint="eastAsia" w:ascii="宋体" w:hAnsi="宋体" w:eastAsia="宋体" w:cs="宋体"/>
          <w:b w:val="0"/>
          <w:bCs w:val="0"/>
          <w:color w:val="auto"/>
          <w:kern w:val="2"/>
          <w:sz w:val="21"/>
          <w:szCs w:val="21"/>
          <w:highlight w:val="none"/>
          <w:u w:val="none"/>
          <w:lang w:val="en-US" w:eastAsia="zh-CN" w:bidi="ar-SA"/>
        </w:rPr>
        <w:t>输、送电线路试运；</w:t>
      </w:r>
    </w:p>
    <w:p>
      <w:pPr>
        <w:pStyle w:val="2"/>
        <w:keepNext w:val="0"/>
        <w:keepLines w:val="0"/>
        <w:pageBreakBefore w:val="0"/>
        <w:kinsoku/>
        <w:wordWrap/>
        <w:overflowPunct/>
        <w:topLinePunct w:val="0"/>
        <w:bidi w:val="0"/>
        <w:spacing w:line="360" w:lineRule="auto"/>
        <w:ind w:firstLine="422" w:firstLineChars="200"/>
        <w:jc w:val="left"/>
        <w:textAlignment w:val="auto"/>
        <w:outlineLvl w:val="9"/>
        <w:rPr>
          <w:rFonts w:hint="eastAsia" w:ascii="宋体" w:hAnsi="宋体" w:eastAsia="宋体" w:cs="宋体"/>
          <w:b/>
          <w:bCs/>
          <w:color w:val="auto"/>
          <w:kern w:val="2"/>
          <w:sz w:val="21"/>
          <w:szCs w:val="21"/>
          <w:highlight w:val="none"/>
          <w:u w:val="none"/>
          <w:lang w:val="en-US" w:eastAsia="zh-CN" w:bidi="ar-SA"/>
        </w:rPr>
      </w:pPr>
      <w:r>
        <w:rPr>
          <w:rFonts w:hint="eastAsia" w:ascii="宋体" w:hAnsi="宋体" w:eastAsia="宋体" w:cs="宋体"/>
          <w:b/>
          <w:bCs/>
          <w:color w:val="auto"/>
          <w:kern w:val="2"/>
          <w:sz w:val="21"/>
          <w:szCs w:val="21"/>
          <w:highlight w:val="none"/>
          <w:u w:val="none"/>
          <w:lang w:val="en-US" w:eastAsia="zh-CN" w:bidi="ar-SA"/>
        </w:rPr>
        <w:t>（七）其他费用工程：</w:t>
      </w:r>
      <w:r>
        <w:rPr>
          <w:rFonts w:hint="eastAsia" w:hAnsi="宋体" w:cs="宋体"/>
          <w:b w:val="0"/>
          <w:bCs w:val="0"/>
          <w:color w:val="auto"/>
          <w:kern w:val="2"/>
          <w:sz w:val="21"/>
          <w:szCs w:val="21"/>
          <w:highlight w:val="none"/>
          <w:u w:val="none"/>
          <w:lang w:val="en-US" w:eastAsia="zh-CN" w:bidi="ar-SA"/>
        </w:rPr>
        <w:t>☑</w:t>
      </w:r>
      <w:r>
        <w:rPr>
          <w:rFonts w:hint="eastAsia" w:ascii="宋体" w:hAnsi="宋体" w:eastAsia="宋体" w:cs="宋体"/>
          <w:b w:val="0"/>
          <w:bCs w:val="0"/>
          <w:color w:val="auto"/>
          <w:kern w:val="2"/>
          <w:sz w:val="21"/>
          <w:szCs w:val="21"/>
          <w:highlight w:val="none"/>
          <w:u w:val="none"/>
          <w:lang w:val="en-US" w:eastAsia="zh-CN" w:bidi="ar-SA"/>
        </w:rPr>
        <w:t>拆除工程，</w:t>
      </w:r>
      <w:r>
        <w:rPr>
          <w:rFonts w:hint="eastAsia" w:hAnsi="宋体" w:cs="宋体"/>
          <w:b w:val="0"/>
          <w:bCs w:val="0"/>
          <w:color w:val="auto"/>
          <w:kern w:val="2"/>
          <w:sz w:val="21"/>
          <w:szCs w:val="21"/>
          <w:highlight w:val="none"/>
          <w:u w:val="none"/>
          <w:lang w:val="en-US" w:eastAsia="zh-CN" w:bidi="ar-SA"/>
        </w:rPr>
        <w:t>☑</w:t>
      </w:r>
      <w:r>
        <w:rPr>
          <w:rFonts w:hint="eastAsia" w:ascii="宋体" w:hAnsi="宋体" w:eastAsia="宋体" w:cs="宋体"/>
          <w:b w:val="0"/>
          <w:bCs w:val="0"/>
          <w:color w:val="auto"/>
          <w:kern w:val="2"/>
          <w:sz w:val="21"/>
          <w:szCs w:val="21"/>
          <w:highlight w:val="none"/>
          <w:u w:val="none"/>
          <w:lang w:val="en-US" w:eastAsia="zh-CN" w:bidi="ar-SA"/>
        </w:rPr>
        <w:t>施工临时占用地补偿（含牵引场地租用费），□施工临时占用地（含牵引场地）青苗赔偿，□临时施工道路的青苗赔偿，□塔基占地及其青苗赔偿，□架线青苗赔偿，□接地线铺设的青苗赔偿，</w:t>
      </w:r>
      <w:r>
        <w:rPr>
          <w:rFonts w:hint="eastAsia" w:hAnsi="宋体" w:cs="宋体"/>
          <w:b w:val="0"/>
          <w:bCs w:val="0"/>
          <w:color w:val="auto"/>
          <w:kern w:val="2"/>
          <w:sz w:val="21"/>
          <w:szCs w:val="21"/>
          <w:highlight w:val="none"/>
          <w:u w:val="none"/>
          <w:lang w:val="en-US" w:eastAsia="zh-CN" w:bidi="ar-SA"/>
        </w:rPr>
        <w:t>☑</w:t>
      </w:r>
      <w:r>
        <w:rPr>
          <w:rFonts w:hint="eastAsia" w:ascii="宋体" w:hAnsi="宋体" w:eastAsia="宋体" w:cs="宋体"/>
          <w:b w:val="0"/>
          <w:bCs w:val="0"/>
          <w:color w:val="auto"/>
          <w:kern w:val="2"/>
          <w:sz w:val="21"/>
          <w:szCs w:val="21"/>
          <w:highlight w:val="none"/>
          <w:u w:val="none"/>
          <w:lang w:val="en-US" w:eastAsia="zh-CN" w:bidi="ar-SA"/>
        </w:rPr>
        <w:t>塔基绿化恢复，</w:t>
      </w:r>
      <w:r>
        <w:rPr>
          <w:rFonts w:hint="eastAsia" w:hAnsi="宋体" w:cs="宋体"/>
          <w:b w:val="0"/>
          <w:bCs w:val="0"/>
          <w:color w:val="auto"/>
          <w:kern w:val="2"/>
          <w:sz w:val="21"/>
          <w:szCs w:val="21"/>
          <w:highlight w:val="none"/>
          <w:u w:val="none"/>
          <w:lang w:val="en-US" w:eastAsia="zh-CN" w:bidi="ar-SA"/>
        </w:rPr>
        <w:t>☑</w:t>
      </w:r>
      <w:r>
        <w:rPr>
          <w:rFonts w:hint="eastAsia" w:ascii="宋体" w:hAnsi="宋体" w:eastAsia="宋体" w:cs="宋体"/>
          <w:b w:val="0"/>
          <w:bCs w:val="0"/>
          <w:color w:val="auto"/>
          <w:kern w:val="2"/>
          <w:sz w:val="21"/>
          <w:szCs w:val="21"/>
          <w:highlight w:val="none"/>
          <w:u w:val="none"/>
          <w:lang w:val="en-US" w:eastAsia="zh-CN" w:bidi="ar-SA"/>
        </w:rPr>
        <w:t>临时施工道路修筑费（单价/总价均报），输电线路跨越补偿费（□跨越铁路补偿费、□跨越高速公路补偿费、</w:t>
      </w:r>
      <w:r>
        <w:rPr>
          <w:rFonts w:hint="eastAsia" w:hAnsi="宋体" w:cs="宋体"/>
          <w:b w:val="0"/>
          <w:bCs w:val="0"/>
          <w:color w:val="auto"/>
          <w:kern w:val="2"/>
          <w:sz w:val="21"/>
          <w:szCs w:val="21"/>
          <w:highlight w:val="none"/>
          <w:u w:val="none"/>
          <w:lang w:val="en-US" w:eastAsia="zh-CN" w:bidi="ar-SA"/>
        </w:rPr>
        <w:t>☑</w:t>
      </w:r>
      <w:r>
        <w:rPr>
          <w:rFonts w:hint="eastAsia" w:ascii="宋体" w:hAnsi="宋体" w:eastAsia="宋体" w:cs="宋体"/>
          <w:b w:val="0"/>
          <w:bCs w:val="0"/>
          <w:color w:val="auto"/>
          <w:kern w:val="2"/>
          <w:sz w:val="21"/>
          <w:szCs w:val="21"/>
          <w:highlight w:val="none"/>
          <w:u w:val="none"/>
          <w:lang w:val="en-US" w:eastAsia="zh-CN" w:bidi="ar-SA"/>
        </w:rPr>
        <w:t>跨越一、二级公路补偿费、□跨越通航河流补偿费）；</w:t>
      </w:r>
    </w:p>
    <w:p>
      <w:pPr>
        <w:pStyle w:val="2"/>
        <w:keepNext w:val="0"/>
        <w:keepLines w:val="0"/>
        <w:pageBreakBefore w:val="0"/>
        <w:kinsoku/>
        <w:wordWrap/>
        <w:overflowPunct/>
        <w:topLinePunct w:val="0"/>
        <w:bidi w:val="0"/>
        <w:spacing w:line="360" w:lineRule="auto"/>
        <w:ind w:firstLine="422" w:firstLineChars="200"/>
        <w:jc w:val="left"/>
        <w:textAlignment w:val="auto"/>
        <w:outlineLvl w:val="9"/>
        <w:rPr>
          <w:rFonts w:hint="eastAsia" w:ascii="宋体" w:hAnsi="宋体" w:eastAsia="宋体" w:cs="宋体"/>
          <w:b w:val="0"/>
          <w:bCs w:val="0"/>
          <w:color w:val="auto"/>
          <w:kern w:val="2"/>
          <w:sz w:val="21"/>
          <w:szCs w:val="21"/>
          <w:highlight w:val="none"/>
          <w:u w:val="single"/>
          <w:lang w:val="en-US" w:eastAsia="zh-CN" w:bidi="ar-SA"/>
        </w:rPr>
      </w:pPr>
      <w:r>
        <w:rPr>
          <w:rFonts w:hint="eastAsia" w:ascii="宋体" w:hAnsi="宋体" w:eastAsia="宋体" w:cs="宋体"/>
          <w:b/>
          <w:bCs/>
          <w:color w:val="auto"/>
          <w:kern w:val="2"/>
          <w:sz w:val="21"/>
          <w:szCs w:val="21"/>
          <w:highlight w:val="none"/>
          <w:u w:val="none"/>
          <w:lang w:val="en-US" w:eastAsia="zh-CN" w:bidi="ar-SA"/>
        </w:rPr>
        <w:t>（八）其他：</w:t>
      </w:r>
      <w:r>
        <w:rPr>
          <w:rFonts w:hint="eastAsia" w:ascii="宋体" w:hAnsi="宋体" w:eastAsia="宋体" w:cs="宋体"/>
          <w:b w:val="0"/>
          <w:bCs w:val="0"/>
          <w:color w:val="auto"/>
          <w:kern w:val="2"/>
          <w:sz w:val="21"/>
          <w:szCs w:val="21"/>
          <w:highlight w:val="none"/>
          <w:u w:val="single"/>
          <w:lang w:val="en-US" w:eastAsia="zh-CN" w:bidi="ar-SA"/>
        </w:rPr>
        <w:t xml:space="preserve"> </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lang w:val="en-US" w:eastAsia="zh-CN"/>
        </w:rPr>
        <w:t>输电线路跨越补偿费；</w:t>
      </w:r>
      <w:r>
        <w:rPr>
          <w:rFonts w:hint="eastAsia" w:ascii="宋体" w:hAnsi="宋体" w:eastAsia="宋体" w:cs="宋体"/>
          <w:b w:val="0"/>
          <w:bCs w:val="0"/>
          <w:color w:val="auto"/>
          <w:kern w:val="2"/>
          <w:sz w:val="21"/>
          <w:szCs w:val="21"/>
          <w:highlight w:val="none"/>
          <w:u w:val="single"/>
          <w:lang w:val="en-US" w:eastAsia="zh-CN" w:bidi="ar-SA"/>
        </w:rPr>
        <w:t>☑渣土消纳费执行《广东省电力建设定额站关于东莞电力建设项目余泥渣土运输及消纳费计价请示的复函》粤电定〔2022〕3号。</w:t>
      </w:r>
    </w:p>
    <w:p>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color w:val="auto"/>
          <w:sz w:val="21"/>
          <w:szCs w:val="21"/>
          <w:highlight w:val="none"/>
          <w:lang w:eastAsia="zh-CN"/>
        </w:rPr>
      </w:pP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
          <w:bCs w:val="0"/>
          <w:color w:val="auto"/>
          <w:sz w:val="21"/>
          <w:szCs w:val="21"/>
          <w:highlight w:val="none"/>
          <w:lang w:val="en-US" w:eastAsia="zh-CN"/>
        </w:rPr>
        <w:t>※通信部分：</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变电站工程：施工图纸范围内的通信设备安装及测试、光缆单盘测试、中继测试、接续、光缆及联络光缆敷设、通信子管敷设、通道开通及业务接入、割接等；设备、光缆及金具卸车清点、验收及保管，与施工相关的所有其他费用项目。</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架空线路部分： 施工图纸范围内的光缆单盘测量、接续、全程测量；与施工相关的所有其他费用项目；不包含光缆架设、拆除、跨越及青苗赔偿。</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 xml:space="preserve">其他： </w:t>
      </w:r>
      <w:r>
        <w:rPr>
          <w:rFonts w:hint="eastAsia" w:ascii="宋体" w:hAnsi="宋体" w:eastAsia="宋体" w:cs="宋体"/>
          <w:bCs/>
          <w:color w:val="auto"/>
          <w:sz w:val="21"/>
          <w:szCs w:val="21"/>
          <w:highlight w:val="none"/>
          <w:u w:val="single"/>
          <w:lang w:val="en-US" w:eastAsia="zh-CN"/>
        </w:rPr>
        <w:t>☑光缆中断临时过渡方案中波分设备租用</w:t>
      </w:r>
      <w:r>
        <w:rPr>
          <w:rFonts w:hint="eastAsia" w:ascii="宋体" w:hAnsi="宋体" w:eastAsia="宋体" w:cs="宋体"/>
          <w:bCs/>
          <w:color w:val="auto"/>
          <w:sz w:val="21"/>
          <w:szCs w:val="21"/>
          <w:highlight w:val="none"/>
          <w:lang w:val="en-US" w:eastAsia="zh-CN"/>
        </w:rPr>
        <w:t>。</w:t>
      </w:r>
    </w:p>
    <w:p>
      <w:pPr>
        <w:pStyle w:val="14"/>
        <w:rPr>
          <w:rFonts w:hint="eastAsia"/>
          <w:color w:val="auto"/>
          <w:highlight w:val="none"/>
          <w:lang w:val="en-US" w:eastAsia="zh-CN"/>
        </w:rPr>
      </w:pPr>
    </w:p>
    <w:p>
      <w:pPr>
        <w:pStyle w:val="2"/>
        <w:keepNext w:val="0"/>
        <w:keepLines w:val="0"/>
        <w:pageBreakBefore w:val="0"/>
        <w:widowControl w:val="0"/>
        <w:numPr>
          <w:ilvl w:val="0"/>
          <w:numId w:val="0"/>
        </w:numPr>
        <w:kinsoku/>
        <w:wordWrap/>
        <w:overflowPunct/>
        <w:topLinePunct w:val="0"/>
        <w:autoSpaceDE/>
        <w:autoSpaceDN/>
        <w:bidi w:val="0"/>
        <w:spacing w:line="360" w:lineRule="auto"/>
        <w:ind w:left="420" w:leftChars="0"/>
        <w:textAlignment w:val="auto"/>
        <w:rPr>
          <w:rFonts w:hint="eastAsia" w:ascii="宋体" w:hAnsi="宋体" w:eastAsia="宋体" w:cs="宋体"/>
          <w:b/>
          <w:bCs/>
          <w:snapToGrid w:val="0"/>
          <w:color w:val="auto"/>
          <w:kern w:val="0"/>
          <w:sz w:val="24"/>
          <w:szCs w:val="24"/>
          <w:highlight w:val="none"/>
          <w:u w:val="none"/>
        </w:rPr>
      </w:pPr>
      <w:r>
        <w:rPr>
          <w:rFonts w:hint="eastAsia" w:ascii="宋体" w:hAnsi="宋体" w:eastAsia="宋体" w:cs="宋体"/>
          <w:b/>
          <w:bCs/>
          <w:snapToGrid w:val="0"/>
          <w:color w:val="auto"/>
          <w:kern w:val="0"/>
          <w:sz w:val="24"/>
          <w:szCs w:val="24"/>
          <w:highlight w:val="none"/>
          <w:u w:val="none"/>
          <w:lang w:eastAsia="zh-CN"/>
        </w:rPr>
        <w:t>三、</w:t>
      </w:r>
      <w:r>
        <w:rPr>
          <w:rFonts w:hint="eastAsia" w:ascii="宋体" w:hAnsi="宋体" w:eastAsia="宋体" w:cs="宋体"/>
          <w:b/>
          <w:bCs/>
          <w:snapToGrid w:val="0"/>
          <w:color w:val="auto"/>
          <w:kern w:val="0"/>
          <w:sz w:val="24"/>
          <w:szCs w:val="24"/>
          <w:highlight w:val="none"/>
          <w:u w:val="none"/>
        </w:rPr>
        <w:t>承包方式</w:t>
      </w:r>
    </w:p>
    <w:p>
      <w:pPr>
        <w:pStyle w:val="2"/>
        <w:keepNext w:val="0"/>
        <w:keepLines w:val="0"/>
        <w:pageBreakBefore w:val="0"/>
        <w:widowControl w:val="0"/>
        <w:numPr>
          <w:ilvl w:val="0"/>
          <w:numId w:val="0"/>
        </w:numPr>
        <w:kinsoku/>
        <w:wordWrap/>
        <w:overflowPunct/>
        <w:topLinePunct w:val="0"/>
        <w:autoSpaceDE/>
        <w:autoSpaceDN/>
        <w:bidi w:val="0"/>
        <w:spacing w:line="360" w:lineRule="auto"/>
        <w:ind w:leftChars="0" w:firstLine="422" w:firstLineChars="200"/>
        <w:textAlignment w:val="auto"/>
        <w:rPr>
          <w:rFonts w:hint="eastAsia" w:ascii="宋体" w:hAnsi="宋体" w:eastAsia="宋体" w:cs="宋体"/>
          <w:b/>
          <w:bCs/>
          <w:snapToGrid w:val="0"/>
          <w:color w:val="auto"/>
          <w:kern w:val="0"/>
          <w:sz w:val="21"/>
          <w:szCs w:val="21"/>
          <w:highlight w:val="none"/>
          <w:u w:val="none"/>
        </w:rPr>
      </w:pPr>
      <w:r>
        <w:rPr>
          <w:rFonts w:hint="eastAsia" w:ascii="宋体" w:hAnsi="宋体" w:eastAsia="宋体" w:cs="宋体"/>
          <w:b/>
          <w:bCs/>
          <w:snapToGrid w:val="0"/>
          <w:color w:val="auto"/>
          <w:kern w:val="0"/>
          <w:sz w:val="21"/>
          <w:szCs w:val="21"/>
          <w:highlight w:val="none"/>
          <w:u w:val="none"/>
        </w:rPr>
        <w:t>包工、部分包料，施工图纸范围内如有下列设备、材料，无□及</w:t>
      </w:r>
      <w:r>
        <w:rPr>
          <w:rFonts w:hint="eastAsia" w:ascii="宋体" w:hAnsi="宋体" w:eastAsia="宋体" w:cs="宋体"/>
          <w:b/>
          <w:bCs/>
          <w:snapToGrid w:val="0"/>
          <w:color w:val="auto"/>
          <w:kern w:val="0"/>
          <w:sz w:val="21"/>
          <w:szCs w:val="21"/>
          <w:highlight w:val="none"/>
          <w:u w:val="none"/>
        </w:rPr>
        <w:fldChar w:fldCharType="begin"/>
      </w:r>
      <w:r>
        <w:rPr>
          <w:rFonts w:hint="eastAsia" w:ascii="宋体" w:hAnsi="宋体" w:eastAsia="宋体" w:cs="宋体"/>
          <w:b/>
          <w:bCs/>
          <w:snapToGrid w:val="0"/>
          <w:color w:val="auto"/>
          <w:kern w:val="0"/>
          <w:sz w:val="21"/>
          <w:szCs w:val="21"/>
          <w:highlight w:val="none"/>
          <w:u w:val="none"/>
        </w:rPr>
        <w:instrText xml:space="preserve"> EQ \o\ac(</w:instrText>
      </w:r>
      <w:r>
        <w:rPr>
          <w:rFonts w:hint="eastAsia" w:ascii="宋体" w:hAnsi="宋体" w:eastAsia="宋体" w:cs="宋体"/>
          <w:b/>
          <w:bCs/>
          <w:snapToGrid w:val="0"/>
          <w:color w:val="auto"/>
          <w:kern w:val="0"/>
          <w:position w:val="-4"/>
          <w:sz w:val="31"/>
          <w:szCs w:val="21"/>
          <w:highlight w:val="none"/>
          <w:u w:val="none"/>
        </w:rPr>
        <w:instrText xml:space="preserve">□</w:instrText>
      </w:r>
      <w:r>
        <w:rPr>
          <w:rFonts w:hint="eastAsia" w:ascii="宋体" w:hAnsi="宋体" w:eastAsia="宋体" w:cs="宋体"/>
          <w:b/>
          <w:bCs/>
          <w:snapToGrid w:val="0"/>
          <w:color w:val="auto"/>
          <w:kern w:val="0"/>
          <w:position w:val="0"/>
          <w:sz w:val="21"/>
          <w:szCs w:val="21"/>
          <w:highlight w:val="none"/>
          <w:u w:val="none"/>
        </w:rPr>
        <w:instrText xml:space="preserve">,√)</w:instrText>
      </w:r>
      <w:r>
        <w:rPr>
          <w:rFonts w:hint="eastAsia" w:ascii="宋体" w:hAnsi="宋体" w:eastAsia="宋体" w:cs="宋体"/>
          <w:b/>
          <w:bCs/>
          <w:snapToGrid w:val="0"/>
          <w:color w:val="auto"/>
          <w:kern w:val="0"/>
          <w:sz w:val="21"/>
          <w:szCs w:val="21"/>
          <w:highlight w:val="none"/>
          <w:u w:val="none"/>
        </w:rPr>
        <w:fldChar w:fldCharType="end"/>
      </w:r>
      <w:r>
        <w:rPr>
          <w:rFonts w:hint="eastAsia" w:ascii="宋体" w:hAnsi="宋体" w:eastAsia="宋体" w:cs="宋体"/>
          <w:b/>
          <w:bCs/>
          <w:snapToGrid w:val="0"/>
          <w:color w:val="auto"/>
          <w:kern w:val="0"/>
          <w:sz w:val="21"/>
          <w:szCs w:val="21"/>
          <w:highlight w:val="none"/>
          <w:u w:val="none"/>
        </w:rPr>
        <w:t>的为甲供，□未打√的及不在下列的为乙供。</w:t>
      </w:r>
    </w:p>
    <w:p>
      <w:pPr>
        <w:pStyle w:val="2"/>
        <w:keepNext w:val="0"/>
        <w:keepLines w:val="0"/>
        <w:pageBreakBefore w:val="0"/>
        <w:widowControl w:val="0"/>
        <w:shd w:val="clear" w:color="auto" w:fill="auto"/>
        <w:kinsoku/>
        <w:wordWrap/>
        <w:overflowPunct/>
        <w:topLinePunct w:val="0"/>
        <w:bidi w:val="0"/>
        <w:adjustRightInd w:val="0"/>
        <w:snapToGrid w:val="0"/>
        <w:spacing w:line="360" w:lineRule="auto"/>
        <w:ind w:firstLine="422" w:firstLineChars="200"/>
        <w:textAlignment w:val="auto"/>
        <w:rPr>
          <w:rFonts w:hint="default" w:ascii="宋体" w:hAnsi="宋体" w:eastAsia="宋体" w:cs="宋体"/>
          <w:bCs/>
          <w:color w:val="auto"/>
          <w:sz w:val="21"/>
          <w:szCs w:val="21"/>
          <w:highlight w:val="none"/>
          <w:u w:val="single"/>
          <w:lang w:val="en-US"/>
        </w:rPr>
      </w:pPr>
      <w:r>
        <w:rPr>
          <w:rFonts w:hint="eastAsia" w:ascii="宋体" w:hAnsi="宋体" w:eastAsia="宋体" w:cs="宋体"/>
          <w:b/>
          <w:color w:val="auto"/>
          <w:sz w:val="21"/>
          <w:szCs w:val="21"/>
          <w:highlight w:val="none"/>
          <w:lang w:val="en-US" w:eastAsia="zh-CN"/>
        </w:rPr>
        <w:t>（1）东莞高埗电厂改扩建项目接入系统工程</w:t>
      </w:r>
      <w:r>
        <w:rPr>
          <w:rFonts w:hint="eastAsia" w:hAnsi="宋体" w:cs="宋体"/>
          <w:b/>
          <w:color w:val="auto"/>
          <w:sz w:val="21"/>
          <w:szCs w:val="21"/>
          <w:highlight w:val="none"/>
          <w:lang w:val="en-US" w:eastAsia="zh-CN"/>
        </w:rPr>
        <w:t>施工</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val="0"/>
          <w:color w:val="auto"/>
          <w:sz w:val="21"/>
          <w:szCs w:val="21"/>
          <w:highlight w:val="none"/>
          <w:u w:val="none"/>
        </w:rPr>
      </w:pPr>
      <w:r>
        <w:rPr>
          <w:rFonts w:hint="eastAsia" w:ascii="宋体" w:hAnsi="宋体" w:eastAsia="宋体" w:cs="宋体"/>
          <w:b/>
          <w:bCs w:val="0"/>
          <w:color w:val="auto"/>
          <w:sz w:val="21"/>
          <w:szCs w:val="21"/>
          <w:highlight w:val="none"/>
          <w:u w:val="none"/>
        </w:rPr>
        <w:t>※架空线路部分：</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val="0"/>
          <w:color w:val="auto"/>
          <w:sz w:val="21"/>
          <w:szCs w:val="21"/>
          <w:highlight w:val="none"/>
          <w:u w:val="none"/>
        </w:rPr>
      </w:pPr>
      <w:r>
        <w:rPr>
          <w:rFonts w:hint="eastAsia" w:ascii="宋体" w:hAnsi="宋体" w:eastAsia="宋体" w:cs="宋体"/>
          <w:b/>
          <w:bCs w:val="0"/>
          <w:color w:val="auto"/>
          <w:sz w:val="21"/>
          <w:szCs w:val="21"/>
          <w:highlight w:val="none"/>
          <w:u w:val="none"/>
        </w:rPr>
        <w:t>（一）甲供物资：</w:t>
      </w:r>
    </w:p>
    <w:p>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Cs/>
          <w:color w:val="auto"/>
          <w:sz w:val="21"/>
          <w:szCs w:val="21"/>
          <w:highlight w:val="none"/>
          <w:u w:val="none"/>
        </w:rPr>
      </w:pPr>
      <w:r>
        <w:rPr>
          <w:rFonts w:hint="eastAsia" w:ascii="宋体" w:hAnsi="宋体" w:eastAsia="宋体" w:cs="宋体"/>
          <w:bCs/>
          <w:color w:val="auto"/>
          <w:sz w:val="21"/>
          <w:szCs w:val="21"/>
          <w:highlight w:val="none"/>
          <w:u w:val="none"/>
        </w:rPr>
        <w:t>1、杆塔（水泥杆），铁塔加固器装置，高空防坠落装置，钢绞线，铝绞线，导地线，绝缘子、绝缘横担，金具，光缆，光缆金具，线路避雷器，故障指示器，故障精确定位装置，监测装置，视频监控系统，石墨基接地体，标志牌（线路标志牌、警示牌、标示桩、安装支架）。</w:t>
      </w:r>
    </w:p>
    <w:p>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Cs/>
          <w:color w:val="auto"/>
          <w:sz w:val="21"/>
          <w:szCs w:val="21"/>
          <w:highlight w:val="none"/>
          <w:u w:val="none"/>
        </w:rPr>
      </w:pPr>
      <w:r>
        <w:rPr>
          <w:rFonts w:hint="eastAsia" w:ascii="宋体" w:hAnsi="宋体" w:eastAsia="宋体" w:cs="宋体"/>
          <w:bCs/>
          <w:color w:val="auto"/>
          <w:sz w:val="21"/>
          <w:szCs w:val="21"/>
          <w:highlight w:val="none"/>
          <w:u w:val="none"/>
        </w:rPr>
        <w:t>2、</w:t>
      </w:r>
      <w:r>
        <w:rPr>
          <w:rFonts w:hint="eastAsia" w:ascii="宋体" w:hAnsi="宋体" w:cs="宋体"/>
          <w:bCs/>
          <w:color w:val="auto"/>
          <w:sz w:val="21"/>
          <w:szCs w:val="21"/>
          <w:highlight w:val="none"/>
          <w:u w:val="none"/>
          <w:lang w:eastAsia="zh-CN"/>
        </w:rPr>
        <w:t>☑</w:t>
      </w:r>
      <w:r>
        <w:rPr>
          <w:rFonts w:hint="eastAsia" w:ascii="宋体" w:hAnsi="宋体" w:eastAsia="宋体" w:cs="宋体"/>
          <w:bCs/>
          <w:color w:val="auto"/>
          <w:sz w:val="21"/>
          <w:szCs w:val="21"/>
          <w:highlight w:val="none"/>
          <w:u w:val="none"/>
        </w:rPr>
        <w:t>地脚螺栓，</w:t>
      </w:r>
      <w:r>
        <w:rPr>
          <w:rFonts w:hint="eastAsia" w:ascii="宋体" w:hAnsi="宋体" w:cs="宋体"/>
          <w:bCs/>
          <w:color w:val="auto"/>
          <w:sz w:val="21"/>
          <w:szCs w:val="21"/>
          <w:highlight w:val="none"/>
          <w:u w:val="none"/>
          <w:lang w:eastAsia="zh-CN"/>
        </w:rPr>
        <w:t>☑</w:t>
      </w:r>
      <w:r>
        <w:rPr>
          <w:rFonts w:hint="eastAsia" w:ascii="宋体" w:hAnsi="宋体" w:eastAsia="宋体" w:cs="宋体"/>
          <w:bCs/>
          <w:color w:val="auto"/>
          <w:sz w:val="21"/>
          <w:szCs w:val="21"/>
          <w:highlight w:val="none"/>
          <w:u w:val="none"/>
        </w:rPr>
        <w:t>直升机巡视作业标志牌。</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Cs/>
          <w:color w:val="auto"/>
          <w:sz w:val="21"/>
          <w:szCs w:val="21"/>
          <w:highlight w:val="none"/>
          <w:u w:val="none"/>
        </w:rPr>
      </w:pPr>
      <w:r>
        <w:rPr>
          <w:rFonts w:hint="eastAsia" w:ascii="宋体" w:hAnsi="宋体" w:eastAsia="宋体" w:cs="宋体"/>
          <w:b/>
          <w:bCs w:val="0"/>
          <w:color w:val="auto"/>
          <w:sz w:val="21"/>
          <w:szCs w:val="21"/>
          <w:highlight w:val="none"/>
          <w:u w:val="none"/>
        </w:rPr>
        <w:t>（二）其他甲供物资：</w:t>
      </w:r>
      <w:r>
        <w:rPr>
          <w:rFonts w:hint="eastAsia" w:ascii="宋体" w:hAnsi="宋体" w:eastAsia="宋体" w:cs="宋体"/>
          <w:b/>
          <w:bCs w:val="0"/>
          <w:color w:val="auto"/>
          <w:sz w:val="21"/>
          <w:szCs w:val="21"/>
          <w:highlight w:val="none"/>
          <w:u w:val="single"/>
        </w:rPr>
        <w:t xml:space="preserve">    /     。</w:t>
      </w:r>
    </w:p>
    <w:p>
      <w:pPr>
        <w:pStyle w:val="8"/>
        <w:keepNext w:val="0"/>
        <w:keepLines w:val="0"/>
        <w:pageBreakBefore w:val="0"/>
        <w:kinsoku/>
        <w:wordWrap/>
        <w:overflowPunct/>
        <w:topLinePunct w:val="0"/>
        <w:bidi w:val="0"/>
        <w:spacing w:before="0" w:after="0" w:line="360" w:lineRule="auto"/>
        <w:ind w:firstLine="422" w:firstLineChars="200"/>
        <w:textAlignment w:val="auto"/>
        <w:rPr>
          <w:rFonts w:hint="eastAsia" w:ascii="宋体" w:hAnsi="宋体" w:eastAsia="宋体" w:cs="宋体"/>
          <w:color w:val="auto"/>
          <w:sz w:val="21"/>
          <w:szCs w:val="21"/>
          <w:highlight w:val="none"/>
        </w:rPr>
      </w:pPr>
    </w:p>
    <w:p>
      <w:pPr>
        <w:keepNext w:val="0"/>
        <w:keepLines w:val="0"/>
        <w:pageBreakBefore w:val="0"/>
        <w:widowControl/>
        <w:kinsoku/>
        <w:wordWrap/>
        <w:overflowPunct/>
        <w:topLinePunct w:val="0"/>
        <w:bidi w:val="0"/>
        <w:spacing w:line="360" w:lineRule="auto"/>
        <w:ind w:firstLine="422" w:firstLineChars="200"/>
        <w:jc w:val="left"/>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val="0"/>
          <w:color w:val="auto"/>
          <w:sz w:val="21"/>
          <w:szCs w:val="21"/>
          <w:highlight w:val="none"/>
          <w:lang w:val="en-US" w:eastAsia="zh-CN"/>
        </w:rPr>
        <w:t>※通信部分：</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1、变电部分：</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val="0"/>
          <w:bCs/>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（一）甲供物资：</w:t>
      </w:r>
      <w:r>
        <w:rPr>
          <w:rFonts w:hint="eastAsia" w:ascii="宋体" w:hAnsi="宋体" w:eastAsia="宋体" w:cs="宋体"/>
          <w:b w:val="0"/>
          <w:bCs/>
          <w:color w:val="auto"/>
          <w:sz w:val="21"/>
          <w:szCs w:val="21"/>
          <w:highlight w:val="none"/>
          <w:lang w:val="en-US" w:eastAsia="zh-CN"/>
        </w:rPr>
        <w:t>通信相关设备（含电话、电池、监控等），数据网设备，机架，通信电源，各类光缆，综合配线设备及材料，电缆保护管材（HDPE管、涂塑钢管、PVC管、MPP管）。</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val="0"/>
          <w:bCs/>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（二）</w:t>
      </w:r>
      <w:r>
        <w:rPr>
          <w:rFonts w:hint="eastAsia" w:ascii="宋体" w:hAnsi="宋体" w:eastAsia="宋体" w:cs="宋体"/>
          <w:b w:val="0"/>
          <w:bCs/>
          <w:color w:val="auto"/>
          <w:sz w:val="21"/>
          <w:szCs w:val="21"/>
          <w:highlight w:val="none"/>
          <w:lang w:val="en-US" w:eastAsia="zh-CN"/>
        </w:rPr>
        <w:t>其他甲供物资：</w:t>
      </w:r>
      <w:r>
        <w:rPr>
          <w:rFonts w:hint="eastAsia" w:ascii="宋体" w:hAnsi="宋体" w:eastAsia="宋体" w:cs="宋体"/>
          <w:b w:val="0"/>
          <w:bCs/>
          <w:color w:val="auto"/>
          <w:sz w:val="21"/>
          <w:szCs w:val="21"/>
          <w:highlight w:val="none"/>
          <w:u w:val="single"/>
          <w:lang w:val="en-US" w:eastAsia="zh-CN"/>
        </w:rPr>
        <w:t xml:space="preserve">  /    。</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2、</w:t>
      </w:r>
      <w:r>
        <w:rPr>
          <w:rFonts w:hint="eastAsia" w:ascii="宋体" w:hAnsi="宋体" w:cs="宋体"/>
          <w:b/>
          <w:bCs w:val="0"/>
          <w:color w:val="auto"/>
          <w:sz w:val="21"/>
          <w:szCs w:val="21"/>
          <w:highlight w:val="none"/>
          <w:lang w:val="en-US" w:eastAsia="zh-CN"/>
        </w:rPr>
        <w:t>架空</w:t>
      </w:r>
      <w:r>
        <w:rPr>
          <w:rFonts w:hint="eastAsia" w:ascii="宋体" w:hAnsi="宋体" w:eastAsia="宋体" w:cs="宋体"/>
          <w:b/>
          <w:bCs w:val="0"/>
          <w:color w:val="auto"/>
          <w:sz w:val="21"/>
          <w:szCs w:val="21"/>
          <w:highlight w:val="none"/>
          <w:lang w:val="en-US" w:eastAsia="zh-CN"/>
        </w:rPr>
        <w:t>线路部分：</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default"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（一）甲供物资：</w:t>
      </w:r>
      <w:r>
        <w:rPr>
          <w:rFonts w:hint="eastAsia" w:ascii="宋体" w:hAnsi="宋体" w:eastAsia="宋体" w:cs="宋体"/>
          <w:b w:val="0"/>
          <w:bCs/>
          <w:color w:val="auto"/>
          <w:sz w:val="21"/>
          <w:szCs w:val="21"/>
          <w:highlight w:val="none"/>
          <w:lang w:val="en-US" w:eastAsia="zh-CN"/>
        </w:rPr>
        <w:t>光缆</w:t>
      </w:r>
      <w:r>
        <w:rPr>
          <w:rFonts w:hint="eastAsia" w:ascii="宋体" w:hAnsi="宋体" w:cs="宋体"/>
          <w:b w:val="0"/>
          <w:bCs/>
          <w:color w:val="auto"/>
          <w:sz w:val="21"/>
          <w:szCs w:val="21"/>
          <w:highlight w:val="none"/>
          <w:lang w:val="en-US" w:eastAsia="zh-CN"/>
        </w:rPr>
        <w:t>。</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val="0"/>
          <w:bCs/>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（二）其他甲供物资：</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u w:val="single"/>
          <w:lang w:val="en-US" w:eastAsia="zh-CN"/>
        </w:rPr>
        <w:t xml:space="preserve"> /    。</w:t>
      </w:r>
    </w:p>
    <w:p>
      <w:pPr>
        <w:pStyle w:val="2"/>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jYzU4ODRkYzM4OGFhM2JkOGZlZjAxNmQxYTZlZmQifQ=="/>
  </w:docVars>
  <w:rsids>
    <w:rsidRoot w:val="24F737D8"/>
    <w:rsid w:val="00503881"/>
    <w:rsid w:val="00675492"/>
    <w:rsid w:val="00C073B0"/>
    <w:rsid w:val="00F1093E"/>
    <w:rsid w:val="01000F1F"/>
    <w:rsid w:val="014D50AE"/>
    <w:rsid w:val="0270337E"/>
    <w:rsid w:val="043C6D30"/>
    <w:rsid w:val="0465127D"/>
    <w:rsid w:val="04D31677"/>
    <w:rsid w:val="050E07AE"/>
    <w:rsid w:val="05B87515"/>
    <w:rsid w:val="060D7AD6"/>
    <w:rsid w:val="06542D20"/>
    <w:rsid w:val="068D71D9"/>
    <w:rsid w:val="069B534D"/>
    <w:rsid w:val="07751D79"/>
    <w:rsid w:val="07EC080D"/>
    <w:rsid w:val="087841ED"/>
    <w:rsid w:val="094C43AC"/>
    <w:rsid w:val="09F62510"/>
    <w:rsid w:val="09FE460C"/>
    <w:rsid w:val="0A0712EB"/>
    <w:rsid w:val="0A2D534D"/>
    <w:rsid w:val="0B98748A"/>
    <w:rsid w:val="0BC07002"/>
    <w:rsid w:val="0BD14F70"/>
    <w:rsid w:val="0C6B30AA"/>
    <w:rsid w:val="0D0758F3"/>
    <w:rsid w:val="0D882D55"/>
    <w:rsid w:val="0DDF2AD2"/>
    <w:rsid w:val="0E1543CE"/>
    <w:rsid w:val="10A919C2"/>
    <w:rsid w:val="11444D6C"/>
    <w:rsid w:val="116419AD"/>
    <w:rsid w:val="11DF6CFE"/>
    <w:rsid w:val="11FC1228"/>
    <w:rsid w:val="1221206F"/>
    <w:rsid w:val="12617BA5"/>
    <w:rsid w:val="13511BBE"/>
    <w:rsid w:val="13C71878"/>
    <w:rsid w:val="142C4DA5"/>
    <w:rsid w:val="14440D4B"/>
    <w:rsid w:val="15056A61"/>
    <w:rsid w:val="15F1120D"/>
    <w:rsid w:val="16BE50DE"/>
    <w:rsid w:val="17241016"/>
    <w:rsid w:val="17311749"/>
    <w:rsid w:val="18B14F30"/>
    <w:rsid w:val="18E57496"/>
    <w:rsid w:val="190C67D7"/>
    <w:rsid w:val="193066EB"/>
    <w:rsid w:val="196B23E3"/>
    <w:rsid w:val="1A2F2F81"/>
    <w:rsid w:val="1B1435D1"/>
    <w:rsid w:val="1B663F82"/>
    <w:rsid w:val="1B9A6249"/>
    <w:rsid w:val="1BA9108A"/>
    <w:rsid w:val="1C660CB1"/>
    <w:rsid w:val="1C7A3345"/>
    <w:rsid w:val="1D592E11"/>
    <w:rsid w:val="1DC50F87"/>
    <w:rsid w:val="1EA379B5"/>
    <w:rsid w:val="20E776A4"/>
    <w:rsid w:val="212267B7"/>
    <w:rsid w:val="216F4D5B"/>
    <w:rsid w:val="22B30023"/>
    <w:rsid w:val="22BD2637"/>
    <w:rsid w:val="22D01CE9"/>
    <w:rsid w:val="23433162"/>
    <w:rsid w:val="23A27905"/>
    <w:rsid w:val="23E634F2"/>
    <w:rsid w:val="24E46BF4"/>
    <w:rsid w:val="24F737D8"/>
    <w:rsid w:val="250E3A49"/>
    <w:rsid w:val="25DB7D8E"/>
    <w:rsid w:val="274170EE"/>
    <w:rsid w:val="2785030E"/>
    <w:rsid w:val="278F57AD"/>
    <w:rsid w:val="27E47C4B"/>
    <w:rsid w:val="28F46A2A"/>
    <w:rsid w:val="296555D1"/>
    <w:rsid w:val="29A55C56"/>
    <w:rsid w:val="29FC239E"/>
    <w:rsid w:val="2BED7EC0"/>
    <w:rsid w:val="2BFF0E0F"/>
    <w:rsid w:val="2D8D50EF"/>
    <w:rsid w:val="2D8E3667"/>
    <w:rsid w:val="2E816236"/>
    <w:rsid w:val="2E9A5E18"/>
    <w:rsid w:val="2F362DFB"/>
    <w:rsid w:val="2FF65FF8"/>
    <w:rsid w:val="30035F08"/>
    <w:rsid w:val="300D195C"/>
    <w:rsid w:val="3044134F"/>
    <w:rsid w:val="30BF37B5"/>
    <w:rsid w:val="310C0EB9"/>
    <w:rsid w:val="312C2AE5"/>
    <w:rsid w:val="3178798B"/>
    <w:rsid w:val="31981DF4"/>
    <w:rsid w:val="3244265D"/>
    <w:rsid w:val="32F2736E"/>
    <w:rsid w:val="33AB5DD1"/>
    <w:rsid w:val="35494579"/>
    <w:rsid w:val="358643DE"/>
    <w:rsid w:val="35B73053"/>
    <w:rsid w:val="361736AD"/>
    <w:rsid w:val="36676B65"/>
    <w:rsid w:val="36905D28"/>
    <w:rsid w:val="36A54835"/>
    <w:rsid w:val="36D200CF"/>
    <w:rsid w:val="37850B61"/>
    <w:rsid w:val="38382DC3"/>
    <w:rsid w:val="38A134A5"/>
    <w:rsid w:val="38F32560"/>
    <w:rsid w:val="39446F46"/>
    <w:rsid w:val="398E6857"/>
    <w:rsid w:val="3B250F41"/>
    <w:rsid w:val="3B2A0F67"/>
    <w:rsid w:val="3B2F65C0"/>
    <w:rsid w:val="3BB261E1"/>
    <w:rsid w:val="3BCA27B8"/>
    <w:rsid w:val="3C114F9E"/>
    <w:rsid w:val="3C1E17EA"/>
    <w:rsid w:val="3C4A35F1"/>
    <w:rsid w:val="3E1F0384"/>
    <w:rsid w:val="3E430A34"/>
    <w:rsid w:val="3E9D7E49"/>
    <w:rsid w:val="3F9B7EF1"/>
    <w:rsid w:val="405B6EA5"/>
    <w:rsid w:val="415A7E63"/>
    <w:rsid w:val="42A86388"/>
    <w:rsid w:val="42E701E3"/>
    <w:rsid w:val="43193F4E"/>
    <w:rsid w:val="44A8314C"/>
    <w:rsid w:val="44D414C9"/>
    <w:rsid w:val="45976562"/>
    <w:rsid w:val="45AE252B"/>
    <w:rsid w:val="45BA6458"/>
    <w:rsid w:val="45C37365"/>
    <w:rsid w:val="460D1423"/>
    <w:rsid w:val="46472D5E"/>
    <w:rsid w:val="468E0BD5"/>
    <w:rsid w:val="469B4709"/>
    <w:rsid w:val="46A85B41"/>
    <w:rsid w:val="471E67C1"/>
    <w:rsid w:val="47CB2C71"/>
    <w:rsid w:val="48AA753E"/>
    <w:rsid w:val="49332FB5"/>
    <w:rsid w:val="4B076C12"/>
    <w:rsid w:val="4B337EC4"/>
    <w:rsid w:val="4B3A1BDA"/>
    <w:rsid w:val="4C1966EB"/>
    <w:rsid w:val="4D392B7F"/>
    <w:rsid w:val="4DC759F3"/>
    <w:rsid w:val="4DD3333C"/>
    <w:rsid w:val="4E040B17"/>
    <w:rsid w:val="4EA560D6"/>
    <w:rsid w:val="4FBC5E5D"/>
    <w:rsid w:val="501969F2"/>
    <w:rsid w:val="503D3A81"/>
    <w:rsid w:val="51E15E87"/>
    <w:rsid w:val="525522E2"/>
    <w:rsid w:val="528404F0"/>
    <w:rsid w:val="53463775"/>
    <w:rsid w:val="53523D60"/>
    <w:rsid w:val="53845DE5"/>
    <w:rsid w:val="53AA5AAD"/>
    <w:rsid w:val="54654778"/>
    <w:rsid w:val="547776C9"/>
    <w:rsid w:val="55734D49"/>
    <w:rsid w:val="55C3156A"/>
    <w:rsid w:val="560B3718"/>
    <w:rsid w:val="57593089"/>
    <w:rsid w:val="59120389"/>
    <w:rsid w:val="599017B7"/>
    <w:rsid w:val="5BFC33A8"/>
    <w:rsid w:val="5DE84119"/>
    <w:rsid w:val="5EB72BF2"/>
    <w:rsid w:val="5F1E116F"/>
    <w:rsid w:val="5F35232A"/>
    <w:rsid w:val="5F8E0C51"/>
    <w:rsid w:val="5FE724D4"/>
    <w:rsid w:val="60395037"/>
    <w:rsid w:val="60546075"/>
    <w:rsid w:val="608606DE"/>
    <w:rsid w:val="609A41AA"/>
    <w:rsid w:val="61B473D7"/>
    <w:rsid w:val="639D46DC"/>
    <w:rsid w:val="6424058D"/>
    <w:rsid w:val="663511C3"/>
    <w:rsid w:val="663B2A3B"/>
    <w:rsid w:val="66C35559"/>
    <w:rsid w:val="66D91A76"/>
    <w:rsid w:val="67977F0F"/>
    <w:rsid w:val="681637EC"/>
    <w:rsid w:val="68822152"/>
    <w:rsid w:val="68B337CC"/>
    <w:rsid w:val="692A1FF1"/>
    <w:rsid w:val="69311D38"/>
    <w:rsid w:val="6A287B5E"/>
    <w:rsid w:val="6A485E7E"/>
    <w:rsid w:val="6A6B37FA"/>
    <w:rsid w:val="6B303A1A"/>
    <w:rsid w:val="6B6A3017"/>
    <w:rsid w:val="6BCA4EB6"/>
    <w:rsid w:val="6C141EE0"/>
    <w:rsid w:val="6CB825C1"/>
    <w:rsid w:val="6D897695"/>
    <w:rsid w:val="6DAA2FDF"/>
    <w:rsid w:val="6DC84DAA"/>
    <w:rsid w:val="6E121228"/>
    <w:rsid w:val="6EAA539C"/>
    <w:rsid w:val="6FE3114C"/>
    <w:rsid w:val="70873960"/>
    <w:rsid w:val="70B81233"/>
    <w:rsid w:val="70D1495F"/>
    <w:rsid w:val="7125222D"/>
    <w:rsid w:val="7129638F"/>
    <w:rsid w:val="71367F49"/>
    <w:rsid w:val="73641402"/>
    <w:rsid w:val="73D201BF"/>
    <w:rsid w:val="74E73186"/>
    <w:rsid w:val="74F238E6"/>
    <w:rsid w:val="76015DEA"/>
    <w:rsid w:val="763B2CF0"/>
    <w:rsid w:val="764E470D"/>
    <w:rsid w:val="76850D49"/>
    <w:rsid w:val="76EB7161"/>
    <w:rsid w:val="774F4990"/>
    <w:rsid w:val="775176EF"/>
    <w:rsid w:val="77E67240"/>
    <w:rsid w:val="7842124A"/>
    <w:rsid w:val="79435213"/>
    <w:rsid w:val="79527737"/>
    <w:rsid w:val="79D51B6D"/>
    <w:rsid w:val="7AF43248"/>
    <w:rsid w:val="7B2B3FE2"/>
    <w:rsid w:val="7B3B73B5"/>
    <w:rsid w:val="7C233754"/>
    <w:rsid w:val="7C766170"/>
    <w:rsid w:val="7CC45B07"/>
    <w:rsid w:val="7CC84BE5"/>
    <w:rsid w:val="7D26550D"/>
    <w:rsid w:val="7D2D6A7C"/>
    <w:rsid w:val="7D3A3102"/>
    <w:rsid w:val="7D4E40A8"/>
    <w:rsid w:val="7E3420E0"/>
    <w:rsid w:val="7E405052"/>
    <w:rsid w:val="7F1A0C44"/>
    <w:rsid w:val="7F9B7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6">
    <w:name w:val="Normal Indent"/>
    <w:basedOn w:val="1"/>
    <w:qFormat/>
    <w:uiPriority w:val="0"/>
    <w:pPr>
      <w:ind w:firstLine="420"/>
    </w:pPr>
    <w:rPr>
      <w:rFonts w:ascii="Times New Roman" w:hAnsi="Times New Roman" w:cs="Times New Roman"/>
      <w:kern w:val="0"/>
      <w:sz w:val="20"/>
      <w:szCs w:val="20"/>
    </w:rPr>
  </w:style>
  <w:style w:type="paragraph" w:styleId="7">
    <w:name w:val="annotation text"/>
    <w:basedOn w:val="1"/>
    <w:qFormat/>
    <w:uiPriority w:val="0"/>
    <w:pPr>
      <w:jc w:val="left"/>
    </w:pPr>
  </w:style>
  <w:style w:type="paragraph" w:styleId="8">
    <w:name w:val="Body Text"/>
    <w:basedOn w:val="9"/>
    <w:next w:val="9"/>
    <w:unhideWhenUsed/>
    <w:qFormat/>
    <w:uiPriority w:val="99"/>
    <w:pPr>
      <w:spacing w:after="120"/>
    </w:pPr>
  </w:style>
  <w:style w:type="paragraph" w:styleId="9">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10">
    <w:name w:val="Body Text Indent"/>
    <w:basedOn w:val="1"/>
    <w:next w:val="11"/>
    <w:qFormat/>
    <w:uiPriority w:val="0"/>
    <w:pPr>
      <w:spacing w:after="120"/>
      <w:ind w:left="420" w:leftChars="200"/>
    </w:pPr>
  </w:style>
  <w:style w:type="paragraph" w:styleId="11">
    <w:name w:val="envelope return"/>
    <w:basedOn w:val="1"/>
    <w:unhideWhenUsed/>
    <w:qFormat/>
    <w:uiPriority w:val="99"/>
    <w:pPr>
      <w:snapToGrid w:val="0"/>
    </w:pPr>
    <w:rPr>
      <w:rFonts w:ascii="Arial" w:hAnsi="Arial" w:eastAsia="宋体" w:cs="Times New Roman"/>
      <w:szCs w:val="24"/>
      <w:lang w:bidi="ar-SA"/>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Body Text First Indent"/>
    <w:basedOn w:val="8"/>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paragraph" w:styleId="14">
    <w:name w:val="Body Text First Indent 2"/>
    <w:basedOn w:val="10"/>
    <w:qFormat/>
    <w:uiPriority w:val="0"/>
    <w:pPr>
      <w:adjustRightInd/>
      <w:snapToGrid/>
      <w:spacing w:after="120" w:line="240" w:lineRule="auto"/>
      <w:ind w:left="420" w:leftChars="200" w:firstLine="420" w:firstLineChars="200"/>
    </w:pPr>
    <w:rPr>
      <w:rFonts w:ascii="宋体" w:hAnsi="宋体"/>
      <w:spacing w:val="20"/>
      <w:sz w:val="21"/>
      <w:szCs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目录 21"/>
    <w:basedOn w:val="1"/>
    <w:next w:val="1"/>
    <w:qFormat/>
    <w:uiPriority w:val="0"/>
    <w:pPr>
      <w:spacing w:before="100" w:beforeAutospacing="1" w:after="100" w:afterAutospacing="1"/>
      <w:ind w:left="420" w:leftChars="200"/>
    </w:pPr>
  </w:style>
  <w:style w:type="paragraph" w:customStyle="1" w:styleId="19">
    <w:name w:val="_Style 5"/>
    <w:basedOn w:val="1"/>
    <w:qFormat/>
    <w:uiPriority w:val="0"/>
    <w:pPr>
      <w:adjustRightInd/>
      <w:spacing w:line="240" w:lineRule="auto"/>
      <w:ind w:firstLine="420" w:firstLineChars="200"/>
      <w:textAlignment w:val="auto"/>
    </w:pPr>
    <w:rPr>
      <w:rFonts w:ascii="Calibri" w:hAnsi="Calibri" w:eastAsia="宋体" w:cs="Times New Roman"/>
      <w:kern w:val="2"/>
      <w:sz w:val="21"/>
      <w:szCs w:val="22"/>
    </w:rPr>
  </w:style>
  <w:style w:type="paragraph" w:customStyle="1" w:styleId="20">
    <w:name w:val="报告正文"/>
    <w:basedOn w:val="1"/>
    <w:qFormat/>
    <w:uiPriority w:val="0"/>
    <w:pPr>
      <w:ind w:firstLine="200" w:firstLineChars="200"/>
      <w:textAlignment w:val="baseline"/>
    </w:pPr>
    <w:rPr>
      <w:color w:val="FF0000"/>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7111</Words>
  <Characters>7982</Characters>
  <Lines>0</Lines>
  <Paragraphs>0</Paragraphs>
  <TotalTime>1</TotalTime>
  <ScaleCrop>false</ScaleCrop>
  <LinksUpToDate>false</LinksUpToDate>
  <CharactersWithSpaces>8069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朱嘉仪</cp:lastModifiedBy>
  <cp:lastPrinted>2022-02-11T02:00:00Z</cp:lastPrinted>
  <dcterms:modified xsi:type="dcterms:W3CDTF">2024-05-06T06:10:52Z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CD0EB5E8EBFD4CB795180644C9B4EC3E</vt:lpwstr>
  </property>
</Properties>
</file>