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360" w:lineRule="auto"/>
        <w:jc w:val="center"/>
        <w:rPr>
          <w:rFonts w:hint="eastAsia" w:asciiTheme="minorEastAsia" w:hAnsiTheme="minorEastAsia" w:eastAsiaTheme="minorEastAsia" w:cstheme="minorEastAsia"/>
          <w:b/>
          <w:bCs/>
          <w:snapToGrid w:val="0"/>
          <w:color w:val="auto"/>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sz w:val="28"/>
          <w:szCs w:val="28"/>
          <w:highlight w:val="none"/>
        </w:rPr>
        <w:t>标的名称：</w:t>
      </w:r>
      <w:r>
        <w:rPr>
          <w:rFonts w:hint="eastAsia" w:asciiTheme="minorEastAsia" w:hAnsiTheme="minorEastAsia" w:eastAsiaTheme="minorEastAsia" w:cstheme="minorEastAsia"/>
          <w:b/>
          <w:bCs/>
          <w:snapToGrid w:val="0"/>
          <w:color w:val="auto"/>
          <w:sz w:val="28"/>
          <w:szCs w:val="28"/>
          <w:highlight w:val="none"/>
          <w:lang w:val="en-US" w:eastAsia="zh-CN"/>
        </w:rPr>
        <w:t>标的5</w:t>
      </w:r>
    </w:p>
    <w:p>
      <w:pPr>
        <w:pStyle w:val="9"/>
        <w:spacing w:line="360" w:lineRule="auto"/>
        <w:jc w:val="center"/>
        <w:rPr>
          <w:rFonts w:asciiTheme="minorEastAsia" w:hAnsiTheme="minorEastAsia" w:eastAsiaTheme="minorEastAsia" w:cstheme="minorEastAsia"/>
          <w:b/>
          <w:bCs/>
          <w:snapToGrid w:val="0"/>
          <w:color w:val="auto"/>
          <w:sz w:val="28"/>
          <w:szCs w:val="28"/>
          <w:highlight w:val="none"/>
        </w:rPr>
      </w:pPr>
      <w:r>
        <w:rPr>
          <w:rFonts w:hint="eastAsia" w:asciiTheme="minorEastAsia" w:hAnsiTheme="minorEastAsia" w:eastAsiaTheme="minorEastAsia" w:cstheme="minorEastAsia"/>
          <w:b/>
          <w:bCs/>
          <w:snapToGrid w:val="0"/>
          <w:color w:val="auto"/>
          <w:sz w:val="28"/>
          <w:szCs w:val="28"/>
          <w:highlight w:val="none"/>
        </w:rPr>
        <w:t>标段名称：</w:t>
      </w:r>
      <w:r>
        <w:rPr>
          <w:rFonts w:hint="eastAsia" w:asciiTheme="minorEastAsia" w:hAnsiTheme="minorEastAsia" w:eastAsiaTheme="minorEastAsia" w:cstheme="minorEastAsia"/>
          <w:b/>
          <w:bCs/>
          <w:snapToGrid w:val="0"/>
          <w:color w:val="auto"/>
          <w:sz w:val="28"/>
          <w:szCs w:val="28"/>
          <w:highlight w:val="none"/>
          <w:u w:val="single"/>
          <w:lang w:eastAsia="zh-CN"/>
        </w:rPr>
        <w:t>广西崇左电厂一期～崇左Ⅰ、Ⅱ回220kV线路工程施工</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（标段1）</w:t>
      </w:r>
    </w:p>
    <w:tbl>
      <w:tblPr>
        <w:tblStyle w:val="13"/>
        <w:tblW w:w="6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263"/>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u w:val="single"/>
              </w:rPr>
            </w:pPr>
            <w:r>
              <w:rPr>
                <w:rFonts w:hint="eastAsia" w:hAnsi="宋体" w:cs="宋体"/>
                <w:b/>
                <w:bCs/>
                <w:snapToGrid w:val="0"/>
                <w:color w:val="auto"/>
                <w:sz w:val="24"/>
                <w:szCs w:val="24"/>
                <w:highlight w:val="none"/>
                <w:u w:val="single"/>
              </w:rPr>
              <w:t>序号</w:t>
            </w:r>
          </w:p>
        </w:tc>
        <w:tc>
          <w:tcPr>
            <w:tcW w:w="2263" w:type="dxa"/>
          </w:tcPr>
          <w:p>
            <w:pPr>
              <w:pStyle w:val="9"/>
              <w:spacing w:line="360" w:lineRule="auto"/>
              <w:jc w:val="center"/>
              <w:rPr>
                <w:rFonts w:hAnsi="宋体" w:cs="宋体"/>
                <w:b/>
                <w:bCs/>
                <w:snapToGrid w:val="0"/>
                <w:color w:val="auto"/>
                <w:sz w:val="24"/>
                <w:szCs w:val="24"/>
                <w:highlight w:val="none"/>
                <w:u w:val="single"/>
              </w:rPr>
            </w:pPr>
            <w:r>
              <w:rPr>
                <w:rFonts w:hint="eastAsia" w:hAnsi="宋体" w:cs="宋体"/>
                <w:b/>
                <w:bCs/>
                <w:snapToGrid w:val="0"/>
                <w:color w:val="auto"/>
                <w:sz w:val="24"/>
                <w:szCs w:val="24"/>
                <w:highlight w:val="none"/>
                <w:u w:val="single"/>
              </w:rPr>
              <w:t>名称</w:t>
            </w:r>
          </w:p>
        </w:tc>
        <w:tc>
          <w:tcPr>
            <w:tcW w:w="3574" w:type="dxa"/>
          </w:tcPr>
          <w:p>
            <w:pPr>
              <w:pStyle w:val="9"/>
              <w:spacing w:line="360" w:lineRule="auto"/>
              <w:jc w:val="center"/>
              <w:rPr>
                <w:rFonts w:hint="eastAsia" w:hAnsi="宋体" w:eastAsia="宋体" w:cs="宋体"/>
                <w:b/>
                <w:bCs/>
                <w:snapToGrid w:val="0"/>
                <w:color w:val="auto"/>
                <w:sz w:val="24"/>
                <w:szCs w:val="24"/>
                <w:highlight w:val="none"/>
                <w:u w:val="single"/>
                <w:lang w:eastAsia="zh-CN"/>
              </w:rPr>
            </w:pPr>
            <w:r>
              <w:rPr>
                <w:rFonts w:hint="eastAsia" w:hAnsi="宋体" w:cs="宋体"/>
                <w:b/>
                <w:bCs/>
                <w:snapToGrid w:val="0"/>
                <w:color w:val="auto"/>
                <w:sz w:val="24"/>
                <w:szCs w:val="24"/>
                <w:highlight w:val="none"/>
                <w:u w:val="single"/>
                <w:lang w:val="en-US" w:eastAsia="zh-CN"/>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u w:val="single"/>
              </w:rPr>
            </w:pPr>
            <w:r>
              <w:rPr>
                <w:rFonts w:hint="eastAsia" w:hAnsi="宋体" w:cs="宋体"/>
                <w:b/>
                <w:bCs/>
                <w:snapToGrid w:val="0"/>
                <w:color w:val="auto"/>
                <w:sz w:val="24"/>
                <w:szCs w:val="24"/>
                <w:highlight w:val="none"/>
                <w:u w:val="single"/>
              </w:rPr>
              <w:t>1</w:t>
            </w:r>
          </w:p>
        </w:tc>
        <w:tc>
          <w:tcPr>
            <w:tcW w:w="2263" w:type="dxa"/>
            <w:vAlign w:val="top"/>
          </w:tcPr>
          <w:p>
            <w:pPr>
              <w:pStyle w:val="9"/>
              <w:spacing w:line="360" w:lineRule="auto"/>
              <w:jc w:val="center"/>
              <w:rPr>
                <w:rFonts w:ascii="宋体" w:hAnsi="宋体" w:eastAsia="宋体" w:cs="宋体"/>
                <w:b/>
                <w:bCs/>
                <w:color w:val="auto"/>
                <w:kern w:val="0"/>
                <w:sz w:val="21"/>
                <w:szCs w:val="21"/>
                <w:highlight w:val="none"/>
                <w:lang w:val="en-US" w:eastAsia="zh-CN" w:bidi="ar-SA"/>
              </w:rPr>
            </w:pPr>
            <w:r>
              <w:rPr>
                <w:rFonts w:hint="eastAsia" w:hAnsi="宋体" w:cs="宋体"/>
                <w:b/>
                <w:bCs/>
                <w:color w:val="auto"/>
                <w:sz w:val="21"/>
                <w:szCs w:val="21"/>
                <w:highlight w:val="none"/>
              </w:rPr>
              <w:t>项目建设单位</w:t>
            </w:r>
          </w:p>
        </w:tc>
        <w:tc>
          <w:tcPr>
            <w:tcW w:w="3574" w:type="dxa"/>
            <w:vAlign w:val="top"/>
          </w:tcPr>
          <w:p>
            <w:pPr>
              <w:pStyle w:val="9"/>
              <w:spacing w:line="360" w:lineRule="auto"/>
              <w:jc w:val="center"/>
              <w:rPr>
                <w:rFonts w:hint="eastAsia" w:ascii="宋体" w:hAnsi="宋体" w:eastAsia="宋体" w:cs="宋体"/>
                <w:b/>
                <w:bCs/>
                <w:color w:val="auto"/>
                <w:kern w:val="0"/>
                <w:sz w:val="21"/>
                <w:szCs w:val="21"/>
                <w:highlight w:val="none"/>
                <w:lang w:val="en-US" w:eastAsia="zh-CN" w:bidi="ar-SA"/>
              </w:rPr>
            </w:pPr>
            <w:r>
              <w:rPr>
                <w:rFonts w:hint="eastAsia" w:hAnsi="宋体" w:cs="宋体"/>
                <w:b/>
                <w:bCs/>
                <w:color w:val="auto"/>
                <w:sz w:val="21"/>
                <w:szCs w:val="21"/>
                <w:highlight w:val="none"/>
              </w:rPr>
              <w:t>广西电网有限责任公司电网建设分公司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u w:val="single"/>
              </w:rPr>
            </w:pPr>
            <w:r>
              <w:rPr>
                <w:rFonts w:hint="eastAsia" w:hAnsi="宋体" w:cs="宋体"/>
                <w:b/>
                <w:bCs/>
                <w:snapToGrid w:val="0"/>
                <w:color w:val="auto"/>
                <w:sz w:val="24"/>
                <w:szCs w:val="24"/>
                <w:highlight w:val="none"/>
                <w:u w:val="single"/>
              </w:rPr>
              <w:t>2</w:t>
            </w:r>
          </w:p>
        </w:tc>
        <w:tc>
          <w:tcPr>
            <w:tcW w:w="2263" w:type="dxa"/>
            <w:vAlign w:val="top"/>
          </w:tcPr>
          <w:p>
            <w:pPr>
              <w:pStyle w:val="9"/>
              <w:spacing w:line="360" w:lineRule="auto"/>
              <w:jc w:val="center"/>
              <w:rPr>
                <w:rFonts w:ascii="宋体" w:hAnsi="宋体" w:eastAsia="宋体" w:cs="宋体"/>
                <w:b/>
                <w:bCs/>
                <w:color w:val="auto"/>
                <w:kern w:val="0"/>
                <w:sz w:val="21"/>
                <w:szCs w:val="21"/>
                <w:highlight w:val="none"/>
                <w:lang w:val="en-US" w:eastAsia="zh-CN" w:bidi="ar-SA"/>
              </w:rPr>
            </w:pPr>
            <w:r>
              <w:rPr>
                <w:rFonts w:hint="eastAsia" w:hAnsi="宋体" w:cs="宋体"/>
                <w:b/>
                <w:bCs/>
                <w:color w:val="auto"/>
                <w:sz w:val="21"/>
                <w:szCs w:val="21"/>
                <w:highlight w:val="none"/>
              </w:rPr>
              <w:t>项目建设地点</w:t>
            </w:r>
          </w:p>
        </w:tc>
        <w:tc>
          <w:tcPr>
            <w:tcW w:w="3574" w:type="dxa"/>
            <w:vAlign w:val="top"/>
          </w:tcPr>
          <w:p>
            <w:pPr>
              <w:pStyle w:val="9"/>
              <w:spacing w:line="360" w:lineRule="auto"/>
              <w:jc w:val="center"/>
              <w:rPr>
                <w:rFonts w:hint="default" w:ascii="宋体" w:hAnsi="宋体" w:eastAsia="宋体" w:cs="宋体"/>
                <w:b/>
                <w:bCs/>
                <w:color w:val="auto"/>
                <w:kern w:val="0"/>
                <w:sz w:val="21"/>
                <w:szCs w:val="21"/>
                <w:highlight w:val="none"/>
                <w:lang w:val="en-US" w:eastAsia="zh-CN" w:bidi="ar-SA"/>
              </w:rPr>
            </w:pPr>
            <w:r>
              <w:rPr>
                <w:rFonts w:hint="eastAsia" w:hAnsi="宋体" w:cs="宋体"/>
                <w:b/>
                <w:bCs/>
                <w:color w:val="auto"/>
                <w:sz w:val="21"/>
                <w:szCs w:val="21"/>
                <w:highlight w:val="none"/>
              </w:rPr>
              <w:t>广西</w:t>
            </w:r>
            <w:r>
              <w:rPr>
                <w:rFonts w:hint="eastAsia" w:hAnsi="宋体" w:cs="宋体"/>
                <w:b/>
                <w:bCs/>
                <w:color w:val="auto"/>
                <w:sz w:val="21"/>
                <w:szCs w:val="21"/>
                <w:highlight w:val="none"/>
                <w:lang w:eastAsia="zh-CN"/>
              </w:rPr>
              <w:t>崇左</w:t>
            </w:r>
            <w:r>
              <w:rPr>
                <w:rFonts w:hint="eastAsia" w:hAnsi="宋体" w:cs="宋体"/>
                <w:b/>
                <w:bCs/>
                <w:color w:val="auto"/>
                <w:sz w:val="21"/>
                <w:szCs w:val="21"/>
                <w:highlight w:val="none"/>
              </w:rPr>
              <w:t>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u w:val="single"/>
              </w:rPr>
            </w:pPr>
            <w:r>
              <w:rPr>
                <w:rFonts w:hint="eastAsia" w:hAnsi="宋体" w:cs="宋体"/>
                <w:b/>
                <w:bCs/>
                <w:snapToGrid w:val="0"/>
                <w:color w:val="auto"/>
                <w:sz w:val="24"/>
                <w:szCs w:val="24"/>
                <w:highlight w:val="none"/>
                <w:u w:val="single"/>
              </w:rPr>
              <w:t>3</w:t>
            </w:r>
          </w:p>
        </w:tc>
        <w:tc>
          <w:tcPr>
            <w:tcW w:w="2263" w:type="dxa"/>
            <w:vAlign w:val="top"/>
          </w:tcPr>
          <w:p>
            <w:pPr>
              <w:pStyle w:val="9"/>
              <w:spacing w:line="360" w:lineRule="auto"/>
              <w:jc w:val="center"/>
              <w:outlineLvl w:val="9"/>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574" w:type="dxa"/>
            <w:vAlign w:val="top"/>
          </w:tcPr>
          <w:p>
            <w:pPr>
              <w:pStyle w:val="9"/>
              <w:spacing w:line="360" w:lineRule="auto"/>
              <w:jc w:val="center"/>
              <w:outlineLvl w:val="9"/>
              <w:rPr>
                <w:rFonts w:hint="eastAsia" w:hAnsi="宋体" w:cs="宋体"/>
                <w:b/>
                <w:bCs/>
                <w:color w:val="auto"/>
                <w:sz w:val="21"/>
                <w:szCs w:val="21"/>
                <w:highlight w:val="none"/>
              </w:rPr>
            </w:pPr>
            <w:r>
              <w:rPr>
                <w:rFonts w:hint="eastAsia" w:hAnsi="宋体" w:cs="宋体"/>
                <w:b/>
                <w:bCs/>
                <w:color w:val="auto"/>
                <w:sz w:val="21"/>
                <w:szCs w:val="21"/>
                <w:highlight w:val="none"/>
              </w:rPr>
              <w:t>中国能源建设集团广西电力设计研究院有限公司</w:t>
            </w:r>
          </w:p>
          <w:p>
            <w:pPr>
              <w:pStyle w:val="9"/>
              <w:spacing w:line="360" w:lineRule="auto"/>
              <w:jc w:val="center"/>
              <w:outlineLvl w:val="9"/>
              <w:rPr>
                <w:rFonts w:hint="default" w:ascii="宋体" w:hAnsi="宋体" w:eastAsia="宋体" w:cs="宋体"/>
                <w:b/>
                <w:bCs/>
                <w:color w:val="auto"/>
                <w:kern w:val="0"/>
                <w:sz w:val="21"/>
                <w:szCs w:val="21"/>
                <w:highlight w:val="none"/>
                <w:lang w:val="en-US" w:eastAsia="zh-CN" w:bidi="ar-SA"/>
              </w:rPr>
            </w:pPr>
            <w:r>
              <w:rPr>
                <w:rFonts w:hint="eastAsia" w:hAnsi="宋体" w:cs="宋体"/>
                <w:b/>
                <w:bCs/>
                <w:color w:val="auto"/>
                <w:sz w:val="21"/>
                <w:szCs w:val="21"/>
                <w:highlight w:val="none"/>
                <w:lang w:val="en-US" w:eastAsia="zh-CN"/>
              </w:rPr>
              <w:t>佛山市天诚工程咨询管理有限公司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1" w:type="dxa"/>
          </w:tcPr>
          <w:p>
            <w:pPr>
              <w:pStyle w:val="9"/>
              <w:spacing w:line="360" w:lineRule="auto"/>
              <w:jc w:val="center"/>
              <w:rPr>
                <w:rFonts w:hAnsi="宋体" w:cs="宋体"/>
                <w:b/>
                <w:bCs/>
                <w:snapToGrid w:val="0"/>
                <w:color w:val="auto"/>
                <w:sz w:val="24"/>
                <w:szCs w:val="24"/>
                <w:highlight w:val="none"/>
                <w:u w:val="single"/>
              </w:rPr>
            </w:pPr>
            <w:r>
              <w:rPr>
                <w:rFonts w:hint="eastAsia" w:hAnsi="宋体" w:cs="宋体"/>
                <w:b/>
                <w:bCs/>
                <w:snapToGrid w:val="0"/>
                <w:color w:val="auto"/>
                <w:sz w:val="24"/>
                <w:szCs w:val="24"/>
                <w:highlight w:val="none"/>
                <w:u w:val="single"/>
              </w:rPr>
              <w:t>4</w:t>
            </w:r>
          </w:p>
        </w:tc>
        <w:tc>
          <w:tcPr>
            <w:tcW w:w="2263" w:type="dxa"/>
            <w:vAlign w:val="top"/>
          </w:tcPr>
          <w:p>
            <w:pPr>
              <w:pStyle w:val="9"/>
              <w:spacing w:line="360" w:lineRule="auto"/>
              <w:jc w:val="center"/>
              <w:outlineLvl w:val="9"/>
              <w:rPr>
                <w:rFonts w:hint="eastAsia" w:ascii="宋体" w:hAnsi="宋体" w:eastAsia="宋体" w:cs="宋体"/>
                <w:b/>
                <w:bCs/>
                <w:color w:val="auto"/>
                <w:kern w:val="0"/>
                <w:sz w:val="21"/>
                <w:szCs w:val="21"/>
                <w:highlight w:val="none"/>
                <w:lang w:val="en-US" w:eastAsia="zh-CN" w:bidi="ar-SA"/>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574" w:type="dxa"/>
            <w:vAlign w:val="top"/>
          </w:tcPr>
          <w:p>
            <w:pPr>
              <w:pStyle w:val="9"/>
              <w:spacing w:line="360" w:lineRule="auto"/>
              <w:jc w:val="center"/>
              <w:outlineLvl w:val="9"/>
              <w:rPr>
                <w:rFonts w:hint="eastAsia" w:ascii="宋体" w:hAnsi="宋体" w:eastAsia="宋体" w:cs="宋体"/>
                <w:b/>
                <w:bCs/>
                <w:color w:val="auto"/>
                <w:kern w:val="0"/>
                <w:sz w:val="21"/>
                <w:szCs w:val="21"/>
                <w:highlight w:val="none"/>
                <w:lang w:val="en-US" w:eastAsia="zh-CN" w:bidi="ar-SA"/>
              </w:rPr>
            </w:pPr>
            <w:r>
              <w:rPr>
                <w:rFonts w:hint="eastAsia" w:hAnsi="宋体" w:cs="宋体"/>
                <w:b/>
                <w:bCs/>
                <w:color w:val="auto"/>
                <w:sz w:val="21"/>
                <w:szCs w:val="21"/>
                <w:highlight w:val="none"/>
                <w:lang w:val="en-US" w:eastAsia="zh-CN"/>
              </w:rPr>
              <w:t>/</w:t>
            </w:r>
          </w:p>
        </w:tc>
      </w:tr>
    </w:tbl>
    <w:p>
      <w:pPr>
        <w:pStyle w:val="9"/>
        <w:spacing w:line="360" w:lineRule="auto"/>
        <w:rPr>
          <w:rFonts w:asciiTheme="minorEastAsia" w:hAnsiTheme="minorEastAsia" w:eastAsiaTheme="minorEastAsia" w:cstheme="minorEastAsia"/>
          <w:b/>
          <w:bCs/>
          <w:color w:val="auto"/>
          <w:sz w:val="24"/>
          <w:szCs w:val="24"/>
          <w:highlight w:val="none"/>
        </w:rPr>
      </w:pPr>
    </w:p>
    <w:p>
      <w:pPr>
        <w:pStyle w:val="9"/>
        <w:numPr>
          <w:ilvl w:val="0"/>
          <w:numId w:val="0"/>
        </w:numPr>
        <w:spacing w:line="360" w:lineRule="auto"/>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一、</w:t>
      </w:r>
      <w:r>
        <w:rPr>
          <w:rFonts w:hint="eastAsia" w:asciiTheme="minorEastAsia" w:hAnsiTheme="minorEastAsia" w:eastAsiaTheme="minorEastAsia" w:cstheme="minorEastAsia"/>
          <w:b/>
          <w:bCs/>
          <w:color w:val="auto"/>
          <w:sz w:val="24"/>
          <w:szCs w:val="24"/>
          <w:highlight w:val="none"/>
        </w:rPr>
        <w:t>项目概况</w:t>
      </w:r>
      <w:r>
        <w:rPr>
          <w:rFonts w:hint="eastAsia" w:asciiTheme="minorEastAsia" w:hAnsiTheme="minorEastAsia" w:eastAsiaTheme="minorEastAsia" w:cstheme="minorEastAsia"/>
          <w:color w:val="auto"/>
          <w:sz w:val="24"/>
          <w:szCs w:val="24"/>
          <w:highlight w:val="none"/>
        </w:rPr>
        <w:t>：</w:t>
      </w:r>
      <w:bookmarkEnd w:id="0"/>
      <w:bookmarkStart w:id="1" w:name="_Toc4755"/>
      <w:bookmarkStart w:id="2" w:name="_Toc28718"/>
      <w:bookmarkStart w:id="3" w:name="_Toc13498"/>
    </w:p>
    <w:bookmarkEnd w:id="1"/>
    <w:bookmarkEnd w:id="2"/>
    <w:bookmarkEnd w:id="3"/>
    <w:p>
      <w:pPr>
        <w:pStyle w:val="4"/>
        <w:numPr>
          <w:ilvl w:val="0"/>
          <w:numId w:val="0"/>
        </w:numPr>
        <w:spacing w:line="360" w:lineRule="auto"/>
        <w:ind w:firstLine="480"/>
        <w:rPr>
          <w:rFonts w:hint="eastAsia" w:asciiTheme="minorEastAsia" w:hAnsiTheme="minorEastAsia" w:eastAsiaTheme="minorEastAsia" w:cstheme="minorEastAsia"/>
          <w:b w:val="0"/>
          <w:bCs/>
          <w:i w:val="0"/>
          <w:iCs/>
          <w:color w:val="auto"/>
          <w:kern w:val="2"/>
          <w:sz w:val="24"/>
          <w:szCs w:val="24"/>
          <w:highlight w:val="none"/>
          <w:lang w:val="en-US" w:eastAsia="zh-CN" w:bidi="ar-SA"/>
        </w:rPr>
      </w:pPr>
      <w:r>
        <w:rPr>
          <w:rFonts w:hint="eastAsia" w:asciiTheme="minorEastAsia" w:hAnsiTheme="minorEastAsia" w:eastAsiaTheme="minorEastAsia" w:cstheme="minorEastAsia"/>
          <w:b w:val="0"/>
          <w:bCs/>
          <w:i w:val="0"/>
          <w:iCs/>
          <w:color w:val="auto"/>
          <w:kern w:val="2"/>
          <w:sz w:val="24"/>
          <w:szCs w:val="24"/>
          <w:highlight w:val="none"/>
          <w:lang w:val="en-US" w:eastAsia="zh-CN" w:bidi="ar-SA"/>
        </w:rPr>
        <w:t>220kV崇左电厂一期接入系统工程施工（标段1）包括：广西崇左电厂一期～崇左Ⅰ、Ⅱ回220kV线路工程中的I回线崇左电厂～JA47分界塔段（不含分界塔）、II回线崇左电厂～JB42分界塔段（不含分界塔）。</w:t>
      </w:r>
    </w:p>
    <w:p>
      <w:pPr>
        <w:pStyle w:val="4"/>
        <w:numPr>
          <w:ilvl w:val="0"/>
          <w:numId w:val="0"/>
        </w:numPr>
        <w:spacing w:line="360" w:lineRule="auto"/>
        <w:ind w:firstLine="480"/>
        <w:rPr>
          <w:rFonts w:hint="eastAsia" w:asciiTheme="minorEastAsia" w:hAnsiTheme="minorEastAsia" w:eastAsiaTheme="minorEastAsia" w:cstheme="minorEastAsia"/>
          <w:b w:val="0"/>
          <w:bCs/>
          <w:i w:val="0"/>
          <w:iCs/>
          <w:color w:val="auto"/>
          <w:kern w:val="2"/>
          <w:sz w:val="24"/>
          <w:szCs w:val="24"/>
          <w:highlight w:val="none"/>
          <w:lang w:val="en-US" w:eastAsia="zh-CN" w:bidi="ar-SA"/>
        </w:rPr>
      </w:pPr>
      <w:r>
        <w:rPr>
          <w:rFonts w:hint="eastAsia" w:asciiTheme="minorEastAsia" w:hAnsiTheme="minorEastAsia" w:eastAsiaTheme="minorEastAsia" w:cstheme="minorEastAsia"/>
          <w:b w:val="0"/>
          <w:bCs/>
          <w:i w:val="0"/>
          <w:iCs/>
          <w:color w:val="auto"/>
          <w:kern w:val="2"/>
          <w:sz w:val="24"/>
          <w:szCs w:val="24"/>
          <w:highlight w:val="none"/>
          <w:lang w:val="en-US" w:eastAsia="zh-CN" w:bidi="ar-SA"/>
        </w:rPr>
        <w:t>崇左电厂一期～崇左站Ⅰ回线中的崇左电厂～JA47分界塔段（不含分界塔）新建线路路径长度约55.0km，崇左电厂一期～崇左站Ⅱ回线中的崇左电厂～JB42分界塔段（不含分界塔）新建线路路径长度约55.0km。</w:t>
      </w:r>
    </w:p>
    <w:p>
      <w:pPr>
        <w:pStyle w:val="4"/>
        <w:numPr>
          <w:ilvl w:val="0"/>
          <w:numId w:val="0"/>
        </w:numPr>
        <w:spacing w:line="360" w:lineRule="auto"/>
        <w:ind w:firstLine="480"/>
        <w:rPr>
          <w:rFonts w:hint="eastAsia" w:asciiTheme="minorEastAsia" w:hAnsiTheme="minorEastAsia" w:eastAsiaTheme="minorEastAsia" w:cstheme="minorEastAsia"/>
          <w:b w:val="0"/>
          <w:bCs/>
          <w:i w:val="0"/>
          <w:iCs/>
          <w:color w:val="auto"/>
          <w:kern w:val="2"/>
          <w:sz w:val="24"/>
          <w:szCs w:val="24"/>
          <w:highlight w:val="none"/>
          <w:lang w:val="en-US" w:eastAsia="zh-CN" w:bidi="ar-SA"/>
        </w:rPr>
      </w:pPr>
      <w:r>
        <w:rPr>
          <w:rFonts w:hint="eastAsia" w:asciiTheme="minorEastAsia" w:hAnsiTheme="minorEastAsia" w:eastAsiaTheme="minorEastAsia" w:cstheme="minorEastAsia"/>
          <w:b w:val="0"/>
          <w:bCs/>
          <w:i w:val="0"/>
          <w:iCs/>
          <w:color w:val="auto"/>
          <w:kern w:val="2"/>
          <w:sz w:val="24"/>
          <w:szCs w:val="24"/>
          <w:highlight w:val="none"/>
          <w:lang w:val="en-US" w:eastAsia="zh-CN" w:bidi="ar-SA"/>
        </w:rPr>
        <w:t>架空导线每相截面为2×630mm2。新建线路导线每相采用2×JL/LB20A-630/45铝包钢芯铝绞线。地线采用1根JLB27-150铝包钢绞线、1根48芯OPGW光缆。</w:t>
      </w:r>
    </w:p>
    <w:p>
      <w:pPr>
        <w:pStyle w:val="4"/>
        <w:numPr>
          <w:ilvl w:val="0"/>
          <w:numId w:val="0"/>
        </w:numPr>
        <w:spacing w:line="360" w:lineRule="auto"/>
        <w:ind w:firstLine="480"/>
        <w:rPr>
          <w:rFonts w:hint="eastAsia" w:asciiTheme="minorEastAsia" w:hAnsiTheme="minorEastAsia" w:eastAsiaTheme="minorEastAsia" w:cstheme="minorEastAsia"/>
          <w:b w:val="0"/>
          <w:bCs/>
          <w:i w:val="0"/>
          <w:iCs/>
          <w:color w:val="auto"/>
          <w:kern w:val="2"/>
          <w:sz w:val="24"/>
          <w:szCs w:val="24"/>
          <w:highlight w:val="none"/>
          <w:lang w:val="en-US" w:eastAsia="zh-CN" w:bidi="ar-SA"/>
        </w:rPr>
      </w:pPr>
      <w:r>
        <w:rPr>
          <w:rFonts w:hint="eastAsia" w:asciiTheme="minorEastAsia" w:hAnsiTheme="minorEastAsia" w:eastAsiaTheme="minorEastAsia" w:cstheme="minorEastAsia"/>
          <w:b w:val="0"/>
          <w:bCs/>
          <w:i w:val="0"/>
          <w:iCs/>
          <w:color w:val="auto"/>
          <w:kern w:val="2"/>
          <w:sz w:val="24"/>
          <w:szCs w:val="24"/>
          <w:highlight w:val="none"/>
          <w:lang w:val="en-US" w:eastAsia="zh-CN" w:bidi="ar-SA"/>
        </w:rPr>
        <w:t>新建线路共新建杆塔289基，其中单回路角钢塔289基。</w:t>
      </w:r>
    </w:p>
    <w:p>
      <w:pPr>
        <w:spacing w:line="360" w:lineRule="auto"/>
        <w:ind w:firstLine="482" w:firstLineChars="200"/>
        <w:rPr>
          <w:rFonts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二、</w:t>
      </w:r>
      <w:r>
        <w:rPr>
          <w:rFonts w:hint="eastAsia" w:asciiTheme="minorEastAsia" w:hAnsiTheme="minorEastAsia" w:eastAsiaTheme="minorEastAsia" w:cstheme="minorEastAsia"/>
          <w:b/>
          <w:bCs/>
          <w:color w:val="auto"/>
          <w:sz w:val="24"/>
          <w:szCs w:val="24"/>
          <w:highlight w:val="none"/>
        </w:rPr>
        <w:t>采购范围：</w:t>
      </w:r>
    </w:p>
    <w:p>
      <w:pPr>
        <w:pStyle w:val="4"/>
        <w:numPr>
          <w:ilvl w:val="0"/>
          <w:numId w:val="0"/>
        </w:numPr>
        <w:spacing w:line="360" w:lineRule="auto"/>
        <w:ind w:firstLine="480"/>
        <w:rPr>
          <w:rFonts w:hint="eastAsia" w:asciiTheme="minorEastAsia" w:hAnsiTheme="minorEastAsia" w:eastAsiaTheme="minorEastAsia" w:cstheme="minorEastAsia"/>
          <w:b w:val="0"/>
          <w:bCs/>
          <w:i w:val="0"/>
          <w:iCs/>
          <w:color w:val="auto"/>
          <w:kern w:val="2"/>
          <w:sz w:val="24"/>
          <w:szCs w:val="24"/>
          <w:highlight w:val="none"/>
          <w:lang w:val="en-US" w:eastAsia="zh-CN" w:bidi="ar-SA"/>
        </w:rPr>
      </w:pPr>
      <w:r>
        <w:rPr>
          <w:rFonts w:hint="eastAsia" w:asciiTheme="minorEastAsia" w:hAnsiTheme="minorEastAsia" w:eastAsiaTheme="minorEastAsia" w:cstheme="minorEastAsia"/>
          <w:b/>
          <w:bCs w:val="0"/>
          <w:i w:val="0"/>
          <w:iCs/>
          <w:color w:val="auto"/>
          <w:kern w:val="2"/>
          <w:sz w:val="24"/>
          <w:szCs w:val="24"/>
          <w:highlight w:val="none"/>
          <w:lang w:val="en-US" w:eastAsia="zh-CN" w:bidi="ar-SA"/>
        </w:rPr>
        <w:t>架空线路部分：</w:t>
      </w:r>
      <w:r>
        <w:rPr>
          <w:rFonts w:hint="eastAsia" w:asciiTheme="minorEastAsia" w:hAnsiTheme="minorEastAsia" w:eastAsiaTheme="minorEastAsia" w:cstheme="minorEastAsia"/>
          <w:b w:val="0"/>
          <w:bCs/>
          <w:i w:val="0"/>
          <w:iCs/>
          <w:color w:val="auto"/>
          <w:kern w:val="2"/>
          <w:sz w:val="24"/>
          <w:szCs w:val="24"/>
          <w:highlight w:val="none"/>
          <w:lang w:val="en-US" w:eastAsia="zh-CN" w:bidi="ar-SA"/>
        </w:rPr>
        <w:t xml:space="preserve">施工图纸范围内的架空送电线路安装、调试工程（包括整套启动试运）。包括但不限于：线路本体工程、辅助施工费用、跨越及河流封航、各种跨越工程及其建设许可报批、跨越铁路安全评估、鱼塘围堰（如有）、塔基及弃土区植被恢复、余土外运、电子化移交数据采集等外业工作、施工道路修筑（含临时道路）、杆塔标五牌（含直升机巡视牌）安装、旧电力线路杆号牌和直升机标示牌更换购置及安装，防鸟挡板购置及安装，OPGW光缆架设（含光纤架设、光缆现场单盘开箱检验、金具及附件现场开箱检验、光缆单盘测试、光缆架设、导引（管道）光缆安装、光纤接头标识、光缆熔接、光纤配线架（ODF）安装、光缆接续及测量、光缆全程接续点单向衰耗测试、光缆全程接续点双向平均衰耗测试等）、线路参数测试、施工单位负责整套启动试运及协助相关工作、线路工程施工临时用地补偿（包括施工中因运输、堆放材料、机具，开挖基础土石方，开挖接地槽土石方，施工基础、组立杆塔过程中临时占用场地青苗赔偿、清理、复垦工作等相关费用）、线路工程征地拆迁补偿服务工作，配合建设单位委托第三方各类检测（包含送检服务等），电子化移交数据采集、资产暂估转固等外业工作，物资到货验收、卸车保管、设置临时仓库、二次倒运，电力线、通信线迁移，余物清理（包括沿线建（构）筑物、旧设备和旧线路的拆除及清理），林木砍伐证办理（含伐区调查），建筑原材料取样和送至甲方确定的检测单位，拆除设备、材料运输至属地供电局指定仓库，通过政府职业健康验收。  </w:t>
      </w:r>
    </w:p>
    <w:p>
      <w:pPr>
        <w:pStyle w:val="4"/>
        <w:numPr>
          <w:ilvl w:val="0"/>
          <w:numId w:val="0"/>
        </w:numPr>
        <w:spacing w:line="360" w:lineRule="auto"/>
        <w:ind w:firstLine="480"/>
        <w:rPr>
          <w:rFonts w:hint="eastAsia" w:asciiTheme="minorEastAsia" w:hAnsiTheme="minorEastAsia" w:eastAsiaTheme="minorEastAsia" w:cstheme="minorEastAsia"/>
          <w:b w:val="0"/>
          <w:bCs/>
          <w:i w:val="0"/>
          <w:iCs/>
          <w:color w:val="auto"/>
          <w:kern w:val="2"/>
          <w:sz w:val="24"/>
          <w:szCs w:val="24"/>
          <w:highlight w:val="none"/>
          <w:lang w:val="en-US" w:eastAsia="zh-CN" w:bidi="ar-SA"/>
        </w:rPr>
      </w:pPr>
      <w:r>
        <w:rPr>
          <w:rFonts w:hint="eastAsia" w:asciiTheme="minorEastAsia" w:hAnsiTheme="minorEastAsia" w:eastAsiaTheme="minorEastAsia" w:cstheme="minorEastAsia"/>
          <w:b w:val="0"/>
          <w:bCs/>
          <w:i w:val="0"/>
          <w:iCs/>
          <w:color w:val="auto"/>
          <w:kern w:val="2"/>
          <w:sz w:val="24"/>
          <w:szCs w:val="24"/>
          <w:highlight w:val="none"/>
          <w:lang w:val="en-US" w:eastAsia="zh-CN" w:bidi="ar-SA"/>
        </w:rPr>
        <w:t>不包括：线路走廊范围内的建设场地征用及清理费用（杆塔占地及附着物补偿费、护坡挡土墙和排水沟的占地及附着物补偿费、线路走廊青苗补偿费及树木砍伐补偿费、城市道路绿化恢复费、森林植被恢复费、坟墓迁移补偿费、养殖池（塘）补偿费、宅基地补偿费、管线迁移补偿、厂矿场和房屋等不动产类拆迁等费用）、巡线与检修站工程、水土保持补偿费、环境监测及环境保护验收费、水土保持监测及验收费、智慧工地费用、耐张线夹X光检测。工程项目建设单位委托第三方检测机构进行的质量检测，费用不计入投标报价。根据《建设工程质量检测管理办法》的规定，工程项目建设单位委托第三方检测机构进行的质量检测业务包括但不限于以下内容：</w:t>
      </w:r>
    </w:p>
    <w:p>
      <w:pPr>
        <w:pStyle w:val="4"/>
        <w:numPr>
          <w:ilvl w:val="0"/>
          <w:numId w:val="0"/>
        </w:numPr>
        <w:spacing w:line="360" w:lineRule="auto"/>
        <w:ind w:firstLine="480"/>
        <w:rPr>
          <w:rFonts w:hint="eastAsia" w:asciiTheme="minorEastAsia" w:hAnsiTheme="minorEastAsia" w:eastAsiaTheme="minorEastAsia" w:cstheme="minorEastAsia"/>
          <w:b w:val="0"/>
          <w:bCs/>
          <w:i w:val="0"/>
          <w:iCs/>
          <w:color w:val="auto"/>
          <w:kern w:val="2"/>
          <w:sz w:val="24"/>
          <w:szCs w:val="24"/>
          <w:highlight w:val="none"/>
          <w:lang w:val="en-US" w:eastAsia="zh-CN" w:bidi="ar-SA"/>
        </w:rPr>
      </w:pPr>
      <w:r>
        <w:rPr>
          <w:rFonts w:hint="eastAsia" w:asciiTheme="minorEastAsia" w:hAnsiTheme="minorEastAsia" w:eastAsiaTheme="minorEastAsia" w:cstheme="minorEastAsia"/>
          <w:b w:val="0"/>
          <w:bCs/>
          <w:i w:val="0"/>
          <w:iCs/>
          <w:color w:val="auto"/>
          <w:kern w:val="2"/>
          <w:sz w:val="24"/>
          <w:szCs w:val="24"/>
          <w:highlight w:val="none"/>
          <w:lang w:val="en-US" w:eastAsia="zh-CN" w:bidi="ar-SA"/>
        </w:rPr>
        <w:t>（1）专项检测</w:t>
      </w:r>
    </w:p>
    <w:p>
      <w:pPr>
        <w:pStyle w:val="4"/>
        <w:numPr>
          <w:ilvl w:val="0"/>
          <w:numId w:val="0"/>
        </w:numPr>
        <w:spacing w:line="360" w:lineRule="auto"/>
        <w:ind w:firstLine="480"/>
        <w:rPr>
          <w:rFonts w:hint="eastAsia" w:asciiTheme="minorEastAsia" w:hAnsiTheme="minorEastAsia" w:eastAsiaTheme="minorEastAsia" w:cstheme="minorEastAsia"/>
          <w:b w:val="0"/>
          <w:bCs/>
          <w:i w:val="0"/>
          <w:iCs/>
          <w:color w:val="auto"/>
          <w:kern w:val="2"/>
          <w:sz w:val="24"/>
          <w:szCs w:val="24"/>
          <w:highlight w:val="none"/>
          <w:lang w:val="en-US" w:eastAsia="zh-CN" w:bidi="ar-SA"/>
        </w:rPr>
      </w:pPr>
      <w:r>
        <w:rPr>
          <w:rFonts w:hint="eastAsia" w:asciiTheme="minorEastAsia" w:hAnsiTheme="minorEastAsia" w:eastAsiaTheme="minorEastAsia" w:cstheme="minorEastAsia"/>
          <w:b w:val="0"/>
          <w:bCs/>
          <w:i w:val="0"/>
          <w:iCs/>
          <w:color w:val="auto"/>
          <w:kern w:val="2"/>
          <w:sz w:val="24"/>
          <w:szCs w:val="24"/>
          <w:highlight w:val="none"/>
          <w:lang w:val="en-US" w:eastAsia="zh-CN" w:bidi="ar-SA"/>
        </w:rPr>
        <w:t>场地土方回填试验(击实试验、压实度试验）；钢筋混凝土实体监测(钢筋保护层厚度、混凝土强度、尺寸偏差)；桩基础检测(承载力、桩身完整性)；地基承载力检测；锚杆锁定力检测；因创优质工程需要，对不在国家规程规范监测范围内的建筑、边坡等额外开展的沉降观测。</w:t>
      </w:r>
    </w:p>
    <w:p>
      <w:pPr>
        <w:pStyle w:val="4"/>
        <w:numPr>
          <w:ilvl w:val="0"/>
          <w:numId w:val="0"/>
        </w:numPr>
        <w:spacing w:line="360" w:lineRule="auto"/>
        <w:ind w:firstLine="480"/>
        <w:rPr>
          <w:rFonts w:hint="eastAsia" w:asciiTheme="minorEastAsia" w:hAnsiTheme="minorEastAsia" w:eastAsiaTheme="minorEastAsia" w:cstheme="minorEastAsia"/>
          <w:b w:val="0"/>
          <w:bCs/>
          <w:i w:val="0"/>
          <w:iCs/>
          <w:color w:val="auto"/>
          <w:kern w:val="2"/>
          <w:sz w:val="24"/>
          <w:szCs w:val="24"/>
          <w:highlight w:val="none"/>
          <w:lang w:val="en-US" w:eastAsia="zh-CN" w:bidi="ar-SA"/>
        </w:rPr>
      </w:pPr>
      <w:r>
        <w:rPr>
          <w:rFonts w:hint="eastAsia" w:asciiTheme="minorEastAsia" w:hAnsiTheme="minorEastAsia" w:eastAsiaTheme="minorEastAsia" w:cstheme="minorEastAsia"/>
          <w:b w:val="0"/>
          <w:bCs/>
          <w:i w:val="0"/>
          <w:iCs/>
          <w:color w:val="auto"/>
          <w:kern w:val="2"/>
          <w:sz w:val="24"/>
          <w:szCs w:val="24"/>
          <w:highlight w:val="none"/>
          <w:lang w:val="en-US" w:eastAsia="zh-CN" w:bidi="ar-SA"/>
        </w:rPr>
        <w:t>（2）见证取样检测</w:t>
      </w:r>
    </w:p>
    <w:p>
      <w:pPr>
        <w:pStyle w:val="4"/>
        <w:numPr>
          <w:ilvl w:val="0"/>
          <w:numId w:val="0"/>
        </w:numPr>
        <w:spacing w:line="360" w:lineRule="auto"/>
        <w:ind w:firstLine="480"/>
        <w:rPr>
          <w:rFonts w:hint="eastAsia" w:asciiTheme="minorEastAsia" w:hAnsiTheme="minorEastAsia" w:eastAsiaTheme="minorEastAsia" w:cstheme="minorEastAsia"/>
          <w:b w:val="0"/>
          <w:bCs/>
          <w:i w:val="0"/>
          <w:iCs/>
          <w:color w:val="auto"/>
          <w:kern w:val="2"/>
          <w:sz w:val="24"/>
          <w:szCs w:val="24"/>
          <w:highlight w:val="none"/>
          <w:lang w:val="en-US" w:eastAsia="zh-CN" w:bidi="ar-SA"/>
        </w:rPr>
      </w:pPr>
      <w:r>
        <w:rPr>
          <w:rFonts w:hint="eastAsia" w:asciiTheme="minorEastAsia" w:hAnsiTheme="minorEastAsia" w:eastAsiaTheme="minorEastAsia" w:cstheme="minorEastAsia"/>
          <w:b w:val="0"/>
          <w:bCs/>
          <w:i w:val="0"/>
          <w:iCs/>
          <w:color w:val="auto"/>
          <w:kern w:val="2"/>
          <w:sz w:val="24"/>
          <w:szCs w:val="24"/>
          <w:highlight w:val="none"/>
          <w:lang w:val="en-US" w:eastAsia="zh-CN" w:bidi="ar-SA"/>
        </w:rPr>
        <w:t>水泥物理力学性能检验；钢筋（含焊接与机械连接）力学性能检验；砂、石常规检验；混凝土、砂浆强度检验。</w:t>
      </w:r>
    </w:p>
    <w:p>
      <w:pPr>
        <w:pStyle w:val="4"/>
        <w:rPr>
          <w:rFonts w:hint="eastAsia"/>
          <w:color w:val="auto"/>
          <w:highlight w:val="none"/>
          <w:lang w:val="en-US" w:eastAsia="zh-CN"/>
        </w:rPr>
      </w:pPr>
    </w:p>
    <w:p>
      <w:pPr>
        <w:pStyle w:val="4"/>
        <w:numPr>
          <w:ilvl w:val="0"/>
          <w:numId w:val="0"/>
        </w:numPr>
        <w:spacing w:line="360" w:lineRule="auto"/>
        <w:rPr>
          <w:rFonts w:asciiTheme="minorEastAsia" w:hAnsiTheme="minorEastAsia" w:eastAsiaTheme="minorEastAsia" w:cstheme="minorEastAsia"/>
          <w:bCs/>
          <w:i w:val="0"/>
          <w:color w:val="auto"/>
          <w:sz w:val="24"/>
          <w:szCs w:val="24"/>
          <w:highlight w:val="none"/>
        </w:rPr>
      </w:pPr>
      <w:r>
        <w:rPr>
          <w:rFonts w:hint="eastAsia" w:asciiTheme="minorEastAsia" w:hAnsiTheme="minorEastAsia" w:eastAsiaTheme="minorEastAsia" w:cstheme="minorEastAsia"/>
          <w:bCs/>
          <w:i w:val="0"/>
          <w:color w:val="auto"/>
          <w:sz w:val="24"/>
          <w:szCs w:val="24"/>
          <w:highlight w:val="none"/>
          <w:lang w:val="en-US" w:eastAsia="zh-CN"/>
        </w:rPr>
        <w:t>三．</w:t>
      </w:r>
      <w:r>
        <w:rPr>
          <w:rFonts w:hint="eastAsia" w:asciiTheme="minorEastAsia" w:hAnsiTheme="minorEastAsia" w:eastAsiaTheme="minorEastAsia" w:cstheme="minorEastAsia"/>
          <w:bCs/>
          <w:i w:val="0"/>
          <w:color w:val="auto"/>
          <w:sz w:val="24"/>
          <w:szCs w:val="24"/>
          <w:highlight w:val="none"/>
        </w:rPr>
        <w:t>承包方式：包工、部分包料</w:t>
      </w:r>
    </w:p>
    <w:p>
      <w:pPr>
        <w:jc w:val="center"/>
        <w:rPr>
          <w:b/>
          <w:color w:val="auto"/>
          <w:highlight w:val="none"/>
        </w:rPr>
      </w:pPr>
    </w:p>
    <w:p>
      <w:pPr>
        <w:jc w:val="center"/>
        <w:rPr>
          <w:rFonts w:hint="eastAsia" w:eastAsia="宋体"/>
          <w:b/>
          <w:bCs/>
          <w:color w:val="auto"/>
          <w:sz w:val="32"/>
          <w:szCs w:val="32"/>
          <w:highlight w:val="none"/>
          <w:lang w:eastAsia="zh-CN"/>
        </w:rPr>
      </w:pPr>
      <w:r>
        <w:rPr>
          <w:rFonts w:hint="eastAsia"/>
          <w:b/>
          <w:bCs/>
          <w:color w:val="auto"/>
          <w:sz w:val="32"/>
          <w:szCs w:val="32"/>
          <w:highlight w:val="none"/>
          <w:lang w:eastAsia="zh-CN"/>
        </w:rPr>
        <w:t>架空</w:t>
      </w:r>
      <w:r>
        <w:rPr>
          <w:rFonts w:hint="eastAsia"/>
          <w:b/>
          <w:bCs/>
          <w:color w:val="auto"/>
          <w:sz w:val="32"/>
          <w:szCs w:val="32"/>
          <w:highlight w:val="none"/>
        </w:rPr>
        <w:t>线路部分</w:t>
      </w:r>
    </w:p>
    <w:p>
      <w:pPr>
        <w:pStyle w:val="4"/>
        <w:spacing w:line="360" w:lineRule="auto"/>
        <w:rPr>
          <w:rFonts w:asciiTheme="minorEastAsia" w:hAnsiTheme="minorEastAsia" w:eastAsiaTheme="minorEastAsia" w:cstheme="minorEastAsia"/>
          <w:bCs/>
          <w:i w:val="0"/>
          <w:color w:val="auto"/>
          <w:sz w:val="24"/>
          <w:szCs w:val="24"/>
          <w:highlight w:val="none"/>
        </w:rPr>
      </w:pPr>
    </w:p>
    <w:p>
      <w:pPr>
        <w:jc w:val="center"/>
        <w:rPr>
          <w:b/>
          <w:color w:val="auto"/>
          <w:sz w:val="28"/>
          <w:szCs w:val="28"/>
          <w:highlight w:val="none"/>
        </w:rPr>
      </w:pPr>
      <w:r>
        <w:rPr>
          <w:rFonts w:hint="eastAsia"/>
          <w:b/>
          <w:color w:val="auto"/>
          <w:sz w:val="21"/>
          <w:szCs w:val="21"/>
          <w:highlight w:val="none"/>
        </w:rPr>
        <w:t>招标人提供的设备、材料清单</w:t>
      </w:r>
    </w:p>
    <w:tbl>
      <w:tblPr>
        <w:tblStyle w:val="12"/>
        <w:tblpPr w:leftFromText="180" w:rightFromText="180" w:vertAnchor="text" w:horzAnchor="margin" w:tblpXSpec="center" w:tblpY="357"/>
        <w:tblW w:w="10080" w:type="dxa"/>
        <w:tblInd w:w="0" w:type="dxa"/>
        <w:tblLayout w:type="fixed"/>
        <w:tblCellMar>
          <w:top w:w="0" w:type="dxa"/>
          <w:left w:w="108" w:type="dxa"/>
          <w:bottom w:w="0" w:type="dxa"/>
          <w:right w:w="108" w:type="dxa"/>
        </w:tblCellMar>
      </w:tblPr>
      <w:tblGrid>
        <w:gridCol w:w="947"/>
        <w:gridCol w:w="3000"/>
        <w:gridCol w:w="1107"/>
        <w:gridCol w:w="1143"/>
        <w:gridCol w:w="1400"/>
        <w:gridCol w:w="2483"/>
      </w:tblGrid>
      <w:tr>
        <w:tblPrEx>
          <w:tblCellMar>
            <w:top w:w="0" w:type="dxa"/>
            <w:left w:w="108" w:type="dxa"/>
            <w:bottom w:w="0" w:type="dxa"/>
            <w:right w:w="108" w:type="dxa"/>
          </w:tblCellMar>
        </w:tblPrEx>
        <w:trPr>
          <w:trHeight w:val="397" w:hRule="atLeast"/>
          <w:tblHeader/>
        </w:trPr>
        <w:tc>
          <w:tcPr>
            <w:tcW w:w="947"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序号</w:t>
            </w:r>
          </w:p>
        </w:tc>
        <w:tc>
          <w:tcPr>
            <w:tcW w:w="300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110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1143"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400"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2483"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3000"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设备部分</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jc w:val="center"/>
              <w:rPr>
                <w:color w:val="auto"/>
                <w:highlight w:val="none"/>
              </w:rPr>
            </w:pPr>
          </w:p>
        </w:tc>
        <w:tc>
          <w:tcPr>
            <w:tcW w:w="1400" w:type="dxa"/>
            <w:tcBorders>
              <w:top w:val="nil"/>
              <w:left w:val="nil"/>
              <w:bottom w:val="single" w:color="auto" w:sz="4" w:space="0"/>
              <w:right w:val="single" w:color="auto" w:sz="4" w:space="0"/>
            </w:tcBorders>
            <w:vAlign w:val="center"/>
          </w:tcPr>
          <w:p>
            <w:pPr>
              <w:jc w:val="center"/>
              <w:rPr>
                <w:color w:val="auto"/>
                <w:highlight w:val="none"/>
              </w:rPr>
            </w:pP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3000"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避雷器</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jc w:val="center"/>
              <w:rPr>
                <w:rFonts w:hint="eastAsia" w:eastAsia="宋体"/>
                <w:color w:val="auto"/>
                <w:highlight w:val="none"/>
                <w:lang w:val="en-US" w:eastAsia="zh-CN"/>
              </w:rPr>
            </w:pPr>
          </w:p>
        </w:tc>
        <w:tc>
          <w:tcPr>
            <w:tcW w:w="1400" w:type="dxa"/>
            <w:tcBorders>
              <w:top w:val="nil"/>
              <w:left w:val="nil"/>
              <w:bottom w:val="single" w:color="auto" w:sz="4" w:space="0"/>
              <w:right w:val="single" w:color="auto" w:sz="4" w:space="0"/>
            </w:tcBorders>
            <w:vAlign w:val="center"/>
          </w:tcPr>
          <w:p>
            <w:pPr>
              <w:jc w:val="center"/>
              <w:rPr>
                <w:rFonts w:hint="eastAsia" w:eastAsia="宋体"/>
                <w:color w:val="auto"/>
                <w:highlight w:val="none"/>
                <w:lang w:val="en-US" w:eastAsia="zh-CN"/>
              </w:rPr>
            </w:pP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3000" w:type="dxa"/>
            <w:tcBorders>
              <w:top w:val="nil"/>
              <w:left w:val="nil"/>
              <w:bottom w:val="single" w:color="auto" w:sz="4" w:space="0"/>
              <w:right w:val="single" w:color="auto" w:sz="4" w:space="0"/>
            </w:tcBorders>
            <w:vAlign w:val="center"/>
          </w:tcPr>
          <w:p>
            <w:pPr>
              <w:rPr>
                <w:rFonts w:hint="eastAsia" w:eastAsia="宋体"/>
                <w:color w:val="auto"/>
                <w:highlight w:val="none"/>
                <w:lang w:eastAsia="zh-CN"/>
              </w:rPr>
            </w:pPr>
            <w:r>
              <w:rPr>
                <w:rFonts w:hint="eastAsia"/>
                <w:color w:val="auto"/>
                <w:highlight w:val="none"/>
                <w:lang w:eastAsia="zh-CN"/>
              </w:rPr>
              <w:t>故障定位装置</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jc w:val="center"/>
              <w:rPr>
                <w:color w:val="auto"/>
                <w:highlight w:val="none"/>
              </w:rPr>
            </w:pPr>
          </w:p>
        </w:tc>
        <w:tc>
          <w:tcPr>
            <w:tcW w:w="1400" w:type="dxa"/>
            <w:tcBorders>
              <w:top w:val="nil"/>
              <w:left w:val="nil"/>
              <w:bottom w:val="single" w:color="auto" w:sz="4" w:space="0"/>
              <w:right w:val="single" w:color="auto" w:sz="4" w:space="0"/>
            </w:tcBorders>
            <w:vAlign w:val="center"/>
          </w:tcPr>
          <w:p>
            <w:pPr>
              <w:jc w:val="center"/>
              <w:rPr>
                <w:rFonts w:hint="eastAsia" w:eastAsia="宋体"/>
                <w:color w:val="auto"/>
                <w:highlight w:val="none"/>
                <w:lang w:val="en-US" w:eastAsia="zh-CN"/>
              </w:rPr>
            </w:pP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3000" w:type="dxa"/>
            <w:tcBorders>
              <w:top w:val="nil"/>
              <w:left w:val="nil"/>
              <w:bottom w:val="single" w:color="auto" w:sz="4" w:space="0"/>
              <w:right w:val="single" w:color="auto" w:sz="4" w:space="0"/>
            </w:tcBorders>
            <w:vAlign w:val="center"/>
          </w:tcPr>
          <w:p>
            <w:pPr>
              <w:rPr>
                <w:rFonts w:hint="eastAsia"/>
                <w:color w:val="auto"/>
                <w:highlight w:val="none"/>
                <w:lang w:eastAsia="zh-CN"/>
              </w:rPr>
            </w:pPr>
            <w:r>
              <w:rPr>
                <w:rFonts w:hint="eastAsia"/>
                <w:color w:val="auto"/>
                <w:highlight w:val="none"/>
                <w:lang w:eastAsia="zh-CN"/>
              </w:rPr>
              <w:t>在线监测装置</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jc w:val="center"/>
              <w:rPr>
                <w:color w:val="auto"/>
                <w:highlight w:val="none"/>
              </w:rPr>
            </w:pPr>
          </w:p>
        </w:tc>
        <w:tc>
          <w:tcPr>
            <w:tcW w:w="1400" w:type="dxa"/>
            <w:tcBorders>
              <w:top w:val="nil"/>
              <w:left w:val="nil"/>
              <w:bottom w:val="single" w:color="auto" w:sz="4" w:space="0"/>
              <w:right w:val="single" w:color="auto" w:sz="4" w:space="0"/>
            </w:tcBorders>
            <w:vAlign w:val="center"/>
          </w:tcPr>
          <w:p>
            <w:pPr>
              <w:jc w:val="center"/>
              <w:rPr>
                <w:rFonts w:hint="eastAsia" w:eastAsia="宋体"/>
                <w:color w:val="auto"/>
                <w:highlight w:val="none"/>
                <w:lang w:val="en-US" w:eastAsia="zh-CN"/>
              </w:rPr>
            </w:pPr>
          </w:p>
        </w:tc>
        <w:tc>
          <w:tcPr>
            <w:tcW w:w="2483"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cantSplit/>
          <w:trHeight w:val="397" w:hRule="atLeast"/>
        </w:trPr>
        <w:tc>
          <w:tcPr>
            <w:tcW w:w="947"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（二）</w:t>
            </w:r>
          </w:p>
        </w:tc>
        <w:tc>
          <w:tcPr>
            <w:tcW w:w="3000"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材料部分</w:t>
            </w:r>
          </w:p>
        </w:tc>
        <w:tc>
          <w:tcPr>
            <w:tcW w:w="1107"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3"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400" w:type="dxa"/>
            <w:tcBorders>
              <w:top w:val="nil"/>
              <w:left w:val="nil"/>
              <w:bottom w:val="single" w:color="auto" w:sz="4" w:space="0"/>
              <w:right w:val="single" w:color="auto" w:sz="4" w:space="0"/>
            </w:tcBorders>
            <w:vAlign w:val="center"/>
          </w:tcPr>
          <w:p>
            <w:pPr>
              <w:jc w:val="center"/>
              <w:rPr>
                <w:color w:val="auto"/>
                <w:highlight w:val="none"/>
              </w:rPr>
            </w:pPr>
          </w:p>
        </w:tc>
        <w:tc>
          <w:tcPr>
            <w:tcW w:w="2483"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1</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宋体" w:hAnsi="宋体"/>
                <w:color w:val="auto"/>
                <w:highlight w:val="none"/>
              </w:rPr>
            </w:pPr>
            <w:r>
              <w:rPr>
                <w:rFonts w:hint="eastAsia"/>
                <w:color w:val="auto"/>
                <w:highlight w:val="none"/>
              </w:rPr>
              <w:t>铁塔（直线塔）（不含地脚螺栓）</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2</w:t>
            </w:r>
          </w:p>
        </w:tc>
        <w:tc>
          <w:tcPr>
            <w:tcW w:w="3000" w:type="dxa"/>
            <w:tcBorders>
              <w:top w:val="single" w:color="auto" w:sz="6" w:space="0"/>
              <w:left w:val="single" w:color="auto" w:sz="6" w:space="0"/>
              <w:bottom w:val="single" w:color="auto" w:sz="6" w:space="0"/>
              <w:right w:val="single" w:color="auto" w:sz="6" w:space="0"/>
            </w:tcBorders>
            <w:vAlign w:val="center"/>
          </w:tcPr>
          <w:p>
            <w:pPr>
              <w:rPr>
                <w:rFonts w:ascii="宋体" w:hAnsi="宋体"/>
                <w:color w:val="auto"/>
                <w:highlight w:val="none"/>
              </w:rPr>
            </w:pPr>
            <w:r>
              <w:rPr>
                <w:rFonts w:hint="eastAsia"/>
                <w:color w:val="auto"/>
                <w:highlight w:val="none"/>
              </w:rPr>
              <w:t>铁塔（耐张塔）（不含地脚螺栓）</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color w:val="auto"/>
                <w:highlight w:val="none"/>
              </w:rPr>
              <w:t>3</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钢管杆（不含地脚螺栓）</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color w:val="auto"/>
                <w:highlight w:val="none"/>
              </w:rPr>
              <w:t>4</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杆塔防坠落装置用镀锌件</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color w:val="auto"/>
                <w:highlight w:val="none"/>
              </w:rPr>
              <w:t>5</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杆塔防坠落装置用</w:t>
            </w:r>
            <w:r>
              <w:rPr>
                <w:rFonts w:hint="eastAsia"/>
                <w:color w:val="auto"/>
                <w:highlight w:val="none"/>
                <w:lang w:eastAsia="zh-CN"/>
              </w:rPr>
              <w:t>铝包</w:t>
            </w:r>
            <w:r>
              <w:rPr>
                <w:rFonts w:hint="eastAsia"/>
                <w:color w:val="auto"/>
                <w:highlight w:val="none"/>
              </w:rPr>
              <w:t>钢绞线</w:t>
            </w:r>
            <w:r>
              <w:rPr>
                <w:color w:val="auto"/>
                <w:highlight w:val="none"/>
              </w:rPr>
              <w:t xml:space="preserve"> </w:t>
            </w:r>
          </w:p>
        </w:tc>
        <w:tc>
          <w:tcPr>
            <w:tcW w:w="1107" w:type="dxa"/>
            <w:tcBorders>
              <w:top w:val="single" w:color="auto" w:sz="6" w:space="0"/>
              <w:left w:val="single" w:color="auto" w:sz="6" w:space="0"/>
              <w:bottom w:val="single" w:color="auto" w:sz="6" w:space="0"/>
              <w:right w:val="single" w:color="auto" w:sz="6" w:space="0"/>
            </w:tcBorders>
            <w:vAlign w:val="center"/>
          </w:tcPr>
          <w:p>
            <w:pPr>
              <w:widowControl/>
              <w:jc w:val="center"/>
              <w:rPr>
                <w:rFonts w:ascii="宋体" w:hAnsi="宋体"/>
                <w:color w:val="auto"/>
                <w:kern w:val="0"/>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color w:val="auto"/>
                <w:highlight w:val="none"/>
              </w:rPr>
              <w:t>6</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lang w:eastAsia="zh-CN"/>
              </w:rPr>
              <w:t>铝包</w:t>
            </w:r>
            <w:r>
              <w:rPr>
                <w:rFonts w:hint="eastAsia"/>
                <w:color w:val="auto"/>
                <w:highlight w:val="none"/>
              </w:rPr>
              <w:t>钢芯铝绞线</w:t>
            </w:r>
          </w:p>
        </w:tc>
        <w:tc>
          <w:tcPr>
            <w:tcW w:w="1107" w:type="dxa"/>
            <w:tcBorders>
              <w:top w:val="single" w:color="auto" w:sz="6" w:space="0"/>
              <w:left w:val="single" w:color="auto" w:sz="6" w:space="0"/>
              <w:bottom w:val="single" w:color="auto" w:sz="6" w:space="0"/>
              <w:right w:val="single" w:color="auto" w:sz="6" w:space="0"/>
            </w:tcBorders>
            <w:vAlign w:val="bottom"/>
          </w:tcPr>
          <w:p>
            <w:pPr>
              <w:keepNext w:val="0"/>
              <w:keepLines w:val="0"/>
              <w:widowControl/>
              <w:suppressLineNumbers w:val="0"/>
              <w:jc w:val="center"/>
              <w:textAlignment w:val="bottom"/>
              <w:rPr>
                <w:color w:val="auto"/>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bottom"/>
          </w:tcPr>
          <w:p>
            <w:pPr>
              <w:keepNext w:val="0"/>
              <w:keepLines w:val="0"/>
              <w:widowControl/>
              <w:suppressLineNumbers w:val="0"/>
              <w:jc w:val="center"/>
              <w:textAlignment w:val="bottom"/>
              <w:rPr>
                <w:rFonts w:ascii="宋体" w:hAnsi="宋体"/>
                <w:color w:val="auto"/>
                <w:highlight w:val="none"/>
              </w:rPr>
            </w:pPr>
            <w:r>
              <w:rPr>
                <w:rFonts w:hint="eastAsia" w:ascii="宋体" w:hAnsi="宋体" w:eastAsia="宋体" w:cs="宋体"/>
                <w:i w:val="0"/>
                <w:color w:val="auto"/>
                <w:kern w:val="0"/>
                <w:sz w:val="21"/>
                <w:szCs w:val="21"/>
                <w:highlight w:val="none"/>
                <w:u w:val="none"/>
                <w:lang w:val="en-US" w:eastAsia="zh-CN" w:bidi="ar"/>
              </w:rPr>
              <w:t>1399.931</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color w:val="auto"/>
                <w:highlight w:val="none"/>
              </w:rPr>
              <w:t>7</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lang w:eastAsia="zh-CN"/>
              </w:rPr>
              <w:t>铝包</w:t>
            </w:r>
            <w:r>
              <w:rPr>
                <w:rFonts w:hint="eastAsia"/>
                <w:color w:val="auto"/>
                <w:highlight w:val="none"/>
              </w:rPr>
              <w:t>钢绞线</w:t>
            </w:r>
          </w:p>
        </w:tc>
        <w:tc>
          <w:tcPr>
            <w:tcW w:w="1107" w:type="dxa"/>
            <w:tcBorders>
              <w:top w:val="single" w:color="auto" w:sz="6" w:space="0"/>
              <w:left w:val="single" w:color="auto" w:sz="6" w:space="0"/>
              <w:bottom w:val="single" w:color="auto" w:sz="6" w:space="0"/>
              <w:right w:val="single" w:color="auto" w:sz="6" w:space="0"/>
            </w:tcBorders>
            <w:vAlign w:val="bottom"/>
          </w:tcPr>
          <w:p>
            <w:pPr>
              <w:keepNext w:val="0"/>
              <w:keepLines w:val="0"/>
              <w:widowControl/>
              <w:suppressLineNumbers w:val="0"/>
              <w:jc w:val="center"/>
              <w:textAlignment w:val="bottom"/>
              <w:rPr>
                <w:color w:val="auto"/>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bottom"/>
          </w:tcPr>
          <w:p>
            <w:pPr>
              <w:keepNext w:val="0"/>
              <w:keepLines w:val="0"/>
              <w:widowControl/>
              <w:suppressLineNumbers w:val="0"/>
              <w:jc w:val="center"/>
              <w:textAlignment w:val="bottom"/>
              <w:rPr>
                <w:rFonts w:ascii="宋体" w:hAnsi="宋体"/>
                <w:color w:val="auto"/>
                <w:highlight w:val="none"/>
              </w:rPr>
            </w:pPr>
            <w:r>
              <w:rPr>
                <w:rFonts w:hint="eastAsia" w:ascii="宋体" w:hAnsi="宋体" w:eastAsia="宋体" w:cs="宋体"/>
                <w:i w:val="0"/>
                <w:color w:val="auto"/>
                <w:kern w:val="0"/>
                <w:sz w:val="21"/>
                <w:szCs w:val="21"/>
                <w:highlight w:val="none"/>
                <w:u w:val="none"/>
                <w:lang w:val="en-US" w:eastAsia="zh-CN" w:bidi="ar"/>
              </w:rPr>
              <w:t>113.947</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color w:val="auto"/>
                <w:highlight w:val="none"/>
              </w:rPr>
              <w:t>8</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绝缘子</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hint="eastAsia" w:ascii="宋体" w:hAnsi="宋体" w:eastAsia="宋体"/>
                <w:color w:val="auto"/>
                <w:highlight w:val="none"/>
                <w:lang w:eastAsia="zh-CN"/>
              </w:rPr>
            </w:pPr>
            <w:r>
              <w:rPr>
                <w:rFonts w:hint="eastAsia" w:ascii="宋体" w:hAnsi="宋体"/>
                <w:color w:val="auto"/>
                <w:highlight w:val="none"/>
                <w:lang w:val="en-US" w:eastAsia="zh-CN"/>
              </w:rPr>
              <w:t>片</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ascii="宋体" w:hAnsi="宋体"/>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r>
              <w:rPr>
                <w:color w:val="auto"/>
                <w:highlight w:val="none"/>
              </w:rPr>
              <w:t>9</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线路金具</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ascii="宋体" w:hAnsi="宋体"/>
                <w:color w:val="auto"/>
                <w:highlight w:val="none"/>
              </w:rPr>
            </w:pPr>
            <w:r>
              <w:rPr>
                <w:rFonts w:hint="eastAsia" w:ascii="宋体" w:hAnsi="宋体"/>
                <w:color w:val="auto"/>
                <w:highlight w:val="none"/>
              </w:rPr>
              <w:t>吨</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default" w:eastAsia="宋体"/>
                <w:color w:val="auto"/>
                <w:highlight w:val="none"/>
                <w:lang w:val="en-US" w:eastAsia="zh-CN"/>
              </w:rPr>
            </w:pPr>
            <w:r>
              <w:rPr>
                <w:rFonts w:hint="eastAsia"/>
                <w:color w:val="auto"/>
                <w:highlight w:val="none"/>
                <w:lang w:val="en-US" w:eastAsia="zh-CN"/>
              </w:rPr>
              <w:t>10</w:t>
            </w:r>
          </w:p>
        </w:tc>
        <w:tc>
          <w:tcPr>
            <w:tcW w:w="3000" w:type="dxa"/>
            <w:tcBorders>
              <w:top w:val="single" w:color="auto" w:sz="6" w:space="0"/>
              <w:left w:val="single" w:color="auto" w:sz="6" w:space="0"/>
              <w:bottom w:val="single" w:color="auto" w:sz="6" w:space="0"/>
              <w:right w:val="single" w:color="auto" w:sz="6" w:space="0"/>
            </w:tcBorders>
            <w:vAlign w:val="center"/>
          </w:tcPr>
          <w:p>
            <w:pPr>
              <w:rPr>
                <w:rFonts w:hint="eastAsia" w:eastAsia="宋体"/>
                <w:color w:val="auto"/>
                <w:highlight w:val="none"/>
                <w:lang w:eastAsia="zh-CN"/>
              </w:rPr>
            </w:pPr>
            <w:r>
              <w:rPr>
                <w:rFonts w:hint="eastAsia"/>
                <w:color w:val="auto"/>
                <w:highlight w:val="none"/>
                <w:lang w:eastAsia="zh-CN"/>
              </w:rPr>
              <w:t>新建线路杆塔五牌</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eastAsia="zh-CN"/>
              </w:rPr>
            </w:pPr>
            <w:r>
              <w:rPr>
                <w:rFonts w:hint="eastAsia"/>
                <w:color w:val="auto"/>
                <w:highlight w:val="none"/>
                <w:lang w:eastAsia="zh-CN"/>
              </w:rPr>
              <w:t>块</w:t>
            </w: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rFonts w:hint="eastAsia"/>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rFonts w:hint="eastAsia" w:eastAsia="宋体"/>
                <w:color w:val="auto"/>
                <w:highlight w:val="none"/>
                <w:lang w:eastAsia="zh-CN"/>
              </w:rPr>
            </w:pPr>
            <w:r>
              <w:rPr>
                <w:rFonts w:hint="eastAsia"/>
                <w:color w:val="auto"/>
                <w:highlight w:val="none"/>
                <w:lang w:eastAsia="zh-CN"/>
              </w:rPr>
              <w:t>市场价</w:t>
            </w:r>
          </w:p>
        </w:tc>
      </w:tr>
      <w:tr>
        <w:tblPrEx>
          <w:tblCellMar>
            <w:top w:w="0" w:type="dxa"/>
            <w:left w:w="108" w:type="dxa"/>
            <w:bottom w:w="0" w:type="dxa"/>
            <w:right w:w="108" w:type="dxa"/>
          </w:tblCellMar>
        </w:tblPrEx>
        <w:trPr>
          <w:trHeight w:val="397" w:hRule="atLeast"/>
        </w:trPr>
        <w:tc>
          <w:tcPr>
            <w:tcW w:w="947" w:type="dxa"/>
            <w:tcBorders>
              <w:top w:val="single" w:color="auto" w:sz="6" w:space="0"/>
              <w:left w:val="single" w:color="auto" w:sz="6" w:space="0"/>
              <w:bottom w:val="single" w:color="auto" w:sz="6" w:space="0"/>
              <w:right w:val="single" w:color="auto" w:sz="6" w:space="0"/>
            </w:tcBorders>
            <w:vAlign w:val="center"/>
          </w:tcPr>
          <w:p>
            <w:pPr>
              <w:jc w:val="center"/>
              <w:rPr>
                <w:rFonts w:hint="eastAsia" w:eastAsia="宋体"/>
                <w:color w:val="auto"/>
                <w:highlight w:val="none"/>
                <w:lang w:eastAsia="zh-CN"/>
              </w:rPr>
            </w:pPr>
            <w:r>
              <w:rPr>
                <w:color w:val="auto"/>
                <w:highlight w:val="none"/>
              </w:rPr>
              <w:t>1</w:t>
            </w:r>
            <w:r>
              <w:rPr>
                <w:rFonts w:hint="eastAsia"/>
                <w:color w:val="auto"/>
                <w:highlight w:val="none"/>
                <w:lang w:val="en-US" w:eastAsia="zh-CN"/>
              </w:rPr>
              <w:t>1</w:t>
            </w:r>
          </w:p>
        </w:tc>
        <w:tc>
          <w:tcPr>
            <w:tcW w:w="3000" w:type="dxa"/>
            <w:tcBorders>
              <w:top w:val="single" w:color="auto" w:sz="6" w:space="0"/>
              <w:left w:val="single" w:color="auto" w:sz="6" w:space="0"/>
              <w:bottom w:val="single" w:color="auto" w:sz="6" w:space="0"/>
              <w:right w:val="single" w:color="auto" w:sz="6" w:space="0"/>
            </w:tcBorders>
            <w:vAlign w:val="center"/>
          </w:tcPr>
          <w:p>
            <w:pPr>
              <w:rPr>
                <w:color w:val="auto"/>
                <w:highlight w:val="none"/>
              </w:rPr>
            </w:pPr>
            <w:r>
              <w:rPr>
                <w:rFonts w:hint="eastAsia"/>
                <w:color w:val="auto"/>
                <w:highlight w:val="none"/>
              </w:rPr>
              <w:t>光缆及光缆金具（不含</w:t>
            </w:r>
            <w:r>
              <w:rPr>
                <w:color w:val="auto"/>
                <w:highlight w:val="none"/>
              </w:rPr>
              <w:t>PVC</w:t>
            </w:r>
            <w:r>
              <w:rPr>
                <w:rFonts w:hint="eastAsia"/>
                <w:color w:val="auto"/>
                <w:highlight w:val="none"/>
              </w:rPr>
              <w:t>管、镀锌钢管、构架引下固定抱箍）</w:t>
            </w:r>
          </w:p>
        </w:tc>
        <w:tc>
          <w:tcPr>
            <w:tcW w:w="1107"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143" w:type="dxa"/>
            <w:tcBorders>
              <w:top w:val="single" w:color="auto" w:sz="6" w:space="0"/>
              <w:left w:val="single" w:color="auto" w:sz="6" w:space="0"/>
              <w:bottom w:val="single" w:color="auto" w:sz="6" w:space="0"/>
              <w:right w:val="single" w:color="auto" w:sz="6" w:space="0"/>
            </w:tcBorders>
            <w:vAlign w:val="center"/>
          </w:tcPr>
          <w:p>
            <w:pPr>
              <w:jc w:val="center"/>
              <w:rPr>
                <w:color w:val="auto"/>
                <w:highlight w:val="none"/>
              </w:rPr>
            </w:pPr>
          </w:p>
        </w:tc>
        <w:tc>
          <w:tcPr>
            <w:tcW w:w="1400" w:type="dxa"/>
            <w:tcBorders>
              <w:top w:val="single" w:color="auto" w:sz="6" w:space="0"/>
              <w:left w:val="single" w:color="auto" w:sz="6" w:space="0"/>
              <w:bottom w:val="single" w:color="auto" w:sz="6" w:space="0"/>
              <w:right w:val="single" w:color="auto" w:sz="6" w:space="0"/>
            </w:tcBorders>
            <w:vAlign w:val="center"/>
          </w:tcPr>
          <w:p>
            <w:pPr>
              <w:ind w:firstLine="105" w:firstLineChars="50"/>
              <w:rPr>
                <w:color w:val="auto"/>
                <w:highlight w:val="none"/>
              </w:rPr>
            </w:pPr>
            <w:r>
              <w:rPr>
                <w:rFonts w:hint="eastAsia"/>
                <w:color w:val="auto"/>
                <w:highlight w:val="none"/>
              </w:rPr>
              <w:t>自行统计</w:t>
            </w:r>
          </w:p>
        </w:tc>
        <w:tc>
          <w:tcPr>
            <w:tcW w:w="2483" w:type="dxa"/>
            <w:tcBorders>
              <w:top w:val="single" w:color="auto" w:sz="6" w:space="0"/>
              <w:left w:val="single" w:color="auto" w:sz="6" w:space="0"/>
              <w:bottom w:val="single" w:color="auto" w:sz="6" w:space="0"/>
              <w:right w:val="single" w:color="auto" w:sz="4" w:space="0"/>
            </w:tcBorders>
          </w:tcPr>
          <w:p>
            <w:pPr>
              <w:rPr>
                <w:color w:val="auto"/>
                <w:highlight w:val="none"/>
              </w:rPr>
            </w:pPr>
            <w:r>
              <w:rPr>
                <w:rFonts w:hint="eastAsia"/>
                <w:color w:val="auto"/>
                <w:highlight w:val="none"/>
              </w:rPr>
              <w:t>电力建设工程装置性材料预算价（</w:t>
            </w:r>
            <w:r>
              <w:rPr>
                <w:rFonts w:hint="eastAsia"/>
                <w:color w:val="auto"/>
                <w:highlight w:val="none"/>
                <w:lang w:eastAsia="zh-CN"/>
              </w:rPr>
              <w:t>2018</w:t>
            </w:r>
            <w:r>
              <w:rPr>
                <w:rFonts w:hint="eastAsia"/>
                <w:color w:val="auto"/>
                <w:highlight w:val="none"/>
              </w:rPr>
              <w:t>年版）</w:t>
            </w:r>
          </w:p>
        </w:tc>
      </w:tr>
    </w:tbl>
    <w:p>
      <w:pPr>
        <w:jc w:val="center"/>
        <w:rPr>
          <w:b/>
          <w:color w:val="auto"/>
          <w:highlight w:val="none"/>
        </w:rPr>
      </w:pPr>
    </w:p>
    <w:p>
      <w:pPr>
        <w:jc w:val="center"/>
        <w:rPr>
          <w:b/>
          <w:color w:val="auto"/>
          <w:highlight w:val="none"/>
        </w:rPr>
      </w:pPr>
      <w:r>
        <w:rPr>
          <w:rFonts w:hint="eastAsia"/>
          <w:b/>
          <w:color w:val="auto"/>
          <w:highlight w:val="none"/>
        </w:rPr>
        <w:t>中标人提供的设备、材料清单</w:t>
      </w:r>
    </w:p>
    <w:tbl>
      <w:tblPr>
        <w:tblStyle w:val="12"/>
        <w:tblpPr w:leftFromText="180" w:rightFromText="180" w:vertAnchor="text" w:horzAnchor="margin" w:tblpXSpec="center" w:tblpY="591"/>
        <w:tblW w:w="9854" w:type="dxa"/>
        <w:tblInd w:w="0" w:type="dxa"/>
        <w:tblLayout w:type="fixed"/>
        <w:tblCellMar>
          <w:top w:w="0" w:type="dxa"/>
          <w:left w:w="108" w:type="dxa"/>
          <w:bottom w:w="0" w:type="dxa"/>
          <w:right w:w="108" w:type="dxa"/>
        </w:tblCellMar>
      </w:tblPr>
      <w:tblGrid>
        <w:gridCol w:w="946"/>
        <w:gridCol w:w="2907"/>
        <w:gridCol w:w="1521"/>
        <w:gridCol w:w="1149"/>
        <w:gridCol w:w="1309"/>
        <w:gridCol w:w="2022"/>
      </w:tblGrid>
      <w:tr>
        <w:tblPrEx>
          <w:tblCellMar>
            <w:top w:w="0" w:type="dxa"/>
            <w:left w:w="108" w:type="dxa"/>
            <w:bottom w:w="0" w:type="dxa"/>
            <w:right w:w="108" w:type="dxa"/>
          </w:tblCellMar>
        </w:tblPrEx>
        <w:trPr>
          <w:trHeight w:val="397" w:hRule="atLeast"/>
          <w:tblHeader/>
        </w:trPr>
        <w:tc>
          <w:tcPr>
            <w:tcW w:w="946"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序号</w:t>
            </w:r>
          </w:p>
        </w:tc>
        <w:tc>
          <w:tcPr>
            <w:tcW w:w="2907"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设备、材料名称</w:t>
            </w:r>
          </w:p>
        </w:tc>
        <w:tc>
          <w:tcPr>
            <w:tcW w:w="1521"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规格型号</w:t>
            </w:r>
          </w:p>
        </w:tc>
        <w:tc>
          <w:tcPr>
            <w:tcW w:w="114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单位</w:t>
            </w:r>
          </w:p>
        </w:tc>
        <w:tc>
          <w:tcPr>
            <w:tcW w:w="1309"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数量</w:t>
            </w:r>
          </w:p>
        </w:tc>
        <w:tc>
          <w:tcPr>
            <w:tcW w:w="2022" w:type="dxa"/>
            <w:tcBorders>
              <w:top w:val="single" w:color="auto" w:sz="8" w:space="0"/>
              <w:left w:val="nil"/>
              <w:bottom w:val="single" w:color="auto" w:sz="4" w:space="0"/>
              <w:right w:val="single" w:color="auto" w:sz="4" w:space="0"/>
            </w:tcBorders>
            <w:vAlign w:val="center"/>
          </w:tcPr>
          <w:p>
            <w:pPr>
              <w:widowControl/>
              <w:jc w:val="center"/>
              <w:rPr>
                <w:rFonts w:ascii="宋体" w:hAnsi="宋体"/>
                <w:b/>
                <w:color w:val="auto"/>
                <w:kern w:val="0"/>
                <w:highlight w:val="none"/>
              </w:rPr>
            </w:pPr>
            <w:r>
              <w:rPr>
                <w:rFonts w:hint="eastAsia" w:ascii="宋体" w:hAnsi="宋体"/>
                <w:b/>
                <w:color w:val="auto"/>
                <w:kern w:val="0"/>
                <w:highlight w:val="none"/>
              </w:rPr>
              <w:t>单价（元）</w:t>
            </w: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widowControl/>
              <w:jc w:val="center"/>
              <w:rPr>
                <w:rFonts w:ascii="宋体" w:hAnsi="宋体"/>
                <w:color w:val="auto"/>
                <w:kern w:val="0"/>
                <w:highlight w:val="none"/>
              </w:rPr>
            </w:pPr>
            <w:r>
              <w:rPr>
                <w:rFonts w:hint="eastAsia" w:ascii="宋体" w:hAnsi="宋体"/>
                <w:color w:val="auto"/>
                <w:kern w:val="0"/>
                <w:highlight w:val="none"/>
              </w:rPr>
              <w:t>一</w:t>
            </w:r>
          </w:p>
        </w:tc>
        <w:tc>
          <w:tcPr>
            <w:tcW w:w="2907"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设备部分</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2907" w:type="dxa"/>
            <w:tcBorders>
              <w:top w:val="nil"/>
              <w:left w:val="nil"/>
              <w:bottom w:val="single" w:color="auto" w:sz="4" w:space="0"/>
              <w:right w:val="single" w:color="auto" w:sz="4" w:space="0"/>
            </w:tcBorders>
            <w:vAlign w:val="center"/>
          </w:tcPr>
          <w:p>
            <w:pPr>
              <w:rPr>
                <w:color w:val="auto"/>
                <w:highlight w:val="none"/>
              </w:rPr>
            </w:pPr>
            <w:r>
              <w:rPr>
                <w:rFonts w:hint="eastAsia"/>
                <w:color w:val="auto"/>
                <w:highlight w:val="none"/>
              </w:rPr>
              <w:t>无</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jc w:val="center"/>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widowControl/>
              <w:spacing w:line="360" w:lineRule="auto"/>
              <w:jc w:val="right"/>
              <w:rPr>
                <w:color w:val="auto"/>
                <w:highlight w:val="none"/>
              </w:rPr>
            </w:pPr>
          </w:p>
        </w:tc>
      </w:tr>
      <w:tr>
        <w:tblPrEx>
          <w:tblCellMar>
            <w:top w:w="0" w:type="dxa"/>
            <w:left w:w="108" w:type="dxa"/>
            <w:bottom w:w="0" w:type="dxa"/>
            <w:right w:w="108" w:type="dxa"/>
          </w:tblCellMar>
        </w:tblPrEx>
        <w:trPr>
          <w:cantSplit/>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r>
              <w:rPr>
                <w:rFonts w:hint="eastAsia"/>
                <w:color w:val="auto"/>
                <w:highlight w:val="none"/>
              </w:rPr>
              <w:t>二</w:t>
            </w:r>
          </w:p>
        </w:tc>
        <w:tc>
          <w:tcPr>
            <w:tcW w:w="2907" w:type="dxa"/>
            <w:tcBorders>
              <w:top w:val="nil"/>
              <w:left w:val="nil"/>
              <w:bottom w:val="single" w:color="auto" w:sz="4" w:space="0"/>
              <w:right w:val="single" w:color="auto" w:sz="4" w:space="0"/>
            </w:tcBorders>
            <w:vAlign w:val="center"/>
          </w:tcPr>
          <w:p>
            <w:pPr>
              <w:snapToGrid w:val="0"/>
              <w:rPr>
                <w:color w:val="auto"/>
                <w:highlight w:val="none"/>
              </w:rPr>
            </w:pPr>
            <w:r>
              <w:rPr>
                <w:rFonts w:hint="eastAsia"/>
                <w:color w:val="auto"/>
                <w:highlight w:val="none"/>
              </w:rPr>
              <w:t>材料部分</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ind w:firstLine="308" w:firstLineChars="147"/>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ind w:firstLine="617" w:firstLineChars="294"/>
              <w:jc w:val="right"/>
              <w:rPr>
                <w:color w:val="auto"/>
                <w:highlight w:val="none"/>
              </w:rPr>
            </w:pPr>
          </w:p>
        </w:tc>
      </w:tr>
      <w:tr>
        <w:tblPrEx>
          <w:tblCellMar>
            <w:top w:w="0" w:type="dxa"/>
            <w:left w:w="108" w:type="dxa"/>
            <w:bottom w:w="0" w:type="dxa"/>
            <w:right w:w="108" w:type="dxa"/>
          </w:tblCellMar>
        </w:tblPrEx>
        <w:trPr>
          <w:trHeight w:val="397" w:hRule="atLeast"/>
        </w:trPr>
        <w:tc>
          <w:tcPr>
            <w:tcW w:w="946" w:type="dxa"/>
            <w:tcBorders>
              <w:top w:val="nil"/>
              <w:left w:val="single" w:color="auto" w:sz="8" w:space="0"/>
              <w:bottom w:val="single" w:color="auto" w:sz="4" w:space="0"/>
              <w:right w:val="single" w:color="auto" w:sz="4" w:space="0"/>
            </w:tcBorders>
            <w:vAlign w:val="center"/>
          </w:tcPr>
          <w:p>
            <w:pPr>
              <w:jc w:val="center"/>
              <w:rPr>
                <w:color w:val="auto"/>
                <w:highlight w:val="none"/>
              </w:rPr>
            </w:pPr>
          </w:p>
        </w:tc>
        <w:tc>
          <w:tcPr>
            <w:tcW w:w="2907" w:type="dxa"/>
            <w:tcBorders>
              <w:top w:val="nil"/>
              <w:left w:val="nil"/>
              <w:bottom w:val="single" w:color="auto" w:sz="4" w:space="0"/>
              <w:right w:val="single" w:color="auto" w:sz="4" w:space="0"/>
            </w:tcBorders>
            <w:vAlign w:val="center"/>
          </w:tcPr>
          <w:p>
            <w:pPr>
              <w:snapToGrid w:val="0"/>
              <w:rPr>
                <w:color w:val="auto"/>
                <w:highlight w:val="none"/>
              </w:rPr>
            </w:pPr>
            <w:r>
              <w:rPr>
                <w:rFonts w:hint="eastAsia"/>
                <w:color w:val="auto"/>
                <w:highlight w:val="none"/>
              </w:rPr>
              <w:t>除招标人购买外的所有材料</w:t>
            </w:r>
          </w:p>
        </w:tc>
        <w:tc>
          <w:tcPr>
            <w:tcW w:w="1521" w:type="dxa"/>
            <w:tcBorders>
              <w:top w:val="nil"/>
              <w:left w:val="nil"/>
              <w:bottom w:val="single" w:color="auto" w:sz="4" w:space="0"/>
              <w:right w:val="single" w:color="auto" w:sz="4" w:space="0"/>
            </w:tcBorders>
            <w:vAlign w:val="center"/>
          </w:tcPr>
          <w:p>
            <w:pPr>
              <w:widowControl/>
              <w:snapToGrid w:val="0"/>
              <w:jc w:val="center"/>
              <w:rPr>
                <w:color w:val="auto"/>
                <w:kern w:val="0"/>
                <w:highlight w:val="none"/>
              </w:rPr>
            </w:pPr>
          </w:p>
        </w:tc>
        <w:tc>
          <w:tcPr>
            <w:tcW w:w="1149" w:type="dxa"/>
            <w:tcBorders>
              <w:top w:val="nil"/>
              <w:left w:val="nil"/>
              <w:bottom w:val="single" w:color="auto" w:sz="4" w:space="0"/>
              <w:right w:val="single" w:color="auto" w:sz="4" w:space="0"/>
            </w:tcBorders>
            <w:vAlign w:val="center"/>
          </w:tcPr>
          <w:p>
            <w:pPr>
              <w:widowControl/>
              <w:spacing w:line="360" w:lineRule="auto"/>
              <w:jc w:val="center"/>
              <w:rPr>
                <w:color w:val="auto"/>
                <w:highlight w:val="none"/>
              </w:rPr>
            </w:pPr>
          </w:p>
        </w:tc>
        <w:tc>
          <w:tcPr>
            <w:tcW w:w="1309" w:type="dxa"/>
            <w:tcBorders>
              <w:top w:val="nil"/>
              <w:left w:val="nil"/>
              <w:bottom w:val="single" w:color="auto" w:sz="4" w:space="0"/>
              <w:right w:val="single" w:color="auto" w:sz="4" w:space="0"/>
            </w:tcBorders>
            <w:vAlign w:val="center"/>
          </w:tcPr>
          <w:p>
            <w:pPr>
              <w:jc w:val="center"/>
              <w:rPr>
                <w:color w:val="auto"/>
                <w:highlight w:val="none"/>
              </w:rPr>
            </w:pPr>
          </w:p>
        </w:tc>
        <w:tc>
          <w:tcPr>
            <w:tcW w:w="2022" w:type="dxa"/>
            <w:tcBorders>
              <w:top w:val="nil"/>
              <w:left w:val="nil"/>
              <w:bottom w:val="single" w:color="auto" w:sz="4" w:space="0"/>
              <w:right w:val="single" w:color="auto" w:sz="4" w:space="0"/>
            </w:tcBorders>
            <w:vAlign w:val="center"/>
          </w:tcPr>
          <w:p>
            <w:pPr>
              <w:ind w:right="-107" w:rightChars="-51"/>
              <w:rPr>
                <w:color w:val="auto"/>
                <w:highlight w:val="none"/>
              </w:rPr>
            </w:pPr>
          </w:p>
        </w:tc>
      </w:tr>
    </w:tbl>
    <w:p>
      <w:pPr>
        <w:jc w:val="center"/>
        <w:rPr>
          <w:b/>
          <w:color w:val="auto"/>
          <w:highlight w:val="none"/>
        </w:rPr>
      </w:pPr>
    </w:p>
    <w:p>
      <w:pPr>
        <w:rPr>
          <w:rFonts w:hint="eastAsia"/>
          <w:color w:val="auto"/>
          <w:highlight w:val="none"/>
        </w:rPr>
      </w:pPr>
      <w:r>
        <w:rPr>
          <w:rFonts w:hint="eastAsia" w:ascii="宋体" w:hAnsi="宋体"/>
          <w:color w:val="auto"/>
          <w:highlight w:val="none"/>
        </w:rPr>
        <w:t>说明：1、设备、材料按</w:t>
      </w:r>
      <w:r>
        <w:rPr>
          <w:rFonts w:hint="eastAsia" w:ascii="宋体" w:hAnsi="宋体"/>
          <w:color w:val="auto"/>
          <w:highlight w:val="none"/>
          <w:u w:val="single"/>
        </w:rPr>
        <w:t>、《电网工程建设预算编制与计算规定》</w:t>
      </w:r>
      <w:r>
        <w:rPr>
          <w:rFonts w:hint="eastAsia"/>
          <w:color w:val="auto"/>
          <w:highlight w:val="none"/>
        </w:rPr>
        <w:t>（201</w:t>
      </w:r>
      <w:r>
        <w:rPr>
          <w:rFonts w:hint="eastAsia"/>
          <w:color w:val="auto"/>
          <w:highlight w:val="none"/>
          <w:lang w:val="en-US" w:eastAsia="zh-CN"/>
        </w:rPr>
        <w:t>8</w:t>
      </w:r>
      <w:r>
        <w:rPr>
          <w:rFonts w:hint="eastAsia"/>
          <w:color w:val="auto"/>
          <w:highlight w:val="none"/>
        </w:rPr>
        <w:t>年版）划分。</w:t>
      </w:r>
    </w:p>
    <w:p>
      <w:pPr>
        <w:ind w:firstLine="735" w:firstLineChars="350"/>
        <w:rPr>
          <w:rFonts w:hint="eastAsia" w:eastAsia="宋体"/>
          <w:color w:val="auto"/>
          <w:highlight w:val="none"/>
          <w:lang w:eastAsia="zh-CN"/>
        </w:rPr>
      </w:pPr>
      <w:r>
        <w:rPr>
          <w:rFonts w:hint="eastAsia"/>
          <w:color w:val="auto"/>
          <w:highlight w:val="none"/>
        </w:rPr>
        <w:t>2、</w:t>
      </w:r>
      <w:r>
        <w:rPr>
          <w:rFonts w:hint="eastAsia"/>
          <w:color w:val="auto"/>
          <w:highlight w:val="none"/>
          <w:lang w:eastAsia="zh-CN"/>
        </w:rPr>
        <w:t>新建变电站的</w:t>
      </w:r>
      <w:r>
        <w:rPr>
          <w:rFonts w:hint="eastAsia"/>
          <w:color w:val="auto"/>
          <w:highlight w:val="none"/>
        </w:rPr>
        <w:t>五防系统、二次系统安全防护</w:t>
      </w:r>
      <w:r>
        <w:rPr>
          <w:rFonts w:hint="eastAsia"/>
          <w:color w:val="auto"/>
          <w:highlight w:val="none"/>
          <w:lang w:eastAsia="zh-CN"/>
        </w:rPr>
        <w:t>、</w:t>
      </w:r>
      <w:r>
        <w:rPr>
          <w:rFonts w:hint="eastAsia"/>
          <w:color w:val="auto"/>
          <w:highlight w:val="none"/>
        </w:rPr>
        <w:t>图像监视及安全防护系统</w:t>
      </w:r>
      <w:r>
        <w:rPr>
          <w:rFonts w:hint="eastAsia"/>
          <w:color w:val="auto"/>
          <w:highlight w:val="none"/>
          <w:lang w:eastAsia="zh-CN"/>
        </w:rPr>
        <w:t>、</w:t>
      </w:r>
      <w:r>
        <w:rPr>
          <w:rFonts w:hint="eastAsia"/>
          <w:color w:val="auto"/>
          <w:highlight w:val="none"/>
        </w:rPr>
        <w:t>电子围栏由招标人提供厂家安装调试，中标单位配合、协调。</w:t>
      </w:r>
      <w:r>
        <w:rPr>
          <w:rFonts w:hint="eastAsia"/>
          <w:color w:val="auto"/>
          <w:highlight w:val="none"/>
          <w:lang w:eastAsia="zh-CN"/>
        </w:rPr>
        <w:t>主变消防、火灾报警系统、感温消防系统计入土建工程。</w:t>
      </w:r>
    </w:p>
    <w:p>
      <w:pPr>
        <w:ind w:firstLine="735" w:firstLineChars="350"/>
        <w:rPr>
          <w:rFonts w:hint="eastAsia"/>
          <w:color w:val="auto"/>
          <w:highlight w:val="none"/>
        </w:rPr>
      </w:pPr>
      <w:r>
        <w:rPr>
          <w:rFonts w:hint="eastAsia" w:ascii="宋体" w:hAnsi="宋体"/>
          <w:color w:val="auto"/>
          <w:highlight w:val="none"/>
        </w:rPr>
        <w:t>3、招标人提供的</w:t>
      </w:r>
      <w:r>
        <w:rPr>
          <w:rFonts w:hint="eastAsia"/>
          <w:color w:val="auto"/>
          <w:highlight w:val="none"/>
        </w:rPr>
        <w:t>变电站钢结构包含：钢母线构架、钢进出线构架、钢主变构架（前述构架均包含横梁、横梁走道、地线柱、爬梯、柱上避雷针）、独立避雷针塔及配套连接件（如包箍、螺栓等）、钢设备支架。</w:t>
      </w:r>
    </w:p>
    <w:p>
      <w:pPr>
        <w:pStyle w:val="4"/>
        <w:ind w:left="0" w:leftChars="0" w:firstLine="638" w:firstLineChars="304"/>
        <w:rPr>
          <w:rFonts w:hint="eastAsia" w:ascii="Calibri" w:hAnsi="Calibri" w:eastAsia="宋体" w:cs="Times New Roman"/>
          <w:b w:val="0"/>
          <w:i w:val="0"/>
          <w:color w:val="auto"/>
          <w:kern w:val="2"/>
          <w:sz w:val="21"/>
          <w:szCs w:val="22"/>
          <w:highlight w:val="none"/>
          <w:lang w:val="en-US" w:eastAsia="zh-CN" w:bidi="ar-SA"/>
        </w:rPr>
      </w:pPr>
      <w:r>
        <w:rPr>
          <w:rFonts w:hint="eastAsia" w:ascii="Calibri" w:hAnsi="Calibri" w:cs="Times New Roman"/>
          <w:b w:val="0"/>
          <w:i w:val="0"/>
          <w:color w:val="auto"/>
          <w:kern w:val="2"/>
          <w:sz w:val="21"/>
          <w:szCs w:val="22"/>
          <w:highlight w:val="none"/>
          <w:lang w:val="en-US" w:eastAsia="zh-CN" w:bidi="ar-SA"/>
        </w:rPr>
        <w:t>4、变电站、线路混凝土采用商品混凝土。</w:t>
      </w:r>
    </w:p>
    <w:p>
      <w:pPr>
        <w:pStyle w:val="4"/>
        <w:ind w:firstLine="630" w:firstLineChars="300"/>
        <w:rPr>
          <w:rFonts w:hint="eastAsia" w:ascii="Calibri" w:hAnsi="Calibri" w:eastAsia="宋体" w:cs="Times New Roman"/>
          <w:b w:val="0"/>
          <w:i w:val="0"/>
          <w:color w:val="auto"/>
          <w:kern w:val="2"/>
          <w:sz w:val="21"/>
          <w:szCs w:val="22"/>
          <w:highlight w:val="none"/>
          <w:lang w:val="en-US" w:eastAsia="zh-CN" w:bidi="ar-SA"/>
        </w:rPr>
      </w:pPr>
      <w:r>
        <w:rPr>
          <w:rFonts w:hint="eastAsia" w:ascii="Calibri" w:hAnsi="Calibri" w:eastAsia="宋体" w:cs="Times New Roman"/>
          <w:b w:val="0"/>
          <w:i w:val="0"/>
          <w:color w:val="auto"/>
          <w:kern w:val="2"/>
          <w:sz w:val="21"/>
          <w:szCs w:val="22"/>
          <w:highlight w:val="none"/>
          <w:lang w:val="en-US" w:eastAsia="zh-CN" w:bidi="ar-SA"/>
        </w:rPr>
        <w:t>5、变电站对侧间隔涉及间隔施工或间隔调换时，考虑不连续停电时产生多次进退场费用和办理工作票手续。间隔扩建围挡措施费用按南网相关要求在报价考虑。</w:t>
      </w:r>
    </w:p>
    <w:p>
      <w:pPr>
        <w:rPr>
          <w:color w:val="auto"/>
          <w:highlight w:val="none"/>
        </w:rPr>
      </w:pPr>
    </w:p>
    <w:p>
      <w:pPr>
        <w:pStyle w:val="9"/>
        <w:spacing w:line="480" w:lineRule="atLeast"/>
        <w:ind w:firstLine="400" w:firstLineChars="200"/>
        <w:rPr>
          <w:rFonts w:asciiTheme="minorEastAsia" w:hAnsiTheme="minorEastAsia" w:eastAsiaTheme="minorEastAsia" w:cstheme="minorEastAsia"/>
          <w:color w:val="auto"/>
          <w:highlight w:val="none"/>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zMjRjMzgzMGExNzhlMDMzYjZmMWRlNTNhN2EyYmEifQ=="/>
  </w:docVars>
  <w:rsids>
    <w:rsidRoot w:val="24F737D8"/>
    <w:rsid w:val="00091271"/>
    <w:rsid w:val="000A7CBB"/>
    <w:rsid w:val="000F42B1"/>
    <w:rsid w:val="00112A8E"/>
    <w:rsid w:val="00190408"/>
    <w:rsid w:val="0023098E"/>
    <w:rsid w:val="003B7D6B"/>
    <w:rsid w:val="003E7138"/>
    <w:rsid w:val="00412403"/>
    <w:rsid w:val="004213E6"/>
    <w:rsid w:val="00440B54"/>
    <w:rsid w:val="00622200"/>
    <w:rsid w:val="00777E57"/>
    <w:rsid w:val="008758C2"/>
    <w:rsid w:val="0090028B"/>
    <w:rsid w:val="00955646"/>
    <w:rsid w:val="009D1521"/>
    <w:rsid w:val="00A2322B"/>
    <w:rsid w:val="00A336BB"/>
    <w:rsid w:val="00A36BED"/>
    <w:rsid w:val="00AE688B"/>
    <w:rsid w:val="00B214E2"/>
    <w:rsid w:val="00BA5350"/>
    <w:rsid w:val="00BE5E60"/>
    <w:rsid w:val="00C50390"/>
    <w:rsid w:val="00CD6CD6"/>
    <w:rsid w:val="00D65963"/>
    <w:rsid w:val="00E1111E"/>
    <w:rsid w:val="013A3DC1"/>
    <w:rsid w:val="0184766A"/>
    <w:rsid w:val="024979FC"/>
    <w:rsid w:val="03253AD9"/>
    <w:rsid w:val="033C5273"/>
    <w:rsid w:val="034545F5"/>
    <w:rsid w:val="03691A45"/>
    <w:rsid w:val="043F2D6C"/>
    <w:rsid w:val="044760AD"/>
    <w:rsid w:val="04A24F71"/>
    <w:rsid w:val="04DF0AC5"/>
    <w:rsid w:val="058B6394"/>
    <w:rsid w:val="068542C7"/>
    <w:rsid w:val="06A27F4F"/>
    <w:rsid w:val="08494631"/>
    <w:rsid w:val="08645533"/>
    <w:rsid w:val="087264AB"/>
    <w:rsid w:val="090F1A12"/>
    <w:rsid w:val="09322D63"/>
    <w:rsid w:val="0A977E8C"/>
    <w:rsid w:val="0B3141D5"/>
    <w:rsid w:val="0B672457"/>
    <w:rsid w:val="0BB537D7"/>
    <w:rsid w:val="0BC07002"/>
    <w:rsid w:val="0DD044AC"/>
    <w:rsid w:val="0F03036B"/>
    <w:rsid w:val="0F104A05"/>
    <w:rsid w:val="0FC2396C"/>
    <w:rsid w:val="0FD9067C"/>
    <w:rsid w:val="0FD92E79"/>
    <w:rsid w:val="116419AD"/>
    <w:rsid w:val="11DF6CFE"/>
    <w:rsid w:val="123A1577"/>
    <w:rsid w:val="127343EE"/>
    <w:rsid w:val="12B07C64"/>
    <w:rsid w:val="12FF6DF7"/>
    <w:rsid w:val="133A552B"/>
    <w:rsid w:val="13714F82"/>
    <w:rsid w:val="13795741"/>
    <w:rsid w:val="143B106B"/>
    <w:rsid w:val="14440D4B"/>
    <w:rsid w:val="14B34759"/>
    <w:rsid w:val="15056A61"/>
    <w:rsid w:val="15FA4D6F"/>
    <w:rsid w:val="16106B6F"/>
    <w:rsid w:val="16A0541A"/>
    <w:rsid w:val="16BF0CE9"/>
    <w:rsid w:val="178C2662"/>
    <w:rsid w:val="18283DB5"/>
    <w:rsid w:val="18E57496"/>
    <w:rsid w:val="198D36A0"/>
    <w:rsid w:val="19A47512"/>
    <w:rsid w:val="1A5F42E8"/>
    <w:rsid w:val="1B0027F2"/>
    <w:rsid w:val="1B493CA1"/>
    <w:rsid w:val="1B663F82"/>
    <w:rsid w:val="1BCF12AB"/>
    <w:rsid w:val="1C0853FF"/>
    <w:rsid w:val="1C66719F"/>
    <w:rsid w:val="1C6770A4"/>
    <w:rsid w:val="1D035E8E"/>
    <w:rsid w:val="1D302590"/>
    <w:rsid w:val="1D347AA1"/>
    <w:rsid w:val="1DBB07FC"/>
    <w:rsid w:val="1FFD1B5A"/>
    <w:rsid w:val="216E05FF"/>
    <w:rsid w:val="216F4D5B"/>
    <w:rsid w:val="21B7528E"/>
    <w:rsid w:val="22A22622"/>
    <w:rsid w:val="22C9772D"/>
    <w:rsid w:val="22CE0F1E"/>
    <w:rsid w:val="23375FD0"/>
    <w:rsid w:val="23493114"/>
    <w:rsid w:val="24F737D8"/>
    <w:rsid w:val="24FA01A3"/>
    <w:rsid w:val="250E3472"/>
    <w:rsid w:val="258726B8"/>
    <w:rsid w:val="268A683B"/>
    <w:rsid w:val="26B04304"/>
    <w:rsid w:val="28410FC0"/>
    <w:rsid w:val="28A82E7F"/>
    <w:rsid w:val="29723A90"/>
    <w:rsid w:val="29AF6870"/>
    <w:rsid w:val="2A275996"/>
    <w:rsid w:val="2AA81A14"/>
    <w:rsid w:val="2AE870D2"/>
    <w:rsid w:val="2B554757"/>
    <w:rsid w:val="2C632F02"/>
    <w:rsid w:val="2D7C04DA"/>
    <w:rsid w:val="2DD47324"/>
    <w:rsid w:val="2F7702FA"/>
    <w:rsid w:val="2FB4171B"/>
    <w:rsid w:val="2FF65FF8"/>
    <w:rsid w:val="300D195C"/>
    <w:rsid w:val="30B7427A"/>
    <w:rsid w:val="30BF37B5"/>
    <w:rsid w:val="30C54B2D"/>
    <w:rsid w:val="31802096"/>
    <w:rsid w:val="31D56B9B"/>
    <w:rsid w:val="31EC4121"/>
    <w:rsid w:val="32160C9D"/>
    <w:rsid w:val="328469EE"/>
    <w:rsid w:val="33F7102F"/>
    <w:rsid w:val="34A0229E"/>
    <w:rsid w:val="34DB3A8C"/>
    <w:rsid w:val="35345AB2"/>
    <w:rsid w:val="356215B7"/>
    <w:rsid w:val="360C79E0"/>
    <w:rsid w:val="361736AD"/>
    <w:rsid w:val="368C6665"/>
    <w:rsid w:val="36D200CF"/>
    <w:rsid w:val="374113CA"/>
    <w:rsid w:val="3787773E"/>
    <w:rsid w:val="37A2424E"/>
    <w:rsid w:val="38003867"/>
    <w:rsid w:val="38382DC3"/>
    <w:rsid w:val="38DE045C"/>
    <w:rsid w:val="392F6A31"/>
    <w:rsid w:val="39641C44"/>
    <w:rsid w:val="39F65035"/>
    <w:rsid w:val="3A194F7C"/>
    <w:rsid w:val="3AE554F9"/>
    <w:rsid w:val="3B8961AA"/>
    <w:rsid w:val="3C140B80"/>
    <w:rsid w:val="3C4A35F1"/>
    <w:rsid w:val="3D7F46E7"/>
    <w:rsid w:val="3DD30FDC"/>
    <w:rsid w:val="3F2F0BC9"/>
    <w:rsid w:val="40343218"/>
    <w:rsid w:val="41151ED8"/>
    <w:rsid w:val="414B09E3"/>
    <w:rsid w:val="41823C87"/>
    <w:rsid w:val="41AB5C97"/>
    <w:rsid w:val="41C90B45"/>
    <w:rsid w:val="41E70043"/>
    <w:rsid w:val="42626D3C"/>
    <w:rsid w:val="42986F7C"/>
    <w:rsid w:val="43B06F1C"/>
    <w:rsid w:val="44391BC3"/>
    <w:rsid w:val="44D414C9"/>
    <w:rsid w:val="451A7D17"/>
    <w:rsid w:val="4540147D"/>
    <w:rsid w:val="45D34DED"/>
    <w:rsid w:val="45D35852"/>
    <w:rsid w:val="46472D5E"/>
    <w:rsid w:val="46F446A0"/>
    <w:rsid w:val="479D507A"/>
    <w:rsid w:val="481E3969"/>
    <w:rsid w:val="48712BDD"/>
    <w:rsid w:val="48F22A85"/>
    <w:rsid w:val="49D82FA3"/>
    <w:rsid w:val="4A206F11"/>
    <w:rsid w:val="4A4C10D5"/>
    <w:rsid w:val="4A4E45A9"/>
    <w:rsid w:val="4A526E87"/>
    <w:rsid w:val="4A6A0819"/>
    <w:rsid w:val="4B3A1BDA"/>
    <w:rsid w:val="4BEA4569"/>
    <w:rsid w:val="4C907AEB"/>
    <w:rsid w:val="4CD941AD"/>
    <w:rsid w:val="4CE11147"/>
    <w:rsid w:val="4DE77722"/>
    <w:rsid w:val="4E040B3D"/>
    <w:rsid w:val="4E143849"/>
    <w:rsid w:val="4E80203C"/>
    <w:rsid w:val="4EDE3B55"/>
    <w:rsid w:val="4F2C595F"/>
    <w:rsid w:val="4FB2334F"/>
    <w:rsid w:val="4FB90FE4"/>
    <w:rsid w:val="503E5180"/>
    <w:rsid w:val="507B3005"/>
    <w:rsid w:val="508323A3"/>
    <w:rsid w:val="508514AE"/>
    <w:rsid w:val="509002CD"/>
    <w:rsid w:val="50F11315"/>
    <w:rsid w:val="50F42938"/>
    <w:rsid w:val="51780BF8"/>
    <w:rsid w:val="52397477"/>
    <w:rsid w:val="52963336"/>
    <w:rsid w:val="52AF182A"/>
    <w:rsid w:val="52E734B9"/>
    <w:rsid w:val="531B5F34"/>
    <w:rsid w:val="54467943"/>
    <w:rsid w:val="55C3156A"/>
    <w:rsid w:val="561A5766"/>
    <w:rsid w:val="56441730"/>
    <w:rsid w:val="567F5C6D"/>
    <w:rsid w:val="56FB3FCC"/>
    <w:rsid w:val="57924C2C"/>
    <w:rsid w:val="57A51812"/>
    <w:rsid w:val="57D34D53"/>
    <w:rsid w:val="585972A0"/>
    <w:rsid w:val="585D160A"/>
    <w:rsid w:val="599A28DF"/>
    <w:rsid w:val="5AA153EC"/>
    <w:rsid w:val="5B294A30"/>
    <w:rsid w:val="5B4B4433"/>
    <w:rsid w:val="5BAD2424"/>
    <w:rsid w:val="5BE86308"/>
    <w:rsid w:val="5C6B3215"/>
    <w:rsid w:val="5E0C7AC0"/>
    <w:rsid w:val="5E4375D6"/>
    <w:rsid w:val="5E5D4679"/>
    <w:rsid w:val="6008236C"/>
    <w:rsid w:val="60281AF8"/>
    <w:rsid w:val="60844970"/>
    <w:rsid w:val="608606DE"/>
    <w:rsid w:val="60B805C5"/>
    <w:rsid w:val="613F5703"/>
    <w:rsid w:val="6170729B"/>
    <w:rsid w:val="61D36434"/>
    <w:rsid w:val="621344E6"/>
    <w:rsid w:val="621846B3"/>
    <w:rsid w:val="62643571"/>
    <w:rsid w:val="62950C94"/>
    <w:rsid w:val="63890ED3"/>
    <w:rsid w:val="63E87D28"/>
    <w:rsid w:val="63EB3236"/>
    <w:rsid w:val="63F225BB"/>
    <w:rsid w:val="64615011"/>
    <w:rsid w:val="64F91745"/>
    <w:rsid w:val="650C1BC9"/>
    <w:rsid w:val="65724E03"/>
    <w:rsid w:val="65B20579"/>
    <w:rsid w:val="66C35559"/>
    <w:rsid w:val="67741340"/>
    <w:rsid w:val="68A76ED8"/>
    <w:rsid w:val="68DA5CAE"/>
    <w:rsid w:val="69181246"/>
    <w:rsid w:val="697C1D25"/>
    <w:rsid w:val="699B2AD1"/>
    <w:rsid w:val="69A00111"/>
    <w:rsid w:val="6A1C7171"/>
    <w:rsid w:val="6A287B5E"/>
    <w:rsid w:val="6AB45AC5"/>
    <w:rsid w:val="6B303A1A"/>
    <w:rsid w:val="6B5A2734"/>
    <w:rsid w:val="6B784BF4"/>
    <w:rsid w:val="6C754655"/>
    <w:rsid w:val="6CF50B56"/>
    <w:rsid w:val="6D091F3E"/>
    <w:rsid w:val="6D0A582E"/>
    <w:rsid w:val="6D976A56"/>
    <w:rsid w:val="6DAA2FDF"/>
    <w:rsid w:val="6E121228"/>
    <w:rsid w:val="6F023E1C"/>
    <w:rsid w:val="6F34573F"/>
    <w:rsid w:val="70D1495F"/>
    <w:rsid w:val="712F4423"/>
    <w:rsid w:val="71905428"/>
    <w:rsid w:val="71E31ABA"/>
    <w:rsid w:val="7261253D"/>
    <w:rsid w:val="72AD7C92"/>
    <w:rsid w:val="73BE6858"/>
    <w:rsid w:val="7507576B"/>
    <w:rsid w:val="764778A3"/>
    <w:rsid w:val="779B259C"/>
    <w:rsid w:val="77EC64D4"/>
    <w:rsid w:val="78874A55"/>
    <w:rsid w:val="78A142E8"/>
    <w:rsid w:val="78B05F2F"/>
    <w:rsid w:val="79167152"/>
    <w:rsid w:val="7BFA1F37"/>
    <w:rsid w:val="7CA66DD0"/>
    <w:rsid w:val="7E317475"/>
    <w:rsid w:val="7E3420E0"/>
    <w:rsid w:val="7EC620E9"/>
    <w:rsid w:val="7F686F90"/>
    <w:rsid w:val="7F6B1975"/>
    <w:rsid w:val="7F911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customStyle="1" w:styleId="2">
    <w:name w:val="目录 21"/>
    <w:basedOn w:val="1"/>
    <w:next w:val="1"/>
    <w:qFormat/>
    <w:uiPriority w:val="0"/>
    <w:pPr>
      <w:spacing w:before="100" w:beforeAutospacing="1" w:after="100" w:afterAutospacing="1"/>
      <w:ind w:left="420" w:leftChars="200"/>
    </w:pPr>
  </w:style>
  <w:style w:type="paragraph" w:styleId="5">
    <w:name w:val="Normal Indent"/>
    <w:basedOn w:val="1"/>
    <w:qFormat/>
    <w:uiPriority w:val="0"/>
    <w:pPr>
      <w:ind w:firstLine="420"/>
    </w:pPr>
    <w:rPr>
      <w:rFonts w:ascii="Times New Roman" w:hAnsi="Times New Roman"/>
      <w:kern w:val="0"/>
      <w:sz w:val="20"/>
      <w:szCs w:val="20"/>
    </w:rPr>
  </w:style>
  <w:style w:type="paragraph" w:styleId="6">
    <w:name w:val="Body Text"/>
    <w:basedOn w:val="1"/>
    <w:next w:val="7"/>
    <w:qFormat/>
    <w:uiPriority w:val="0"/>
    <w:pPr>
      <w:spacing w:after="120"/>
    </w:pPr>
  </w:style>
  <w:style w:type="paragraph" w:styleId="7">
    <w:name w:val="Title"/>
    <w:basedOn w:val="1"/>
    <w:next w:val="1"/>
    <w:qFormat/>
    <w:uiPriority w:val="0"/>
    <w:pPr>
      <w:spacing w:before="240" w:after="60"/>
      <w:jc w:val="center"/>
      <w:outlineLvl w:val="0"/>
    </w:pPr>
    <w:rPr>
      <w:rFonts w:ascii="Arial" w:hAnsi="Arial" w:cs="Arial"/>
      <w:b/>
      <w:bCs/>
      <w:sz w:val="32"/>
      <w:szCs w:val="32"/>
    </w:r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kern w:val="0"/>
      <w:sz w:val="20"/>
      <w:szCs w:val="20"/>
    </w:rPr>
  </w:style>
  <w:style w:type="paragraph" w:styleId="10">
    <w:name w:val="footer"/>
    <w:basedOn w:val="1"/>
    <w:link w:val="16"/>
    <w:qFormat/>
    <w:uiPriority w:val="0"/>
    <w:pPr>
      <w:tabs>
        <w:tab w:val="center" w:pos="4153"/>
        <w:tab w:val="right" w:pos="8306"/>
      </w:tabs>
      <w:snapToGrid w:val="0"/>
      <w:jc w:val="left"/>
    </w:pPr>
    <w:rPr>
      <w:sz w:val="18"/>
      <w:szCs w:val="18"/>
    </w:rPr>
  </w:style>
  <w:style w:type="paragraph" w:styleId="11">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Char"/>
    <w:basedOn w:val="14"/>
    <w:link w:val="11"/>
    <w:qFormat/>
    <w:uiPriority w:val="0"/>
    <w:rPr>
      <w:rFonts w:ascii="Calibri" w:hAnsi="Calibri"/>
      <w:kern w:val="2"/>
      <w:sz w:val="18"/>
      <w:szCs w:val="18"/>
    </w:rPr>
  </w:style>
  <w:style w:type="character" w:customStyle="1" w:styleId="16">
    <w:name w:val="页脚 Char"/>
    <w:basedOn w:val="14"/>
    <w:link w:val="10"/>
    <w:qFormat/>
    <w:uiPriority w:val="0"/>
    <w:rPr>
      <w:rFonts w:ascii="Calibri" w:hAnsi="Calibri"/>
      <w:kern w:val="2"/>
      <w:sz w:val="18"/>
      <w:szCs w:val="18"/>
    </w:rPr>
  </w:style>
  <w:style w:type="character" w:customStyle="1" w:styleId="17">
    <w:name w:val="font21"/>
    <w:basedOn w:val="14"/>
    <w:qFormat/>
    <w:uiPriority w:val="0"/>
    <w:rPr>
      <w:rFonts w:hint="eastAsia" w:ascii="宋体" w:hAnsi="宋体" w:eastAsia="宋体" w:cs="宋体"/>
      <w:color w:val="000000"/>
      <w:sz w:val="21"/>
      <w:szCs w:val="21"/>
      <w:u w:val="none"/>
    </w:rPr>
  </w:style>
  <w:style w:type="character" w:customStyle="1" w:styleId="18">
    <w:name w:val="font11"/>
    <w:basedOn w:val="14"/>
    <w:qFormat/>
    <w:uiPriority w:val="0"/>
    <w:rPr>
      <w:rFonts w:hint="eastAsia" w:ascii="宋体" w:hAnsi="宋体" w:eastAsia="宋体" w:cs="宋体"/>
      <w:color w:val="FF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6120</Words>
  <Characters>6600</Characters>
  <Lines>45</Lines>
  <Paragraphs>12</Paragraphs>
  <TotalTime>0</TotalTime>
  <ScaleCrop>false</ScaleCrop>
  <LinksUpToDate>false</LinksUpToDate>
  <CharactersWithSpaces>6680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朱嘉仪</cp:lastModifiedBy>
  <dcterms:modified xsi:type="dcterms:W3CDTF">2024-05-06T06:12:26Z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A06BEDEBA1F948A6A4C31E7D7EABBCF4</vt:lpwstr>
  </property>
</Properties>
</file>