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jc w:val="center"/>
        <w:outlineLvl w:val="0"/>
        <w:rPr>
          <w:rFonts w:hint="eastAsia" w:asciiTheme="minorEastAsia" w:hAnsiTheme="minorEastAsia" w:eastAsiaTheme="minorEastAsia" w:cstheme="minorEastAsia"/>
          <w:b/>
          <w:bCs/>
          <w:snapToGrid w:val="0"/>
          <w:color w:val="auto"/>
          <w:sz w:val="28"/>
          <w:szCs w:val="28"/>
          <w:highlight w:val="none"/>
          <w:lang w:eastAsia="zh-CN"/>
        </w:rPr>
      </w:pPr>
      <w:bookmarkStart w:id="0" w:name="_Toc8445"/>
      <w:r>
        <w:rPr>
          <w:rFonts w:hint="eastAsia" w:asciiTheme="minorEastAsia" w:hAnsiTheme="minorEastAsia" w:eastAsiaTheme="minorEastAsia" w:cstheme="minorEastAsia"/>
          <w:b/>
          <w:bCs/>
          <w:snapToGrid w:val="0"/>
          <w:color w:val="auto"/>
          <w:sz w:val="28"/>
          <w:szCs w:val="28"/>
          <w:highlight w:val="none"/>
        </w:rPr>
        <w:t>标的名称：</w:t>
      </w:r>
      <w:r>
        <w:rPr>
          <w:rFonts w:hint="eastAsia" w:asciiTheme="minorEastAsia" w:hAnsiTheme="minorEastAsia" w:eastAsiaTheme="minorEastAsia" w:cstheme="minorEastAsia"/>
          <w:b/>
          <w:bCs/>
          <w:snapToGrid w:val="0"/>
          <w:color w:val="auto"/>
          <w:sz w:val="28"/>
          <w:szCs w:val="28"/>
          <w:highlight w:val="none"/>
          <w:u w:val="single"/>
        </w:rPr>
        <w:t>标的</w:t>
      </w:r>
      <w:r>
        <w:rPr>
          <w:rFonts w:hint="eastAsia" w:asciiTheme="minorEastAsia" w:hAnsiTheme="minorEastAsia" w:eastAsiaTheme="minorEastAsia" w:cstheme="minorEastAsia"/>
          <w:b/>
          <w:bCs/>
          <w:snapToGrid w:val="0"/>
          <w:color w:val="auto"/>
          <w:sz w:val="28"/>
          <w:szCs w:val="28"/>
          <w:highlight w:val="none"/>
          <w:u w:val="single"/>
          <w:lang w:val="en-US" w:eastAsia="zh-CN"/>
        </w:rPr>
        <w:t>7</w:t>
      </w:r>
    </w:p>
    <w:p>
      <w:pPr>
        <w:pStyle w:val="8"/>
        <w:spacing w:line="360" w:lineRule="auto"/>
        <w:jc w:val="center"/>
        <w:outlineLvl w:val="0"/>
        <w:rPr>
          <w:rFonts w:hint="eastAsia" w:asciiTheme="minorEastAsia" w:hAnsiTheme="minorEastAsia" w:eastAsiaTheme="minorEastAsia" w:cstheme="minorEastAsia"/>
          <w:b/>
          <w:bCs/>
          <w:snapToGrid w:val="0"/>
          <w:color w:val="auto"/>
          <w:sz w:val="28"/>
          <w:szCs w:val="28"/>
          <w:highlight w:val="none"/>
          <w:u w:val="single"/>
        </w:rPr>
      </w:pPr>
      <w:r>
        <w:rPr>
          <w:rFonts w:hint="eastAsia" w:asciiTheme="minorEastAsia" w:hAnsiTheme="minorEastAsia" w:eastAsiaTheme="minorEastAsia" w:cstheme="minorEastAsia"/>
          <w:b/>
          <w:bCs/>
          <w:snapToGrid w:val="0"/>
          <w:color w:val="auto"/>
          <w:sz w:val="28"/>
          <w:szCs w:val="28"/>
          <w:highlight w:val="none"/>
          <w:u w:val="single"/>
        </w:rPr>
        <w:t>标段名称：220千伏</w:t>
      </w:r>
      <w:r>
        <w:rPr>
          <w:rFonts w:hint="eastAsia" w:asciiTheme="minorEastAsia" w:hAnsiTheme="minorEastAsia" w:eastAsiaTheme="minorEastAsia" w:cstheme="minorEastAsia"/>
          <w:b/>
          <w:bCs/>
          <w:snapToGrid w:val="0"/>
          <w:color w:val="auto"/>
          <w:sz w:val="28"/>
          <w:szCs w:val="28"/>
          <w:highlight w:val="none"/>
          <w:u w:val="single"/>
          <w:lang w:val="en-US" w:eastAsia="zh-CN"/>
        </w:rPr>
        <w:t>腾飞至远丰线路</w:t>
      </w:r>
      <w:r>
        <w:rPr>
          <w:rFonts w:hint="eastAsia" w:asciiTheme="minorEastAsia" w:hAnsiTheme="minorEastAsia" w:eastAsiaTheme="minorEastAsia" w:cstheme="minorEastAsia"/>
          <w:b/>
          <w:bCs/>
          <w:snapToGrid w:val="0"/>
          <w:color w:val="auto"/>
          <w:sz w:val="28"/>
          <w:szCs w:val="28"/>
          <w:highlight w:val="none"/>
          <w:u w:val="single"/>
        </w:rPr>
        <w:t>工程施工</w:t>
      </w:r>
    </w:p>
    <w:tbl>
      <w:tblPr>
        <w:tblStyle w:val="13"/>
        <w:tblW w:w="6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263"/>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8"/>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序号</w:t>
            </w:r>
          </w:p>
        </w:tc>
        <w:tc>
          <w:tcPr>
            <w:tcW w:w="2263" w:type="dxa"/>
          </w:tcPr>
          <w:p>
            <w:pPr>
              <w:pStyle w:val="8"/>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名称</w:t>
            </w:r>
          </w:p>
        </w:tc>
        <w:tc>
          <w:tcPr>
            <w:tcW w:w="3574" w:type="dxa"/>
          </w:tcPr>
          <w:p>
            <w:pPr>
              <w:pStyle w:val="8"/>
              <w:spacing w:line="360" w:lineRule="auto"/>
              <w:jc w:val="center"/>
              <w:rPr>
                <w:rFonts w:hint="eastAsia" w:hAnsi="宋体" w:eastAsia="宋体" w:cs="宋体"/>
                <w:b/>
                <w:bCs/>
                <w:snapToGrid w:val="0"/>
                <w:color w:val="auto"/>
                <w:sz w:val="24"/>
                <w:szCs w:val="24"/>
                <w:highlight w:val="none"/>
                <w:lang w:eastAsia="zh-CN"/>
              </w:rPr>
            </w:pPr>
            <w:r>
              <w:rPr>
                <w:rFonts w:hint="eastAsia" w:hAnsi="宋体" w:cs="宋体"/>
                <w:b/>
                <w:bCs/>
                <w:snapToGrid w:val="0"/>
                <w:color w:val="auto"/>
                <w:sz w:val="24"/>
                <w:szCs w:val="24"/>
                <w:highlight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8"/>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1</w:t>
            </w:r>
          </w:p>
        </w:tc>
        <w:tc>
          <w:tcPr>
            <w:tcW w:w="2263" w:type="dxa"/>
            <w:vAlign w:val="top"/>
          </w:tcPr>
          <w:p>
            <w:pPr>
              <w:pStyle w:val="8"/>
              <w:spacing w:line="360" w:lineRule="auto"/>
              <w:jc w:val="center"/>
              <w:rPr>
                <w:rFonts w:ascii="宋体" w:hAnsi="宋体" w:eastAsia="宋体" w:cs="宋体"/>
                <w:b/>
                <w:bCs/>
                <w:color w:val="auto"/>
                <w:kern w:val="0"/>
                <w:sz w:val="21"/>
                <w:szCs w:val="21"/>
                <w:highlight w:val="none"/>
                <w:lang w:val="en-US" w:eastAsia="zh-CN" w:bidi="ar-SA"/>
              </w:rPr>
            </w:pPr>
            <w:r>
              <w:rPr>
                <w:rFonts w:hint="eastAsia" w:hAnsi="宋体" w:cs="宋体"/>
                <w:b/>
                <w:bCs/>
                <w:color w:val="auto"/>
                <w:sz w:val="21"/>
                <w:szCs w:val="21"/>
                <w:highlight w:val="none"/>
              </w:rPr>
              <w:t>项目建设单位</w:t>
            </w:r>
          </w:p>
        </w:tc>
        <w:tc>
          <w:tcPr>
            <w:tcW w:w="3574" w:type="dxa"/>
            <w:vAlign w:val="top"/>
          </w:tcPr>
          <w:p>
            <w:pPr>
              <w:pStyle w:val="8"/>
              <w:spacing w:line="360" w:lineRule="auto"/>
              <w:jc w:val="center"/>
              <w:rPr>
                <w:rFonts w:ascii="宋体" w:hAnsi="宋体" w:eastAsia="宋体" w:cs="宋体"/>
                <w:color w:val="auto"/>
                <w:kern w:val="0"/>
                <w:sz w:val="21"/>
                <w:szCs w:val="21"/>
                <w:highlight w:val="none"/>
                <w:lang w:val="en-US" w:eastAsia="zh-CN" w:bidi="ar-SA"/>
              </w:rPr>
            </w:pPr>
            <w:r>
              <w:rPr>
                <w:rFonts w:hint="eastAsia" w:hAnsi="宋体" w:cs="宋体"/>
                <w:color w:val="auto"/>
                <w:sz w:val="21"/>
                <w:szCs w:val="21"/>
                <w:highlight w:val="none"/>
              </w:rPr>
              <w:t>深圳供电局有限公司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8"/>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2</w:t>
            </w:r>
          </w:p>
        </w:tc>
        <w:tc>
          <w:tcPr>
            <w:tcW w:w="2263" w:type="dxa"/>
            <w:vAlign w:val="top"/>
          </w:tcPr>
          <w:p>
            <w:pPr>
              <w:pStyle w:val="8"/>
              <w:spacing w:line="360" w:lineRule="auto"/>
              <w:jc w:val="center"/>
              <w:rPr>
                <w:rFonts w:ascii="宋体" w:hAnsi="宋体" w:eastAsia="宋体" w:cs="宋体"/>
                <w:b/>
                <w:bCs/>
                <w:color w:val="auto"/>
                <w:kern w:val="0"/>
                <w:sz w:val="21"/>
                <w:szCs w:val="21"/>
                <w:highlight w:val="none"/>
                <w:lang w:val="en-US" w:eastAsia="zh-CN" w:bidi="ar-SA"/>
              </w:rPr>
            </w:pPr>
            <w:r>
              <w:rPr>
                <w:rFonts w:hint="eastAsia" w:hAnsi="宋体" w:cs="宋体"/>
                <w:b/>
                <w:bCs/>
                <w:color w:val="auto"/>
                <w:sz w:val="21"/>
                <w:szCs w:val="21"/>
                <w:highlight w:val="none"/>
              </w:rPr>
              <w:t>项目建设地点</w:t>
            </w:r>
          </w:p>
        </w:tc>
        <w:tc>
          <w:tcPr>
            <w:tcW w:w="3574" w:type="dxa"/>
            <w:vAlign w:val="top"/>
          </w:tcPr>
          <w:p>
            <w:pPr>
              <w:pStyle w:val="8"/>
              <w:spacing w:line="360" w:lineRule="auto"/>
              <w:jc w:val="center"/>
              <w:rPr>
                <w:rFonts w:hint="default" w:ascii="宋体" w:hAnsi="宋体" w:eastAsia="宋体" w:cs="宋体"/>
                <w:color w:val="auto"/>
                <w:kern w:val="0"/>
                <w:sz w:val="21"/>
                <w:szCs w:val="21"/>
                <w:highlight w:val="none"/>
                <w:lang w:val="en-US" w:eastAsia="zh-CN" w:bidi="ar-SA"/>
              </w:rPr>
            </w:pPr>
            <w:r>
              <w:rPr>
                <w:rFonts w:hint="eastAsia" w:hAnsi="宋体" w:cs="宋体"/>
                <w:color w:val="auto"/>
                <w:sz w:val="21"/>
                <w:szCs w:val="21"/>
                <w:highlight w:val="none"/>
                <w:lang w:val="en-US" w:eastAsia="zh-CN"/>
              </w:rPr>
              <w:t>深圳市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8"/>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3</w:t>
            </w:r>
          </w:p>
        </w:tc>
        <w:tc>
          <w:tcPr>
            <w:tcW w:w="2263"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574" w:type="dxa"/>
            <w:vAlign w:val="center"/>
          </w:tcPr>
          <w:p>
            <w:pPr>
              <w:pStyle w:val="8"/>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eastAsia" w:ascii="宋体" w:hAnsi="宋体" w:eastAsia="宋体" w:cs="宋体"/>
                <w:color w:val="auto"/>
                <w:kern w:val="0"/>
                <w:sz w:val="21"/>
                <w:szCs w:val="21"/>
                <w:highlight w:val="none"/>
                <w:lang w:val="en-US" w:eastAsia="zh-CN" w:bidi="ar-SA"/>
              </w:rPr>
            </w:pPr>
            <w:r>
              <w:rPr>
                <w:rFonts w:ascii="宋体" w:hAnsi="宋体" w:eastAsia="宋体" w:cs="宋体"/>
                <w:color w:val="auto"/>
                <w:sz w:val="24"/>
                <w:szCs w:val="24"/>
                <w:highlight w:val="none"/>
              </w:rPr>
              <w:t>深圳供电规划设计院有限公司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8"/>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4</w:t>
            </w:r>
          </w:p>
        </w:tc>
        <w:tc>
          <w:tcPr>
            <w:tcW w:w="2263"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574" w:type="dxa"/>
            <w:vAlign w:val="center"/>
          </w:tcPr>
          <w:p>
            <w:pPr>
              <w:pStyle w:val="8"/>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default" w:ascii="宋体" w:hAnsi="宋体" w:eastAsia="宋体" w:cs="宋体"/>
                <w:color w:val="auto"/>
                <w:kern w:val="0"/>
                <w:sz w:val="21"/>
                <w:szCs w:val="21"/>
                <w:highlight w:val="none"/>
                <w:lang w:val="en-US" w:eastAsia="zh-CN" w:bidi="ar-SA"/>
              </w:rPr>
            </w:pPr>
            <w:r>
              <w:rPr>
                <w:rFonts w:hint="eastAsia" w:hAnsi="宋体" w:cs="宋体"/>
                <w:color w:val="auto"/>
                <w:sz w:val="21"/>
                <w:szCs w:val="21"/>
                <w:highlight w:val="none"/>
                <w:lang w:val="en-US" w:eastAsia="zh-CN"/>
              </w:rPr>
              <w:t>/</w:t>
            </w:r>
          </w:p>
        </w:tc>
      </w:tr>
    </w:tbl>
    <w:p>
      <w:pPr>
        <w:pStyle w:val="8"/>
        <w:spacing w:line="360" w:lineRule="auto"/>
        <w:rPr>
          <w:rFonts w:asciiTheme="minorEastAsia" w:hAnsiTheme="minorEastAsia" w:eastAsiaTheme="minorEastAsia" w:cstheme="minorEastAsia"/>
          <w:b/>
          <w:bCs/>
          <w:color w:val="auto"/>
          <w:sz w:val="24"/>
          <w:szCs w:val="24"/>
          <w:highlight w:val="none"/>
        </w:rPr>
      </w:pPr>
    </w:p>
    <w:p>
      <w:pPr>
        <w:pStyle w:val="8"/>
        <w:numPr>
          <w:ilvl w:val="0"/>
          <w:numId w:val="1"/>
        </w:numPr>
        <w:spacing w:line="360" w:lineRule="auto"/>
        <w:outlineLvl w:val="0"/>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t>项目概况</w:t>
      </w:r>
      <w:r>
        <w:rPr>
          <w:rFonts w:hint="eastAsia" w:asciiTheme="minorEastAsia" w:hAnsiTheme="minorEastAsia" w:eastAsiaTheme="minorEastAsia" w:cstheme="minorEastAsia"/>
          <w:color w:val="auto"/>
          <w:sz w:val="21"/>
          <w:szCs w:val="21"/>
          <w:highlight w:val="none"/>
        </w:rPr>
        <w:t>：</w:t>
      </w:r>
      <w:bookmarkEnd w:id="0"/>
      <w:bookmarkStart w:id="1" w:name="_Toc13498"/>
      <w:bookmarkStart w:id="2" w:name="_Toc4755"/>
      <w:bookmarkStart w:id="3" w:name="_Toc28718"/>
    </w:p>
    <w:p>
      <w:pPr>
        <w:pStyle w:val="8"/>
        <w:adjustRightInd w:val="0"/>
        <w:snapToGrid w:val="0"/>
        <w:spacing w:line="400" w:lineRule="exact"/>
        <w:ind w:firstLine="422" w:firstLineChars="200"/>
        <w:rPr>
          <w:rFonts w:hint="eastAsia" w:hAnsi="宋体"/>
          <w:b/>
          <w:bCs w:val="0"/>
          <w:color w:val="auto"/>
          <w:sz w:val="21"/>
          <w:szCs w:val="21"/>
          <w:highlight w:val="none"/>
        </w:rPr>
      </w:pPr>
      <w:r>
        <w:rPr>
          <w:rFonts w:hint="eastAsia" w:hAnsi="宋体"/>
          <w:b/>
          <w:bCs w:val="0"/>
          <w:color w:val="auto"/>
          <w:sz w:val="21"/>
          <w:szCs w:val="21"/>
          <w:highlight w:val="none"/>
        </w:rPr>
        <w:t>※变电部分：</w:t>
      </w:r>
    </w:p>
    <w:p>
      <w:pPr>
        <w:pStyle w:val="8"/>
        <w:adjustRightInd w:val="0"/>
        <w:snapToGrid w:val="0"/>
        <w:spacing w:line="400" w:lineRule="exact"/>
        <w:ind w:firstLine="420" w:firstLineChars="200"/>
        <w:rPr>
          <w:rFonts w:hint="eastAsia" w:hAnsi="宋体"/>
          <w:bCs/>
          <w:color w:val="auto"/>
          <w:sz w:val="21"/>
          <w:szCs w:val="21"/>
          <w:highlight w:val="none"/>
        </w:rPr>
      </w:pPr>
      <w:r>
        <w:rPr>
          <w:rFonts w:hint="eastAsia" w:hAnsi="宋体"/>
          <w:bCs/>
          <w:color w:val="auto"/>
          <w:sz w:val="21"/>
          <w:szCs w:val="21"/>
          <w:highlight w:val="none"/>
        </w:rPr>
        <w:t>1、对侧220千伏腾飞变电站间隔扩建工程：本期在腾飞站220千伏配电装置超规模扩建2个电缆出线间隔。</w:t>
      </w:r>
    </w:p>
    <w:p>
      <w:pPr>
        <w:pStyle w:val="8"/>
        <w:adjustRightInd w:val="0"/>
        <w:snapToGrid w:val="0"/>
        <w:spacing w:line="400" w:lineRule="exact"/>
        <w:ind w:firstLine="420" w:firstLineChars="200"/>
        <w:rPr>
          <w:rFonts w:hint="eastAsia" w:hAnsi="宋体"/>
          <w:bCs/>
          <w:color w:val="auto"/>
          <w:sz w:val="21"/>
          <w:szCs w:val="21"/>
          <w:highlight w:val="none"/>
        </w:rPr>
      </w:pPr>
      <w:r>
        <w:rPr>
          <w:rFonts w:hint="eastAsia" w:hAnsi="宋体"/>
          <w:bCs/>
          <w:color w:val="auto"/>
          <w:sz w:val="21"/>
          <w:szCs w:val="21"/>
          <w:highlight w:val="none"/>
        </w:rPr>
        <w:t>2、对侧220kV白玉变电站保护改造工程：本期220kV白玉站原屏位替换冠白甲乙线保护屏和接口装置，临线后再重新原屏位恢复接线。</w:t>
      </w:r>
    </w:p>
    <w:p>
      <w:pPr>
        <w:pStyle w:val="8"/>
        <w:adjustRightInd w:val="0"/>
        <w:snapToGrid w:val="0"/>
        <w:spacing w:line="400" w:lineRule="exact"/>
        <w:ind w:firstLine="420" w:firstLineChars="200"/>
        <w:rPr>
          <w:rFonts w:hint="eastAsia" w:hAnsi="宋体"/>
          <w:bCs/>
          <w:color w:val="auto"/>
          <w:sz w:val="21"/>
          <w:szCs w:val="21"/>
          <w:highlight w:val="none"/>
        </w:rPr>
      </w:pPr>
      <w:r>
        <w:rPr>
          <w:rFonts w:hint="eastAsia" w:hAnsi="宋体"/>
          <w:bCs/>
          <w:color w:val="auto"/>
          <w:sz w:val="21"/>
          <w:szCs w:val="21"/>
          <w:highlight w:val="none"/>
        </w:rPr>
        <w:t>3、对侧220kV济海变电站保护改造工程：将腾飞站220kV登腾乙线主一、主二保护屏及复用接口装置搬迁至济海站，原屏位换下济海站内220kV济腾甲线主一、主二保护屏及复用接口装置，与对侧登峰站线路保护一致。最终方案时归还设备，恢复腾飞站侧、济海站侧接线。</w:t>
      </w:r>
    </w:p>
    <w:p>
      <w:pPr>
        <w:pStyle w:val="8"/>
        <w:adjustRightInd w:val="0"/>
        <w:snapToGrid w:val="0"/>
        <w:spacing w:line="400" w:lineRule="exact"/>
        <w:ind w:firstLine="420" w:firstLineChars="200"/>
        <w:rPr>
          <w:rFonts w:hint="eastAsia" w:hAnsi="宋体"/>
          <w:bCs/>
          <w:color w:val="auto"/>
          <w:sz w:val="21"/>
          <w:szCs w:val="21"/>
          <w:highlight w:val="none"/>
        </w:rPr>
      </w:pPr>
      <w:r>
        <w:rPr>
          <w:rFonts w:hint="eastAsia" w:hAnsi="宋体"/>
          <w:bCs/>
          <w:color w:val="auto"/>
          <w:sz w:val="21"/>
          <w:szCs w:val="21"/>
          <w:highlight w:val="none"/>
        </w:rPr>
        <w:t>4、对侧220千伏远丰变电站间隔改造工程：本工程新建220kV腾飞至远丰双回线，腾飞站侧220kV 1M、2M扩建2个220kV线路间隔，远丰站侧为既有间隔。</w:t>
      </w:r>
    </w:p>
    <w:p>
      <w:pPr>
        <w:pStyle w:val="8"/>
        <w:adjustRightInd w:val="0"/>
        <w:snapToGrid w:val="0"/>
        <w:spacing w:line="400" w:lineRule="exact"/>
        <w:ind w:firstLine="422" w:firstLineChars="200"/>
        <w:rPr>
          <w:rFonts w:hint="eastAsia" w:hAnsi="宋体"/>
          <w:b/>
          <w:bCs w:val="0"/>
          <w:color w:val="auto"/>
          <w:sz w:val="21"/>
          <w:szCs w:val="21"/>
          <w:highlight w:val="none"/>
        </w:rPr>
      </w:pPr>
      <w:r>
        <w:rPr>
          <w:rFonts w:hint="eastAsia" w:hAnsi="宋体"/>
          <w:b/>
          <w:bCs w:val="0"/>
          <w:color w:val="auto"/>
          <w:sz w:val="21"/>
          <w:szCs w:val="21"/>
          <w:highlight w:val="none"/>
        </w:rPr>
        <w:t>※电缆线路部分：</w:t>
      </w:r>
    </w:p>
    <w:p>
      <w:pPr>
        <w:pStyle w:val="8"/>
        <w:adjustRightInd w:val="0"/>
        <w:snapToGrid w:val="0"/>
        <w:spacing w:line="400" w:lineRule="exact"/>
        <w:ind w:firstLine="420" w:firstLineChars="200"/>
        <w:rPr>
          <w:rFonts w:hint="eastAsia" w:hAnsi="宋体"/>
          <w:bCs/>
          <w:color w:val="auto"/>
          <w:sz w:val="21"/>
          <w:szCs w:val="21"/>
          <w:highlight w:val="none"/>
        </w:rPr>
      </w:pPr>
      <w:r>
        <w:rPr>
          <w:rFonts w:hint="eastAsia" w:hAnsi="宋体"/>
          <w:bCs/>
          <w:color w:val="auto"/>
          <w:sz w:val="21"/>
          <w:szCs w:val="21"/>
          <w:highlight w:val="none"/>
        </w:rPr>
        <w:t>1、220kV安远甲乙线远丰侧改接至腾飞站线路工程（电缆部分）：220kV安远甲乙线远丰侧改接至腾飞站线路全线采用电缆+架空形式，新建双回电缆同路径敷设，新建电缆路径长2×5.26km。单相电缆长5.51km（甲线）、5.52km（乙线）。电缆截面为2500mm2，电缆型号选用FY-YJLW03-Z-127/220kV-2500mm2。</w:t>
      </w:r>
    </w:p>
    <w:p>
      <w:pPr>
        <w:pStyle w:val="8"/>
        <w:adjustRightInd w:val="0"/>
        <w:snapToGrid w:val="0"/>
        <w:spacing w:line="400" w:lineRule="exact"/>
        <w:ind w:firstLine="422" w:firstLineChars="200"/>
        <w:rPr>
          <w:rFonts w:hint="eastAsia" w:hAnsi="宋体"/>
          <w:b/>
          <w:bCs w:val="0"/>
          <w:color w:val="auto"/>
          <w:sz w:val="21"/>
          <w:szCs w:val="21"/>
          <w:highlight w:val="none"/>
        </w:rPr>
      </w:pPr>
      <w:r>
        <w:rPr>
          <w:rFonts w:hint="eastAsia" w:hAnsi="宋体"/>
          <w:b/>
          <w:bCs w:val="0"/>
          <w:color w:val="auto"/>
          <w:sz w:val="21"/>
          <w:szCs w:val="21"/>
          <w:highlight w:val="none"/>
        </w:rPr>
        <w:t>※架空线路部分：</w:t>
      </w:r>
    </w:p>
    <w:p>
      <w:pPr>
        <w:pStyle w:val="8"/>
        <w:adjustRightInd w:val="0"/>
        <w:snapToGrid w:val="0"/>
        <w:spacing w:line="400" w:lineRule="exact"/>
        <w:ind w:firstLine="420" w:firstLineChars="200"/>
        <w:rPr>
          <w:rFonts w:hint="eastAsia" w:hAnsi="宋体"/>
          <w:bCs/>
          <w:color w:val="auto"/>
          <w:sz w:val="21"/>
          <w:szCs w:val="21"/>
          <w:highlight w:val="none"/>
        </w:rPr>
      </w:pPr>
      <w:r>
        <w:rPr>
          <w:rFonts w:hint="eastAsia" w:hAnsi="宋体"/>
          <w:bCs/>
          <w:color w:val="auto"/>
          <w:sz w:val="21"/>
          <w:szCs w:val="21"/>
          <w:highlight w:val="none"/>
        </w:rPr>
        <w:t>1、220kV安远甲乙线远丰侧改接至腾飞站线路工程（架空部分）：(1)220kV腾飞至远丰架空部分新建Z0～安远甲乙线N67段双回线路长2×0.361km，新建双回路终端塔1基、四回路分歧塔1基；(2)220kV冠白甲乙线N26～N30段重新挂线长2×1.318km；(3)拆除现状220kV安远甲乙线N60～N67段双回线路长2×2.24km，拆除冠白甲乙线N26～N30段双回线路长2×1.318km，拆除现状四回路耐张塔1基；</w:t>
      </w:r>
    </w:p>
    <w:p>
      <w:pPr>
        <w:pStyle w:val="8"/>
        <w:adjustRightInd w:val="0"/>
        <w:snapToGrid w:val="0"/>
        <w:spacing w:line="400" w:lineRule="exact"/>
        <w:ind w:firstLine="420" w:firstLineChars="200"/>
        <w:rPr>
          <w:rFonts w:hint="eastAsia" w:hAnsi="宋体"/>
          <w:bCs/>
          <w:color w:val="auto"/>
          <w:sz w:val="21"/>
          <w:szCs w:val="21"/>
          <w:highlight w:val="none"/>
        </w:rPr>
      </w:pPr>
      <w:r>
        <w:rPr>
          <w:rFonts w:hint="eastAsia" w:hAnsi="宋体"/>
          <w:bCs/>
          <w:color w:val="auto"/>
          <w:sz w:val="21"/>
          <w:szCs w:val="21"/>
          <w:highlight w:val="none"/>
        </w:rPr>
        <w:t>2、220千伏简波乙线、蓄远乙线跳通恢复工程：拆除蓄简临线N2～N3间单回临时线路0.050千米，蓄简临线N1～深蓄电站更换单回导线长度0.074千米。拆除远波临线N64～N65间单回临时线路0.070千米，远波临线N1～电缆终端站更换单回导线长度0.044千米。</w:t>
      </w:r>
    </w:p>
    <w:p>
      <w:pPr>
        <w:pStyle w:val="8"/>
        <w:adjustRightInd w:val="0"/>
        <w:snapToGrid w:val="0"/>
        <w:spacing w:line="400" w:lineRule="exact"/>
        <w:ind w:firstLine="420" w:firstLineChars="200"/>
        <w:rPr>
          <w:rFonts w:hint="eastAsia" w:hAnsi="宋体"/>
          <w:bCs/>
          <w:color w:val="auto"/>
          <w:sz w:val="21"/>
          <w:szCs w:val="21"/>
          <w:highlight w:val="none"/>
        </w:rPr>
      </w:pPr>
      <w:r>
        <w:rPr>
          <w:rFonts w:hint="eastAsia" w:hAnsi="宋体"/>
          <w:bCs/>
          <w:color w:val="auto"/>
          <w:sz w:val="21"/>
          <w:szCs w:val="21"/>
          <w:highlight w:val="none"/>
        </w:rPr>
        <w:t>详细规模以施工图纸为准。</w:t>
      </w:r>
    </w:p>
    <w:bookmarkEnd w:id="1"/>
    <w:bookmarkEnd w:id="2"/>
    <w:bookmarkEnd w:id="3"/>
    <w:p>
      <w:pPr>
        <w:widowControl/>
        <w:ind w:firstLine="420" w:firstLineChars="200"/>
        <w:jc w:val="left"/>
        <w:rPr>
          <w:rFonts w:hint="eastAsia" w:ascii="宋体" w:hAnsi="宋体" w:cs="宋体"/>
          <w:color w:val="auto"/>
          <w:kern w:val="0"/>
          <w:szCs w:val="21"/>
          <w:highlight w:val="none"/>
        </w:rPr>
      </w:pPr>
    </w:p>
    <w:p>
      <w:pPr>
        <w:pStyle w:val="8"/>
        <w:numPr>
          <w:ilvl w:val="0"/>
          <w:numId w:val="1"/>
        </w:numPr>
        <w:spacing w:line="360" w:lineRule="auto"/>
        <w:outlineLvl w:val="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采购范围：</w:t>
      </w:r>
    </w:p>
    <w:p>
      <w:pPr>
        <w:pStyle w:val="8"/>
        <w:adjustRightInd w:val="0"/>
        <w:snapToGrid w:val="0"/>
        <w:spacing w:line="400" w:lineRule="exact"/>
        <w:rPr>
          <w:rFonts w:hint="eastAsia" w:hAnsi="宋体" w:eastAsia="宋体"/>
          <w:b/>
          <w:bCs/>
          <w:color w:val="auto"/>
          <w:sz w:val="21"/>
          <w:szCs w:val="21"/>
          <w:highlight w:val="none"/>
          <w:lang w:eastAsia="zh-CN"/>
        </w:rPr>
      </w:pPr>
      <w:bookmarkStart w:id="4" w:name="施工招标范围综合"/>
      <w:r>
        <w:rPr>
          <w:rFonts w:hint="eastAsia" w:hAnsi="宋体"/>
          <w:b/>
          <w:bCs/>
          <w:color w:val="auto"/>
          <w:sz w:val="21"/>
          <w:szCs w:val="21"/>
          <w:highlight w:val="none"/>
        </w:rPr>
        <w:t>包括施工图范围内的建筑、安装及调试工程。施工图范围内的下列工作内容</w:t>
      </w:r>
      <w:bookmarkEnd w:id="4"/>
      <w:r>
        <w:rPr>
          <w:rFonts w:hint="eastAsia" w:hAnsi="宋体"/>
          <w:b/>
          <w:bCs/>
          <w:color w:val="auto"/>
          <w:sz w:val="21"/>
          <w:szCs w:val="21"/>
          <w:highlight w:val="none"/>
          <w:lang w:eastAsia="zh-CN"/>
        </w:rPr>
        <w:t>：</w:t>
      </w:r>
    </w:p>
    <w:p>
      <w:pPr>
        <w:pStyle w:val="8"/>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本项目为</w:t>
      </w:r>
      <w:r>
        <w:rPr>
          <w:rFonts w:hint="eastAsia" w:hAnsi="宋体" w:cs="宋体"/>
          <w:b/>
          <w:bCs/>
          <w:color w:val="auto"/>
          <w:sz w:val="21"/>
          <w:szCs w:val="21"/>
          <w:highlight w:val="none"/>
          <w:lang w:val="en-US" w:eastAsia="zh-CN"/>
        </w:rPr>
        <w:t>施工图</w:t>
      </w:r>
      <w:r>
        <w:rPr>
          <w:rFonts w:hint="eastAsia" w:ascii="宋体" w:hAnsi="宋体" w:eastAsia="宋体" w:cs="宋体"/>
          <w:b/>
          <w:bCs/>
          <w:color w:val="auto"/>
          <w:sz w:val="21"/>
          <w:szCs w:val="21"/>
          <w:highlight w:val="none"/>
          <w:lang w:eastAsia="zh-CN"/>
        </w:rPr>
        <w:t>招标。</w:t>
      </w:r>
    </w:p>
    <w:p>
      <w:pPr>
        <w:pStyle w:val="5"/>
        <w:spacing w:line="360" w:lineRule="auto"/>
        <w:rPr>
          <w:rFonts w:hint="eastAsia" w:ascii="宋体" w:hAnsi="宋体" w:cs="宋体"/>
          <w:color w:val="auto"/>
          <w:sz w:val="21"/>
          <w:szCs w:val="21"/>
          <w:highlight w:val="none"/>
        </w:rPr>
      </w:pPr>
      <w:r>
        <w:rPr>
          <w:rFonts w:hint="eastAsia" w:ascii="宋体" w:hAnsi="宋体" w:cs="宋体"/>
          <w:b/>
          <w:color w:val="auto"/>
          <w:sz w:val="21"/>
          <w:szCs w:val="21"/>
          <w:highlight w:val="none"/>
        </w:rPr>
        <w:t>※</w:t>
      </w:r>
      <w:r>
        <w:rPr>
          <w:rFonts w:hint="eastAsia"/>
          <w:b/>
          <w:color w:val="auto"/>
          <w:sz w:val="21"/>
          <w:szCs w:val="21"/>
          <w:highlight w:val="none"/>
        </w:rPr>
        <w:t>变电部分</w:t>
      </w:r>
      <w:r>
        <w:rPr>
          <w:rFonts w:hint="eastAsia" w:ascii="宋体" w:hAnsi="宋体" w:cs="宋体"/>
          <w:b/>
          <w:color w:val="auto"/>
          <w:sz w:val="21"/>
          <w:szCs w:val="21"/>
          <w:highlight w:val="none"/>
        </w:rPr>
        <w:t>：</w:t>
      </w:r>
    </w:p>
    <w:p>
      <w:pPr>
        <w:pStyle w:val="5"/>
        <w:spacing w:line="360" w:lineRule="auto"/>
        <w:rPr>
          <w:rFonts w:hint="eastAsia" w:ascii="宋体" w:hAnsi="宋体" w:eastAsia="宋体" w:cs="宋体"/>
          <w:strike w:val="0"/>
          <w:dstrike w:val="0"/>
          <w:color w:val="auto"/>
          <w:sz w:val="21"/>
          <w:szCs w:val="21"/>
          <w:highlight w:val="none"/>
          <w:lang w:val="en-US" w:eastAsia="zh-CN"/>
        </w:rPr>
      </w:pPr>
      <w:r>
        <w:rPr>
          <w:rFonts w:hint="eastAsia" w:ascii="宋体" w:hAnsi="宋体" w:eastAsia="宋体" w:cs="宋体"/>
          <w:strike w:val="0"/>
          <w:dstrike w:val="0"/>
          <w:color w:val="auto"/>
          <w:sz w:val="21"/>
          <w:szCs w:val="21"/>
          <w:highlight w:val="none"/>
          <w:lang w:val="en-US" w:eastAsia="zh-CN"/>
        </w:rPr>
        <w:t>审定版施工图纸范围内的变电建筑、安装、调试工程，包括但不限于样板点建设、业主项目部板房搭建、母线包绝缘、规程规范内的特殊试验、远动系统本侧及对侧投产前所需完成一二次设备相关调试（若有）：涉及的运行站内公共保护设备的调试，名称更新等工作，对侧站内交流耐压等试验及相关厂家服务，配合电子化移交提资（含本侧及对侧）、参数上报、启动方案编写及配合办理施工许可手续、施工围挡、白蚁防治等。但其中安装工程不包括：通信及管道光缆敷设（已年度框架招标）、防盗报警及视频监控安装（已年度框架招标），电子化移交服务（已年度框架招标）、基建项目检测监测服务（已年度框架招标）、配套市政水工程（已年度框架招标）、电网基建工程GIS（HGIS）设备交流耐压击穿定位测试服务（已年度框架招标）、X射线无损检测（已年度框架招标）。</w:t>
      </w:r>
    </w:p>
    <w:p>
      <w:pPr>
        <w:pStyle w:val="5"/>
        <w:spacing w:line="360" w:lineRule="auto"/>
        <w:rPr>
          <w:rFonts w:hint="eastAsia" w:ascii="宋体" w:hAnsi="宋体" w:eastAsia="宋体" w:cs="宋体"/>
          <w:strike w:val="0"/>
          <w:dstrike w:val="0"/>
          <w:color w:val="auto"/>
          <w:sz w:val="21"/>
          <w:szCs w:val="21"/>
          <w:highlight w:val="none"/>
          <w:lang w:val="en-US" w:eastAsia="zh-CN"/>
        </w:rPr>
      </w:pPr>
      <w:r>
        <w:rPr>
          <w:rFonts w:hint="eastAsia" w:ascii="宋体" w:hAnsi="宋体" w:eastAsia="宋体" w:cs="宋体"/>
          <w:strike w:val="0"/>
          <w:dstrike w:val="0"/>
          <w:color w:val="auto"/>
          <w:sz w:val="21"/>
          <w:szCs w:val="21"/>
          <w:highlight w:val="none"/>
          <w:lang w:val="en-US" w:eastAsia="zh-CN"/>
        </w:rPr>
        <w:t>以下招标范围内的内容若有发生按实结算：</w:t>
      </w:r>
    </w:p>
    <w:p>
      <w:pPr>
        <w:pStyle w:val="5"/>
        <w:spacing w:line="360" w:lineRule="auto"/>
        <w:rPr>
          <w:rFonts w:hint="eastAsia" w:ascii="宋体" w:hAnsi="宋体" w:eastAsia="宋体" w:cs="宋体"/>
          <w:strike w:val="0"/>
          <w:dstrike w:val="0"/>
          <w:color w:val="auto"/>
          <w:sz w:val="21"/>
          <w:szCs w:val="21"/>
          <w:highlight w:val="none"/>
          <w:lang w:val="en-US" w:eastAsia="zh-CN"/>
        </w:rPr>
      </w:pPr>
      <w:r>
        <w:rPr>
          <w:rFonts w:hint="eastAsia" w:ascii="宋体" w:hAnsi="宋体" w:eastAsia="宋体" w:cs="宋体"/>
          <w:strike w:val="0"/>
          <w:dstrike w:val="0"/>
          <w:color w:val="auto"/>
          <w:sz w:val="21"/>
          <w:szCs w:val="21"/>
          <w:highlight w:val="none"/>
          <w:lang w:val="en-US" w:eastAsia="zh-CN"/>
        </w:rPr>
        <w:t>（1）</w:t>
      </w:r>
      <w:r>
        <w:rPr>
          <w:rFonts w:hint="eastAsia" w:ascii="宋体" w:hAnsi="宋体" w:cs="宋体"/>
          <w:color w:val="auto"/>
          <w:sz w:val="21"/>
          <w:szCs w:val="21"/>
          <w:highlight w:val="none"/>
        </w:rPr>
        <w:t>余土外运及排放（外运运距经发包人确认后据实结算。余土外运及余土受纳费不计入报价，结算时按实结算。</w:t>
      </w:r>
      <w:r>
        <w:rPr>
          <w:rFonts w:hint="eastAsia" w:ascii="宋体" w:hAnsi="宋体" w:eastAsia="宋体" w:cs="宋体"/>
          <w:strike w:val="0"/>
          <w:dstrike w:val="0"/>
          <w:color w:val="auto"/>
          <w:sz w:val="21"/>
          <w:szCs w:val="21"/>
          <w:highlight w:val="none"/>
          <w:lang w:val="en-US" w:eastAsia="zh-CN"/>
        </w:rPr>
        <w:t>土石方外运单价执行《深圳市建设工程造价管理站关于发布&lt;新型全密闭式智能泥头车土石方运输子目（试行）&gt;的通知》，一般情况下按新型全密闭式智能泥头车（国Ⅴ柴油发动机）考；余土受纳费若有，则按实际发生费用计取，费用依据需由中标单位提供并经发包人审核确认。</w:t>
      </w:r>
    </w:p>
    <w:p>
      <w:pPr>
        <w:pStyle w:val="5"/>
        <w:spacing w:line="360" w:lineRule="auto"/>
        <w:rPr>
          <w:rFonts w:hint="eastAsia" w:ascii="宋体" w:hAnsi="宋体" w:eastAsia="宋体" w:cs="宋体"/>
          <w:strike w:val="0"/>
          <w:dstrike w:val="0"/>
          <w:color w:val="auto"/>
          <w:sz w:val="21"/>
          <w:szCs w:val="21"/>
          <w:highlight w:val="none"/>
          <w:lang w:val="en-US" w:eastAsia="zh-CN"/>
        </w:rPr>
      </w:pPr>
      <w:r>
        <w:rPr>
          <w:rFonts w:hint="eastAsia" w:ascii="宋体" w:hAnsi="宋体" w:eastAsia="宋体" w:cs="宋体"/>
          <w:strike w:val="0"/>
          <w:dstrike w:val="0"/>
          <w:color w:val="auto"/>
          <w:sz w:val="21"/>
          <w:szCs w:val="21"/>
          <w:highlight w:val="none"/>
          <w:lang w:val="en-US" w:eastAsia="zh-CN"/>
        </w:rPr>
        <w:t>（2）厂家服务费不计入报价，结算时按实际发生的金额结算（凭合同发票）。</w:t>
      </w:r>
    </w:p>
    <w:p>
      <w:pPr>
        <w:pStyle w:val="5"/>
        <w:spacing w:line="360" w:lineRule="auto"/>
        <w:rPr>
          <w:rFonts w:hint="eastAsia" w:ascii="宋体" w:hAnsi="宋体" w:eastAsia="宋体" w:cs="宋体"/>
          <w:strike w:val="0"/>
          <w:dstrike w:val="0"/>
          <w:color w:val="auto"/>
          <w:sz w:val="21"/>
          <w:szCs w:val="21"/>
          <w:highlight w:val="none"/>
          <w:lang w:val="en-US" w:eastAsia="zh-CN"/>
        </w:rPr>
      </w:pPr>
      <w:r>
        <w:rPr>
          <w:rFonts w:hint="eastAsia" w:ascii="宋体" w:hAnsi="宋体" w:eastAsia="宋体" w:cs="宋体"/>
          <w:strike w:val="0"/>
          <w:dstrike w:val="0"/>
          <w:color w:val="auto"/>
          <w:sz w:val="21"/>
          <w:szCs w:val="21"/>
          <w:highlight w:val="none"/>
          <w:lang w:val="en-US" w:eastAsia="zh-CN"/>
        </w:rPr>
        <w:t>（3）电力监控系统等级保护测评及安全防护评估（若有）、保护及综自系统例如后台、五防、远动、保信等配套服务涉及费用根据公司批复的审核意见据实支付（若有），不计入报价。</w:t>
      </w:r>
    </w:p>
    <w:p>
      <w:pPr>
        <w:pStyle w:val="5"/>
        <w:spacing w:line="360" w:lineRule="auto"/>
        <w:rPr>
          <w:rFonts w:hint="eastAsia" w:ascii="宋体" w:hAnsi="宋体" w:eastAsia="宋体" w:cs="宋体"/>
          <w:strike w:val="0"/>
          <w:dstrike w:val="0"/>
          <w:color w:val="auto"/>
          <w:sz w:val="21"/>
          <w:szCs w:val="21"/>
          <w:highlight w:val="none"/>
          <w:lang w:val="en-US" w:eastAsia="zh-CN"/>
        </w:rPr>
      </w:pPr>
      <w:r>
        <w:rPr>
          <w:rFonts w:hint="eastAsia" w:ascii="宋体" w:hAnsi="宋体" w:eastAsia="宋体" w:cs="宋体"/>
          <w:strike w:val="0"/>
          <w:dstrike w:val="0"/>
          <w:color w:val="auto"/>
          <w:sz w:val="21"/>
          <w:szCs w:val="21"/>
          <w:highlight w:val="none"/>
          <w:lang w:val="en-US" w:eastAsia="zh-CN"/>
        </w:rPr>
        <w:t>（4）施工围挡升级若有，结算时按经签证的实际工程量和《关于电力定额计价的电网项目执行深圳市围挡升级要求的相关费用计列事宜研讨会议纪要》（规划中心纪要〔2021〕31号）要求结算。</w:t>
      </w:r>
    </w:p>
    <w:p>
      <w:pPr>
        <w:pStyle w:val="5"/>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rPr>
        <w:t>※</w:t>
      </w:r>
      <w:r>
        <w:rPr>
          <w:rFonts w:hint="eastAsia" w:ascii="宋体" w:hAnsi="宋体" w:cs="宋体"/>
          <w:b/>
          <w:color w:val="auto"/>
          <w:sz w:val="21"/>
          <w:szCs w:val="21"/>
          <w:highlight w:val="none"/>
          <w:lang w:eastAsia="zh-CN"/>
        </w:rPr>
        <w:t>电缆线路</w:t>
      </w:r>
      <w:r>
        <w:rPr>
          <w:rFonts w:hint="eastAsia"/>
          <w:b/>
          <w:color w:val="auto"/>
          <w:sz w:val="21"/>
          <w:szCs w:val="21"/>
          <w:highlight w:val="none"/>
        </w:rPr>
        <w:t>部分</w:t>
      </w:r>
      <w:r>
        <w:rPr>
          <w:rFonts w:hint="eastAsia" w:ascii="宋体" w:hAnsi="宋体" w:cs="宋体"/>
          <w:b/>
          <w:color w:val="auto"/>
          <w:sz w:val="21"/>
          <w:szCs w:val="21"/>
          <w:highlight w:val="none"/>
        </w:rPr>
        <w:t>：</w:t>
      </w:r>
    </w:p>
    <w:p>
      <w:pPr>
        <w:pStyle w:val="5"/>
        <w:spacing w:line="360" w:lineRule="auto"/>
        <w:rPr>
          <w:rFonts w:hint="eastAsia" w:ascii="宋体" w:hAnsi="宋体" w:cs="宋体"/>
          <w:strike w:val="0"/>
          <w:dstrike w:val="0"/>
          <w:color w:val="auto"/>
          <w:sz w:val="21"/>
          <w:szCs w:val="21"/>
          <w:highlight w:val="none"/>
        </w:rPr>
      </w:pPr>
      <w:r>
        <w:rPr>
          <w:rFonts w:hint="eastAsia" w:ascii="宋体" w:hAnsi="宋体" w:cs="宋体"/>
          <w:color w:val="auto"/>
          <w:sz w:val="21"/>
          <w:szCs w:val="21"/>
          <w:highlight w:val="none"/>
        </w:rPr>
        <w:t>施</w:t>
      </w:r>
      <w:r>
        <w:rPr>
          <w:rFonts w:hint="eastAsia" w:ascii="宋体" w:hAnsi="宋体" w:cs="宋体"/>
          <w:strike w:val="0"/>
          <w:dstrike w:val="0"/>
          <w:color w:val="auto"/>
          <w:sz w:val="21"/>
          <w:szCs w:val="21"/>
          <w:highlight w:val="none"/>
        </w:rPr>
        <w:t>工图纸范围内的电缆线路建筑、安装、调试工程，与施工相关的所有其他费用项目。</w:t>
      </w:r>
    </w:p>
    <w:p>
      <w:pPr>
        <w:pStyle w:val="5"/>
        <w:spacing w:line="360" w:lineRule="auto"/>
        <w:rPr>
          <w:rFonts w:hint="eastAsia" w:ascii="宋体" w:hAnsi="宋体" w:cs="宋体"/>
          <w:strike w:val="0"/>
          <w:dstrike w:val="0"/>
          <w:color w:val="auto"/>
          <w:sz w:val="21"/>
          <w:szCs w:val="21"/>
          <w:highlight w:val="none"/>
        </w:rPr>
      </w:pPr>
      <w:r>
        <w:rPr>
          <w:rFonts w:hint="eastAsia" w:ascii="宋体" w:hAnsi="宋体" w:cs="宋体"/>
          <w:strike w:val="0"/>
          <w:dstrike w:val="0"/>
          <w:color w:val="auto"/>
          <w:sz w:val="21"/>
          <w:szCs w:val="21"/>
          <w:highlight w:val="none"/>
        </w:rPr>
        <w:t>①本体工程、辅助设施工程。</w:t>
      </w:r>
    </w:p>
    <w:p>
      <w:pPr>
        <w:pStyle w:val="5"/>
        <w:spacing w:line="360" w:lineRule="auto"/>
        <w:rPr>
          <w:rFonts w:hint="eastAsia" w:ascii="宋体" w:hAnsi="宋体" w:cs="宋体"/>
          <w:color w:val="auto"/>
          <w:sz w:val="21"/>
          <w:szCs w:val="21"/>
          <w:highlight w:val="none"/>
        </w:rPr>
      </w:pPr>
      <w:r>
        <w:rPr>
          <w:rFonts w:hint="eastAsia" w:ascii="宋体" w:hAnsi="宋体" w:cs="宋体"/>
          <w:strike w:val="0"/>
          <w:dstrike w:val="0"/>
          <w:color w:val="auto"/>
          <w:sz w:val="21"/>
          <w:szCs w:val="21"/>
          <w:highlight w:val="none"/>
        </w:rPr>
        <w:t>②路面（包括人行道）破除、施工期临时占</w:t>
      </w:r>
      <w:r>
        <w:rPr>
          <w:rFonts w:hint="eastAsia" w:ascii="宋体" w:hAnsi="宋体" w:cs="宋体"/>
          <w:color w:val="auto"/>
          <w:sz w:val="21"/>
          <w:szCs w:val="21"/>
          <w:highlight w:val="none"/>
        </w:rPr>
        <w:t>用道路、施工场地租用、旧电缆线路拆除运输、电缆标志牌安装、电缆标志桩、顶管标识器、埋管标识球的制作及安装、电缆井及盖板编码、电缆线路参数测试。</w:t>
      </w:r>
    </w:p>
    <w:p>
      <w:pPr>
        <w:pStyle w:val="5"/>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③其他：配合投运工作（包括但不限于配合整套启动调试和参加联合试运行[含在线监测系统]、配合电子化移交提资、档案移交、参数上报、启动方案编写等）、样板点建设、业主项目部板房搭建、白蚁防治、参数上报、启动方案编写、负责办理并取得项目施工许可工作（含占道开挖手续）、交委要求加装的占挖道路安装视频监控、负责办理临时林地、交通疏解方案等工作。确保水保、环评验收通过，若验收不通过，施工单位必须做好整改措施直至通过为止。工程建设过程中，中标单位对外的交涉与纠纷，以及所造成的损失，除招标文件中有明确规定者外，均由中标单位自行解决。如确需建设单位进行协调时，协调解决问题所发生的一切费用仍由中标单位承担。</w:t>
      </w:r>
    </w:p>
    <w:p>
      <w:pPr>
        <w:pStyle w:val="5"/>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④以下招标范围内的内容若有发生按实结算：</w:t>
      </w:r>
    </w:p>
    <w:p>
      <w:pPr>
        <w:pStyle w:val="5"/>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地下原有管线迁移（包含油气管线、通信管线、雨水排污等市政迁移）、电力设施迁改（图纸以外）及绿化树木迁移（破复绿化带）赔偿、建构筑物拆迁补偿不计入报价，结算时按经签订的实际工程量结算。</w:t>
      </w:r>
    </w:p>
    <w:p>
      <w:pPr>
        <w:pStyle w:val="5"/>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（2）旧电缆迁移（含10kV电缆悬吊保护）不计入报价，结算时按经签订的实际工程量按实结算。单价参考《深圳供电局有限公司部门会议纪要》技经纪要〔2014〕10号规定执行</w:t>
      </w:r>
    </w:p>
    <w:p>
      <w:pPr>
        <w:pStyle w:val="5"/>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（3）交委要求加装的占挖道路安装视频监控不计入报价，结算时按实际发生的金额结算（凭合同发票）。</w:t>
      </w:r>
    </w:p>
    <w:p>
      <w:pPr>
        <w:pStyle w:val="5"/>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4）余土外运及排放（外运运距经发包人确认后据实结算。余土外运及余土受纳费不计入报价，结算时按实结算。土石方外运单价执行《深圳市建设工程造价管理站关于发布&lt;新型全密闭式智能泥头车土石方运输子目（试行）&gt;的通知》，一般情况下按新型全密闭式智能泥头车（国Ⅴ柴油发动机）考虑；余土受纳费若有，则按实际发生费用计取，费用依据需由中标单位提供并经发包人审核确认。</w:t>
      </w:r>
    </w:p>
    <w:p>
      <w:pPr>
        <w:pStyle w:val="5"/>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（5）施工围挡升级若有，结算时按经签证的实际工程量和《关于电力定额计价的电网项目执行深圳市围挡升级要求的相关费用计列事宜研讨会议纪要》（规划中心纪要〔2021〕31号）要求结算。</w:t>
      </w:r>
    </w:p>
    <w:p>
      <w:pPr>
        <w:pStyle w:val="5"/>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6）应相关政府或相应权属单位要求开展的安全评估、分析报告及防护措施（须有相关政府及相应权属单位红头文件作为依据），如涉森林、涉河道、涉高速、市政道路、涉水务、水库、水源保护区、燃气、石油、石化管道等评估和措施、通信安全评估评价、给排水安全评估评价、道路安全评估评价、交流杂散电流干扰分析和防护措施、办理临时林地产生的相关报告费用、占用城市绿地及迁移树木涉及的专家评估论证及听证工作，需委托具备相应资质的第三方机构进行评估（若有），委托前须取得业主同意后实施，并按项目实际发生费用（经发包人确认）据实结算。</w:t>
      </w:r>
    </w:p>
    <w:p>
      <w:pPr>
        <w:pStyle w:val="5"/>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（7）与当地城规、市政、园林、交警、城监、公路、河道、高速、水库等部门联系办理施工许可手续，均由中标单位办理，如发生费用由建设单位负责（如行政许可、市政收费等有收费文件规定的费用）。</w:t>
      </w:r>
    </w:p>
    <w:p>
      <w:pPr>
        <w:pStyle w:val="5"/>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（8）路面（包括人行道）恢复，不计入报价，若由中标单位实施，结算时按经签订的实际工程量按实结算，定额套用最新市政定额；若由交委指定单位实施，结算时按实际发生的金额结算（凭合同发票）。</w:t>
      </w:r>
    </w:p>
    <w:p>
      <w:pPr>
        <w:pStyle w:val="5"/>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⑤不包括：电缆在线监测、征地及青苗赔偿、沿线建（构）筑物的拆迁、通信工程管道光缆敷设、接续及测量（已年度框招）、电子化移交服务（已年度框招）、检测监测服务（已年度框招）、基建工程涉及轨道交通安全影响评价（已年度框招）、基建工程水土保持监测技术服务框架招标（已年度框招）、基建工程防洪影响评价报告编制（已年度框招）。</w:t>
      </w:r>
    </w:p>
    <w:p>
      <w:pPr>
        <w:pStyle w:val="5"/>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rPr>
        <w:t>※</w:t>
      </w:r>
      <w:r>
        <w:rPr>
          <w:rFonts w:hint="eastAsia" w:ascii="宋体" w:hAnsi="宋体" w:cs="宋体"/>
          <w:b/>
          <w:color w:val="auto"/>
          <w:sz w:val="21"/>
          <w:szCs w:val="21"/>
          <w:highlight w:val="none"/>
          <w:lang w:val="en-US" w:eastAsia="zh-CN"/>
        </w:rPr>
        <w:t>架空</w:t>
      </w:r>
      <w:r>
        <w:rPr>
          <w:rFonts w:hint="eastAsia" w:ascii="宋体" w:hAnsi="宋体" w:cs="宋体"/>
          <w:b/>
          <w:color w:val="auto"/>
          <w:sz w:val="21"/>
          <w:szCs w:val="21"/>
          <w:highlight w:val="none"/>
          <w:lang w:eastAsia="zh-CN"/>
        </w:rPr>
        <w:t>线路</w:t>
      </w:r>
      <w:r>
        <w:rPr>
          <w:rFonts w:hint="eastAsia"/>
          <w:b/>
          <w:color w:val="auto"/>
          <w:sz w:val="21"/>
          <w:szCs w:val="21"/>
          <w:highlight w:val="none"/>
        </w:rPr>
        <w:t>部分</w:t>
      </w:r>
      <w:r>
        <w:rPr>
          <w:rFonts w:hint="eastAsia" w:ascii="宋体" w:hAnsi="宋体" w:cs="宋体"/>
          <w:b/>
          <w:color w:val="auto"/>
          <w:sz w:val="21"/>
          <w:szCs w:val="21"/>
          <w:highlight w:val="none"/>
        </w:rPr>
        <w:t>：</w:t>
      </w:r>
    </w:p>
    <w:p>
      <w:pPr>
        <w:pStyle w:val="5"/>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审定版施工图纸范围内的架空送电线路安装、调试工程，与施工相关的所有其他费用项目。</w:t>
      </w:r>
    </w:p>
    <w:p>
      <w:pPr>
        <w:pStyle w:val="5"/>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①基础工程、杆塔工程、接地工程、架线工程、附件安装工程、辅助工程。</w:t>
      </w:r>
    </w:p>
    <w:p>
      <w:pPr>
        <w:pStyle w:val="5"/>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施工场地租用（施工项目部、材料站）、电力线路改迁及拆除（如有）、跨越及河流封航（如有）、鱼塘围堰（如有）、施工道路修筑、架空线路标志牌安装、OPGW光缆架设、线路参数测试、拆除后塔材和材料运到指定回收点（按拆除后不能利用考虑）、通信线路改迁及拆除（如有）、各类市政道路、管道改迁及拆除（如有），样板点建设、业主项目部板房搭建、白蚁防治、配合电子化移交提资。确保水保、环评验收通过，若验收不通过，施工单位必须做好整改措施直至通过为止。</w:t>
      </w:r>
    </w:p>
    <w:p>
      <w:pPr>
        <w:pStyle w:val="5"/>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所有征地、拆迁及青苗赔偿等工作均由中标施工单位协助完成（以上费用不列入本次报价，根据后续出具的委托函开展工作）。工程建设过程中，中标单位对外的交涉与纠纷，以及所造成的损失，除招标文件中有明确规定者外，均由中标单位自行解决。如确需建设单位进行协调时，协调解决问题所发生的一切费用仍由中标单位承担。</w:t>
      </w:r>
    </w:p>
    <w:p>
      <w:pPr>
        <w:pStyle w:val="5"/>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③以下招标范围内的内容若有发生按实结算：</w:t>
      </w:r>
    </w:p>
    <w:p>
      <w:pPr>
        <w:pStyle w:val="5"/>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rPr>
        <w:t>余土外运及排放（外运运距经发包人确认后据实结算。余土外运及余土受纳费不计入报价，结算时按实结算。</w:t>
      </w:r>
      <w:r>
        <w:rPr>
          <w:rFonts w:hint="eastAsia" w:ascii="宋体" w:hAnsi="宋体" w:eastAsia="宋体" w:cs="宋体"/>
          <w:strike w:val="0"/>
          <w:dstrike w:val="0"/>
          <w:color w:val="auto"/>
          <w:sz w:val="21"/>
          <w:szCs w:val="21"/>
          <w:highlight w:val="none"/>
          <w:lang w:val="en-US" w:eastAsia="zh-CN"/>
        </w:rPr>
        <w:t>土石方外运单价执行《深圳市建设工程造价管理站关于发布&lt;新型全密闭式智能泥头车土石方运输子目（试行）&gt;的通知》，一般情况下按新型全密闭式智能泥头车（国Ⅴ柴油发动机）考虑；余土受纳费若有，则按实际发生费用计取，费用依据需由中标单位提供并经发包人审核确认。</w:t>
      </w:r>
    </w:p>
    <w:p>
      <w:pPr>
        <w:pStyle w:val="5"/>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（2）施工围挡升级若有，结算时按经签证的实际工程量和《关于电力定额计价的电网项目执行深圳市围挡升级要求的相关费用计列事宜研讨会议纪要》（规划中心纪要〔2021〕31号）要求结算。</w:t>
      </w:r>
    </w:p>
    <w:p>
      <w:pPr>
        <w:pStyle w:val="5"/>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应相关政府或相应权属单位要求开展的安全评估、分析报告及防护措施（须有相关政府及相应权属单位红头文件作为依据，如涉森林、涉河道、涉高速、市政道路、涉水务、水库、水源保护区、燃气、石油、石化管道等评估和措施、通信安全评估评价、给排水安全评估评价、道路安全评估评价、交流杂散电流干扰分析和防护措施、占用城市绿地及迁移树木涉及的专家评估论证及听证工作，需委托具备相应资质的第三方机构进行评估（若有），委托前须取得业主同意后实施，并按项目实际发生费用（经发包人确认）据实结算。</w:t>
      </w:r>
    </w:p>
    <w:p>
      <w:pPr>
        <w:pStyle w:val="5"/>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（4）与当地城规、市政、园林、交警、城监、公路、河道、高速、水库等部门联系办理施工许可手续，均由中标单位办理，如发生费用由建设单位负责（如行政许可、市政收费等有收费文件规定的费用）。</w:t>
      </w:r>
    </w:p>
    <w:p>
      <w:pPr>
        <w:pStyle w:val="5"/>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④不包括：光缆的测量及接续（已年度框招），检测监测服务（已年度框招）、电子化移交服务（已年度框招）、基建工程涉及轨道交通安全影响评价（已年度框招）、基建工程水土保持监测技术服务框架招标（已年度框招）、基建工程防洪影响评价报告编制（已年度框招）。</w:t>
      </w:r>
    </w:p>
    <w:p>
      <w:pPr>
        <w:widowControl/>
        <w:numPr>
          <w:ilvl w:val="0"/>
          <w:numId w:val="0"/>
        </w:numPr>
        <w:ind w:firstLine="422" w:firstLineChars="200"/>
        <w:jc w:val="left"/>
        <w:rPr>
          <w:rFonts w:hint="eastAsia" w:ascii="宋体" w:hAnsi="宋体" w:eastAsia="宋体" w:cs="宋体"/>
          <w:b/>
          <w:bCs/>
          <w:color w:val="auto"/>
          <w:kern w:val="0"/>
          <w:sz w:val="21"/>
          <w:szCs w:val="21"/>
          <w:highlight w:val="none"/>
          <w:lang w:eastAsia="zh-CN"/>
        </w:rPr>
      </w:pPr>
    </w:p>
    <w:p>
      <w:pPr>
        <w:pStyle w:val="8"/>
        <w:numPr>
          <w:ilvl w:val="0"/>
          <w:numId w:val="1"/>
        </w:numPr>
        <w:spacing w:line="360" w:lineRule="auto"/>
        <w:outlineLvl w:val="0"/>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eastAsia="zh-CN"/>
        </w:rPr>
        <w:t>承包方式：</w:t>
      </w:r>
      <w:r>
        <w:rPr>
          <w:rFonts w:hint="eastAsia" w:asciiTheme="minorEastAsia" w:hAnsiTheme="minorEastAsia" w:eastAsiaTheme="minorEastAsia" w:cstheme="minorEastAsia"/>
          <w:b/>
          <w:bCs/>
          <w:color w:val="auto"/>
          <w:sz w:val="21"/>
          <w:szCs w:val="21"/>
          <w:highlight w:val="none"/>
        </w:rPr>
        <w:t>包工、部分包料。</w:t>
      </w:r>
    </w:p>
    <w:p>
      <w:pPr>
        <w:widowControl w:val="0"/>
        <w:adjustRightInd w:val="0"/>
        <w:snapToGrid w:val="0"/>
        <w:spacing w:line="400" w:lineRule="exact"/>
        <w:ind w:firstLine="420" w:firstLineChars="200"/>
        <w:jc w:val="both"/>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※变电部分：</w:t>
      </w:r>
    </w:p>
    <w:p>
      <w:pPr>
        <w:widowControl w:val="0"/>
        <w:adjustRightInd w:val="0"/>
        <w:snapToGrid w:val="0"/>
        <w:spacing w:line="400" w:lineRule="exact"/>
        <w:ind w:firstLine="420" w:firstLineChars="200"/>
        <w:jc w:val="both"/>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建设单位提供材料如下：包工和部分包料。甲供材包括电气一、二次设备，全站电缆(不含消防电缆)，10kV 及以上电缆附件，支柱绝缘子，穿墙套管，10kV 绝缘铜管母线及管母金具，铜母线，软母线绝缘子，封闭母线桥，导地线，绝缘子，站内电缆防火带，防火槽盒，变电站箱体（含照明配电箱、户内动力配电箱，户内检修电源箱，户外检修电源箱，户外动力箱，户外端子箱，事故照明电源箱，桥式起重机电源箱，不含风机控制箱），电缆桥架，空调设备、门窗（（不包括进站大门、非标准尺寸门窗、玻璃幕墙、建筑幕墙上窗，屋顶采光窗，特殊功能要求如防火、排烟、防爆、屏蔽窗、防化学腐蚀等的窗，消声百叶窗，主变压器室通风百叶窗，带防火阀或其他特殊功能百叶窗、不含钢结构门窗）</w:t>
      </w:r>
    </w:p>
    <w:p>
      <w:pPr>
        <w:widowControl w:val="0"/>
        <w:adjustRightInd w:val="0"/>
        <w:snapToGrid w:val="0"/>
        <w:spacing w:line="400" w:lineRule="exact"/>
        <w:ind w:firstLine="420" w:firstLineChars="200"/>
        <w:jc w:val="both"/>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※电缆线路部分：</w:t>
      </w:r>
    </w:p>
    <w:p>
      <w:pPr>
        <w:widowControl w:val="0"/>
        <w:adjustRightInd w:val="0"/>
        <w:snapToGrid w:val="0"/>
        <w:spacing w:line="400" w:lineRule="exact"/>
        <w:ind w:firstLine="420" w:firstLineChars="200"/>
        <w:jc w:val="both"/>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建设单位提供材料如下：避雷器、110千伏及以上电力电缆、电缆终端头、电缆绝缘接头、金属护套交叉互联接地箱、带保护器接地箱、直接接地箱、接地电缆、同轴电缆、接地回流线、电缆保护管（如玻璃钢管、HDPE管等）、桥架（与电缆沟一次成型及非标准件除外）、电缆固定夹、电缆防火带、爬梯、避雷针、镀锌钢管构支架（含构架爬梯）。</w:t>
      </w:r>
    </w:p>
    <w:p>
      <w:pPr>
        <w:widowControl w:val="0"/>
        <w:adjustRightInd w:val="0"/>
        <w:snapToGrid w:val="0"/>
        <w:spacing w:line="400" w:lineRule="exact"/>
        <w:ind w:firstLine="420" w:firstLineChars="200"/>
        <w:jc w:val="both"/>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※架空线路部分：</w:t>
      </w:r>
    </w:p>
    <w:p>
      <w:pPr>
        <w:widowControl w:val="0"/>
        <w:adjustRightInd w:val="0"/>
        <w:snapToGrid w:val="0"/>
        <w:spacing w:line="400" w:lineRule="exact"/>
        <w:ind w:firstLine="420" w:firstLineChars="200"/>
        <w:jc w:val="both"/>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建设单位提供材料如下：杆塔材料（含地脚螺栓）、导地线、绝缘子、金具、光缆、光缆金具、线路避雷器、相序牌、杆号牌、警示牌及安装架，其余设备及材料（其中电缆支架）由施工单位提供。</w:t>
      </w:r>
    </w:p>
    <w:p>
      <w:pPr>
        <w:widowControl w:val="0"/>
        <w:adjustRightInd w:val="0"/>
        <w:snapToGrid w:val="0"/>
        <w:spacing w:line="400" w:lineRule="exact"/>
        <w:ind w:firstLine="420" w:firstLineChars="200"/>
        <w:jc w:val="both"/>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建设单位提供的设备、材料以合同附件（甲供设备材料明细表）为准。</w:t>
      </w:r>
    </w:p>
    <w:p>
      <w:pPr>
        <w:pStyle w:val="8"/>
        <w:spacing w:line="480" w:lineRule="atLeast"/>
        <w:ind w:firstLine="400" w:firstLineChars="200"/>
        <w:rPr>
          <w:rFonts w:asciiTheme="minorEastAsia" w:hAnsiTheme="minorEastAsia" w:eastAsiaTheme="minorEastAsia" w:cstheme="minorEastAsia"/>
          <w:color w:val="auto"/>
          <w:highlight w:val="none"/>
        </w:rPr>
      </w:pPr>
      <w:bookmarkStart w:id="5" w:name="_GoBack"/>
      <w:bookmarkEnd w:id="5"/>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391A79"/>
    <w:multiLevelType w:val="singleLevel"/>
    <w:tmpl w:val="6B391A7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3ZDM4N2YyY2U5NjQzNjYwMDQ4ZGQ3NWYwNjdjYTcifQ=="/>
  </w:docVars>
  <w:rsids>
    <w:rsidRoot w:val="24F737D8"/>
    <w:rsid w:val="00045E72"/>
    <w:rsid w:val="000D1489"/>
    <w:rsid w:val="00111F0C"/>
    <w:rsid w:val="00180F21"/>
    <w:rsid w:val="00193797"/>
    <w:rsid w:val="001A5E31"/>
    <w:rsid w:val="002027C7"/>
    <w:rsid w:val="002C29DC"/>
    <w:rsid w:val="00351BA4"/>
    <w:rsid w:val="003B6754"/>
    <w:rsid w:val="004C403D"/>
    <w:rsid w:val="004C6A1B"/>
    <w:rsid w:val="00501342"/>
    <w:rsid w:val="00511217"/>
    <w:rsid w:val="00592991"/>
    <w:rsid w:val="005D05D0"/>
    <w:rsid w:val="005F7C8B"/>
    <w:rsid w:val="006144A7"/>
    <w:rsid w:val="00642AE0"/>
    <w:rsid w:val="00643D44"/>
    <w:rsid w:val="00675492"/>
    <w:rsid w:val="00697E02"/>
    <w:rsid w:val="007410AE"/>
    <w:rsid w:val="00785D97"/>
    <w:rsid w:val="007B16EC"/>
    <w:rsid w:val="0085711F"/>
    <w:rsid w:val="009239A9"/>
    <w:rsid w:val="00973999"/>
    <w:rsid w:val="009C682C"/>
    <w:rsid w:val="009D4D82"/>
    <w:rsid w:val="00A1142F"/>
    <w:rsid w:val="00A51650"/>
    <w:rsid w:val="00A6224F"/>
    <w:rsid w:val="00AD509E"/>
    <w:rsid w:val="00AF5884"/>
    <w:rsid w:val="00BD3602"/>
    <w:rsid w:val="00C073B0"/>
    <w:rsid w:val="00EB2A58"/>
    <w:rsid w:val="00EB5172"/>
    <w:rsid w:val="00EF41F4"/>
    <w:rsid w:val="00FD4B4E"/>
    <w:rsid w:val="01000F1F"/>
    <w:rsid w:val="012C2627"/>
    <w:rsid w:val="01A61B07"/>
    <w:rsid w:val="01D03EF0"/>
    <w:rsid w:val="01DB519B"/>
    <w:rsid w:val="01E84FF7"/>
    <w:rsid w:val="021257FA"/>
    <w:rsid w:val="0270337E"/>
    <w:rsid w:val="03045209"/>
    <w:rsid w:val="032C4CCB"/>
    <w:rsid w:val="0334394B"/>
    <w:rsid w:val="03696E51"/>
    <w:rsid w:val="043275F4"/>
    <w:rsid w:val="04B94B55"/>
    <w:rsid w:val="05037A62"/>
    <w:rsid w:val="050E07AE"/>
    <w:rsid w:val="05104CF2"/>
    <w:rsid w:val="056C75CF"/>
    <w:rsid w:val="05B87515"/>
    <w:rsid w:val="05CD0BE8"/>
    <w:rsid w:val="06195F4A"/>
    <w:rsid w:val="068D71D9"/>
    <w:rsid w:val="06AE1485"/>
    <w:rsid w:val="06AE5BB8"/>
    <w:rsid w:val="07AF1DA3"/>
    <w:rsid w:val="08CE69EC"/>
    <w:rsid w:val="08E42305"/>
    <w:rsid w:val="08F52A1A"/>
    <w:rsid w:val="0925770E"/>
    <w:rsid w:val="0A781F45"/>
    <w:rsid w:val="0B8776F8"/>
    <w:rsid w:val="0BC07002"/>
    <w:rsid w:val="0BE42713"/>
    <w:rsid w:val="0BF04F2F"/>
    <w:rsid w:val="0C137A51"/>
    <w:rsid w:val="0C4867BA"/>
    <w:rsid w:val="0C6F07EA"/>
    <w:rsid w:val="0C90792D"/>
    <w:rsid w:val="0CBE1A3C"/>
    <w:rsid w:val="0D5C5D7C"/>
    <w:rsid w:val="0D824825"/>
    <w:rsid w:val="0DBE2E98"/>
    <w:rsid w:val="0E0119E1"/>
    <w:rsid w:val="0E2B3199"/>
    <w:rsid w:val="0E8134AB"/>
    <w:rsid w:val="0EA1730C"/>
    <w:rsid w:val="0EE83733"/>
    <w:rsid w:val="0F531ED6"/>
    <w:rsid w:val="101C7E7E"/>
    <w:rsid w:val="116419AD"/>
    <w:rsid w:val="117F514D"/>
    <w:rsid w:val="11DF6CFE"/>
    <w:rsid w:val="11FC1228"/>
    <w:rsid w:val="12175897"/>
    <w:rsid w:val="1221206F"/>
    <w:rsid w:val="12617BA5"/>
    <w:rsid w:val="13651D15"/>
    <w:rsid w:val="136E163F"/>
    <w:rsid w:val="13742A79"/>
    <w:rsid w:val="13C71878"/>
    <w:rsid w:val="142C0825"/>
    <w:rsid w:val="1439793E"/>
    <w:rsid w:val="14440D4B"/>
    <w:rsid w:val="148241EF"/>
    <w:rsid w:val="14830E3B"/>
    <w:rsid w:val="14A01B0A"/>
    <w:rsid w:val="15056A61"/>
    <w:rsid w:val="15866746"/>
    <w:rsid w:val="15F42192"/>
    <w:rsid w:val="163409FD"/>
    <w:rsid w:val="17311749"/>
    <w:rsid w:val="17710405"/>
    <w:rsid w:val="17AC47D8"/>
    <w:rsid w:val="186767F4"/>
    <w:rsid w:val="18CA0D53"/>
    <w:rsid w:val="18E57496"/>
    <w:rsid w:val="191477B1"/>
    <w:rsid w:val="193066EB"/>
    <w:rsid w:val="194A687A"/>
    <w:rsid w:val="19550C4E"/>
    <w:rsid w:val="1A2F2F81"/>
    <w:rsid w:val="1A56667A"/>
    <w:rsid w:val="1A7E10CE"/>
    <w:rsid w:val="1AA35B43"/>
    <w:rsid w:val="1AC44B48"/>
    <w:rsid w:val="1B1435D1"/>
    <w:rsid w:val="1B1A6514"/>
    <w:rsid w:val="1B663F82"/>
    <w:rsid w:val="1BA9108A"/>
    <w:rsid w:val="1CBB1210"/>
    <w:rsid w:val="1CFA07C1"/>
    <w:rsid w:val="1D5074FA"/>
    <w:rsid w:val="1D515196"/>
    <w:rsid w:val="1D546D33"/>
    <w:rsid w:val="1D9028BC"/>
    <w:rsid w:val="1DB35787"/>
    <w:rsid w:val="1E297809"/>
    <w:rsid w:val="1E42634B"/>
    <w:rsid w:val="1E4A7D3D"/>
    <w:rsid w:val="1EA379B5"/>
    <w:rsid w:val="1F14195F"/>
    <w:rsid w:val="1F5627F9"/>
    <w:rsid w:val="1FEF6725"/>
    <w:rsid w:val="1FFF637B"/>
    <w:rsid w:val="20694E72"/>
    <w:rsid w:val="206E68C1"/>
    <w:rsid w:val="20916CFE"/>
    <w:rsid w:val="20AF64A6"/>
    <w:rsid w:val="20D57188"/>
    <w:rsid w:val="216F4D5B"/>
    <w:rsid w:val="21952BE4"/>
    <w:rsid w:val="219D6261"/>
    <w:rsid w:val="21FB08ED"/>
    <w:rsid w:val="21FB1D17"/>
    <w:rsid w:val="220833E1"/>
    <w:rsid w:val="22172817"/>
    <w:rsid w:val="22D01CE9"/>
    <w:rsid w:val="23456FA5"/>
    <w:rsid w:val="243932FC"/>
    <w:rsid w:val="24426571"/>
    <w:rsid w:val="24573FB0"/>
    <w:rsid w:val="24E46BF4"/>
    <w:rsid w:val="24F737D8"/>
    <w:rsid w:val="254002AB"/>
    <w:rsid w:val="25B74C68"/>
    <w:rsid w:val="263126A3"/>
    <w:rsid w:val="26A06F6E"/>
    <w:rsid w:val="26B54132"/>
    <w:rsid w:val="27417060"/>
    <w:rsid w:val="274170EE"/>
    <w:rsid w:val="2785030E"/>
    <w:rsid w:val="278F57AD"/>
    <w:rsid w:val="27AA3BBB"/>
    <w:rsid w:val="27DD1C12"/>
    <w:rsid w:val="27E47C4B"/>
    <w:rsid w:val="28005C30"/>
    <w:rsid w:val="289D725F"/>
    <w:rsid w:val="28B950D1"/>
    <w:rsid w:val="28C1082B"/>
    <w:rsid w:val="28F46A2A"/>
    <w:rsid w:val="29011EB2"/>
    <w:rsid w:val="29432FBF"/>
    <w:rsid w:val="296555D1"/>
    <w:rsid w:val="29AB0CF4"/>
    <w:rsid w:val="29CC3A93"/>
    <w:rsid w:val="2A35590D"/>
    <w:rsid w:val="2A9A35F6"/>
    <w:rsid w:val="2AB2780B"/>
    <w:rsid w:val="2B116CBA"/>
    <w:rsid w:val="2B3E5CF3"/>
    <w:rsid w:val="2B645C1C"/>
    <w:rsid w:val="2B67084B"/>
    <w:rsid w:val="2BED7EC0"/>
    <w:rsid w:val="2BF63B13"/>
    <w:rsid w:val="2CE9283B"/>
    <w:rsid w:val="2D471F06"/>
    <w:rsid w:val="2D5427C8"/>
    <w:rsid w:val="2D8E3667"/>
    <w:rsid w:val="2E517576"/>
    <w:rsid w:val="2E704C40"/>
    <w:rsid w:val="2E8C4181"/>
    <w:rsid w:val="2E9A5E18"/>
    <w:rsid w:val="2FF65FF8"/>
    <w:rsid w:val="2FF81ABC"/>
    <w:rsid w:val="300D195C"/>
    <w:rsid w:val="3044134F"/>
    <w:rsid w:val="305644CB"/>
    <w:rsid w:val="30BF37B5"/>
    <w:rsid w:val="30E33B4E"/>
    <w:rsid w:val="315E307E"/>
    <w:rsid w:val="317A406A"/>
    <w:rsid w:val="3225462F"/>
    <w:rsid w:val="326C15CD"/>
    <w:rsid w:val="328440F2"/>
    <w:rsid w:val="32C37159"/>
    <w:rsid w:val="32F7333A"/>
    <w:rsid w:val="33813B89"/>
    <w:rsid w:val="33EB0FE6"/>
    <w:rsid w:val="34242F97"/>
    <w:rsid w:val="343772E3"/>
    <w:rsid w:val="34D20F1D"/>
    <w:rsid w:val="34E01123"/>
    <w:rsid w:val="35126944"/>
    <w:rsid w:val="35E3505E"/>
    <w:rsid w:val="36045DEC"/>
    <w:rsid w:val="361736AD"/>
    <w:rsid w:val="36291567"/>
    <w:rsid w:val="36905D28"/>
    <w:rsid w:val="36D200CF"/>
    <w:rsid w:val="36E625D8"/>
    <w:rsid w:val="37290AF1"/>
    <w:rsid w:val="37364124"/>
    <w:rsid w:val="3776777C"/>
    <w:rsid w:val="37A87B4B"/>
    <w:rsid w:val="37DF0271"/>
    <w:rsid w:val="38036406"/>
    <w:rsid w:val="38152E68"/>
    <w:rsid w:val="38382DC3"/>
    <w:rsid w:val="38794785"/>
    <w:rsid w:val="389F2C3C"/>
    <w:rsid w:val="38D62EB4"/>
    <w:rsid w:val="390B1F57"/>
    <w:rsid w:val="39721332"/>
    <w:rsid w:val="39B2192F"/>
    <w:rsid w:val="39EE68B0"/>
    <w:rsid w:val="39EF7CAF"/>
    <w:rsid w:val="3A6F4CFB"/>
    <w:rsid w:val="3ABE1A8A"/>
    <w:rsid w:val="3AF62716"/>
    <w:rsid w:val="3B220006"/>
    <w:rsid w:val="3B2A0F67"/>
    <w:rsid w:val="3BCA27B8"/>
    <w:rsid w:val="3C4A35F1"/>
    <w:rsid w:val="3C540BD2"/>
    <w:rsid w:val="3C5433D0"/>
    <w:rsid w:val="3CD662DF"/>
    <w:rsid w:val="3CF35CE4"/>
    <w:rsid w:val="3D6637FD"/>
    <w:rsid w:val="3D743ED4"/>
    <w:rsid w:val="3D8E3295"/>
    <w:rsid w:val="3EB60287"/>
    <w:rsid w:val="3ED3114D"/>
    <w:rsid w:val="3EDA70CB"/>
    <w:rsid w:val="3F9B7EF1"/>
    <w:rsid w:val="3FAC4783"/>
    <w:rsid w:val="3FAD2B29"/>
    <w:rsid w:val="40865225"/>
    <w:rsid w:val="41D24DB5"/>
    <w:rsid w:val="434D5B46"/>
    <w:rsid w:val="43E00D1A"/>
    <w:rsid w:val="43FC254B"/>
    <w:rsid w:val="44427EB7"/>
    <w:rsid w:val="448316D6"/>
    <w:rsid w:val="449D080A"/>
    <w:rsid w:val="44D414C9"/>
    <w:rsid w:val="44DE3202"/>
    <w:rsid w:val="46003460"/>
    <w:rsid w:val="462C180B"/>
    <w:rsid w:val="46472D5E"/>
    <w:rsid w:val="469B4709"/>
    <w:rsid w:val="46A85B41"/>
    <w:rsid w:val="46AB5AE5"/>
    <w:rsid w:val="47E82E09"/>
    <w:rsid w:val="484215BA"/>
    <w:rsid w:val="48BA2291"/>
    <w:rsid w:val="49332FB5"/>
    <w:rsid w:val="4A291101"/>
    <w:rsid w:val="4A33669D"/>
    <w:rsid w:val="4AD50ED2"/>
    <w:rsid w:val="4AD737DB"/>
    <w:rsid w:val="4B013AA6"/>
    <w:rsid w:val="4B051E65"/>
    <w:rsid w:val="4B3A1BDA"/>
    <w:rsid w:val="4B3C43EF"/>
    <w:rsid w:val="4B517670"/>
    <w:rsid w:val="4C2D2079"/>
    <w:rsid w:val="4D392B7F"/>
    <w:rsid w:val="4D4E6CB4"/>
    <w:rsid w:val="4D5A45BC"/>
    <w:rsid w:val="4D8F15D8"/>
    <w:rsid w:val="4DA0266A"/>
    <w:rsid w:val="4DC759F3"/>
    <w:rsid w:val="4DED7214"/>
    <w:rsid w:val="4E040B17"/>
    <w:rsid w:val="4E374A5A"/>
    <w:rsid w:val="4E6D27A0"/>
    <w:rsid w:val="4E9575B8"/>
    <w:rsid w:val="4E9F43E4"/>
    <w:rsid w:val="4EA560D6"/>
    <w:rsid w:val="4EBA2AE4"/>
    <w:rsid w:val="4ED345E0"/>
    <w:rsid w:val="4F2214E2"/>
    <w:rsid w:val="4F924FB7"/>
    <w:rsid w:val="4FEA2B4E"/>
    <w:rsid w:val="503662A7"/>
    <w:rsid w:val="51DD22DD"/>
    <w:rsid w:val="51EC1975"/>
    <w:rsid w:val="51EC5327"/>
    <w:rsid w:val="52D90F0C"/>
    <w:rsid w:val="52F86189"/>
    <w:rsid w:val="534A5134"/>
    <w:rsid w:val="53B57089"/>
    <w:rsid w:val="53BA7E93"/>
    <w:rsid w:val="53E143AE"/>
    <w:rsid w:val="54471105"/>
    <w:rsid w:val="545E02B1"/>
    <w:rsid w:val="54A775EF"/>
    <w:rsid w:val="54B54467"/>
    <w:rsid w:val="54C647CF"/>
    <w:rsid w:val="55435CE9"/>
    <w:rsid w:val="555B0A3F"/>
    <w:rsid w:val="55734D49"/>
    <w:rsid w:val="55987808"/>
    <w:rsid w:val="55C3156A"/>
    <w:rsid w:val="55C74027"/>
    <w:rsid w:val="55EC7C86"/>
    <w:rsid w:val="56A214AE"/>
    <w:rsid w:val="573B21BA"/>
    <w:rsid w:val="58614E0C"/>
    <w:rsid w:val="58FD7D40"/>
    <w:rsid w:val="59155CE1"/>
    <w:rsid w:val="59AA10F9"/>
    <w:rsid w:val="59D45B85"/>
    <w:rsid w:val="5A0D31C8"/>
    <w:rsid w:val="5A5C59AE"/>
    <w:rsid w:val="5A6F296E"/>
    <w:rsid w:val="5B1530FC"/>
    <w:rsid w:val="5B245FB5"/>
    <w:rsid w:val="5B7D1EEC"/>
    <w:rsid w:val="5B8604E4"/>
    <w:rsid w:val="5BA8677C"/>
    <w:rsid w:val="5BB17334"/>
    <w:rsid w:val="5C2A51C2"/>
    <w:rsid w:val="5CBE490A"/>
    <w:rsid w:val="5CE81E44"/>
    <w:rsid w:val="5D3D0B65"/>
    <w:rsid w:val="5D554985"/>
    <w:rsid w:val="5D571BF1"/>
    <w:rsid w:val="5D753385"/>
    <w:rsid w:val="5E601A40"/>
    <w:rsid w:val="5F6664B4"/>
    <w:rsid w:val="5F8E0C51"/>
    <w:rsid w:val="5FA83BA6"/>
    <w:rsid w:val="5FE724D4"/>
    <w:rsid w:val="60067A8B"/>
    <w:rsid w:val="604605B9"/>
    <w:rsid w:val="608606DE"/>
    <w:rsid w:val="60ED73F7"/>
    <w:rsid w:val="61630BEE"/>
    <w:rsid w:val="616A4F19"/>
    <w:rsid w:val="61B61E18"/>
    <w:rsid w:val="626847C8"/>
    <w:rsid w:val="62A26C17"/>
    <w:rsid w:val="63014E7B"/>
    <w:rsid w:val="637E1A55"/>
    <w:rsid w:val="638843AD"/>
    <w:rsid w:val="63D67A7D"/>
    <w:rsid w:val="64875264"/>
    <w:rsid w:val="66AE6D3A"/>
    <w:rsid w:val="66C35559"/>
    <w:rsid w:val="66D91A76"/>
    <w:rsid w:val="66E32855"/>
    <w:rsid w:val="674C66DB"/>
    <w:rsid w:val="67735961"/>
    <w:rsid w:val="682D31E4"/>
    <w:rsid w:val="6868145A"/>
    <w:rsid w:val="68B337CC"/>
    <w:rsid w:val="68BC13E5"/>
    <w:rsid w:val="69143380"/>
    <w:rsid w:val="6A0C71DE"/>
    <w:rsid w:val="6A287B5E"/>
    <w:rsid w:val="6A405B73"/>
    <w:rsid w:val="6A6B37FA"/>
    <w:rsid w:val="6B295D61"/>
    <w:rsid w:val="6B303A1A"/>
    <w:rsid w:val="6B3D78C6"/>
    <w:rsid w:val="6B9A0CE8"/>
    <w:rsid w:val="6C0D6B0B"/>
    <w:rsid w:val="6C8E73F6"/>
    <w:rsid w:val="6CCF1940"/>
    <w:rsid w:val="6D473557"/>
    <w:rsid w:val="6D897695"/>
    <w:rsid w:val="6DAA2FDF"/>
    <w:rsid w:val="6DF1033E"/>
    <w:rsid w:val="6E0132AC"/>
    <w:rsid w:val="6E121228"/>
    <w:rsid w:val="6E6C4611"/>
    <w:rsid w:val="6F014893"/>
    <w:rsid w:val="6F2B6BEF"/>
    <w:rsid w:val="6F4E0AFA"/>
    <w:rsid w:val="6F8F2B34"/>
    <w:rsid w:val="70873960"/>
    <w:rsid w:val="70B81233"/>
    <w:rsid w:val="70C30991"/>
    <w:rsid w:val="70D1495F"/>
    <w:rsid w:val="71174358"/>
    <w:rsid w:val="7163535E"/>
    <w:rsid w:val="716D3C1D"/>
    <w:rsid w:val="71783F98"/>
    <w:rsid w:val="71860FCD"/>
    <w:rsid w:val="722D2A5F"/>
    <w:rsid w:val="72410EC4"/>
    <w:rsid w:val="730C32F8"/>
    <w:rsid w:val="734B7C16"/>
    <w:rsid w:val="73545F51"/>
    <w:rsid w:val="735679D9"/>
    <w:rsid w:val="735F40D6"/>
    <w:rsid w:val="73641402"/>
    <w:rsid w:val="737A6AC3"/>
    <w:rsid w:val="737B48BB"/>
    <w:rsid w:val="7415064C"/>
    <w:rsid w:val="74260818"/>
    <w:rsid w:val="743C057A"/>
    <w:rsid w:val="74431F5E"/>
    <w:rsid w:val="74E73186"/>
    <w:rsid w:val="763306FC"/>
    <w:rsid w:val="763936F3"/>
    <w:rsid w:val="763B2CF0"/>
    <w:rsid w:val="764E470D"/>
    <w:rsid w:val="76631D01"/>
    <w:rsid w:val="76850D49"/>
    <w:rsid w:val="76B35443"/>
    <w:rsid w:val="76CD51C8"/>
    <w:rsid w:val="773B0089"/>
    <w:rsid w:val="77670AEA"/>
    <w:rsid w:val="77974740"/>
    <w:rsid w:val="78391D4B"/>
    <w:rsid w:val="78417157"/>
    <w:rsid w:val="7842124A"/>
    <w:rsid w:val="784E1CF0"/>
    <w:rsid w:val="78A54556"/>
    <w:rsid w:val="792549A7"/>
    <w:rsid w:val="79435213"/>
    <w:rsid w:val="7A6A3937"/>
    <w:rsid w:val="7B0320A0"/>
    <w:rsid w:val="7B8613C3"/>
    <w:rsid w:val="7C492050"/>
    <w:rsid w:val="7C766170"/>
    <w:rsid w:val="7CA976D1"/>
    <w:rsid w:val="7D1374F3"/>
    <w:rsid w:val="7D26550D"/>
    <w:rsid w:val="7D2D6A7C"/>
    <w:rsid w:val="7D99569A"/>
    <w:rsid w:val="7E2B4E0E"/>
    <w:rsid w:val="7E3420E0"/>
    <w:rsid w:val="7E9B1F1B"/>
    <w:rsid w:val="7F1E0D91"/>
    <w:rsid w:val="7F35093E"/>
    <w:rsid w:val="7F96117C"/>
    <w:rsid w:val="7FAD5747"/>
    <w:rsid w:val="7FAF1A05"/>
    <w:rsid w:val="7FCF6291"/>
    <w:rsid w:val="7FD07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2">
    <w:name w:val="heading 2"/>
    <w:basedOn w:val="1"/>
    <w:next w:val="1"/>
    <w:unhideWhenUsed/>
    <w:qFormat/>
    <w:uiPriority w:val="99"/>
    <w:pPr>
      <w:autoSpaceDE w:val="0"/>
      <w:autoSpaceDN w:val="0"/>
      <w:adjustRightInd w:val="0"/>
      <w:outlineLvl w:val="1"/>
    </w:pPr>
    <w:rPr>
      <w:rFonts w:ascii="Arial" w:hAnsi="Arial"/>
      <w:b/>
      <w:i/>
      <w:color w:val="000000"/>
      <w:sz w:val="28"/>
    </w:rPr>
  </w:style>
  <w:style w:type="paragraph" w:styleId="4">
    <w:name w:val="heading 3"/>
    <w:basedOn w:val="1"/>
    <w:next w:val="1"/>
    <w:qFormat/>
    <w:uiPriority w:val="0"/>
    <w:pPr>
      <w:keepNext/>
      <w:keepLines/>
      <w:spacing w:before="140" w:after="140" w:line="413" w:lineRule="auto"/>
      <w:outlineLvl w:val="2"/>
    </w:pPr>
    <w:rPr>
      <w:rFonts w:ascii="Times New Roman" w:hAnsi="Times New Roman"/>
      <w:b/>
      <w:sz w:val="28"/>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annotation text"/>
    <w:basedOn w:val="1"/>
    <w:qFormat/>
    <w:uiPriority w:val="0"/>
    <w:pPr>
      <w:jc w:val="left"/>
    </w:pPr>
  </w:style>
  <w:style w:type="paragraph" w:styleId="7">
    <w:name w:val="Body Text Indent"/>
    <w:basedOn w:val="1"/>
    <w:qFormat/>
    <w:uiPriority w:val="0"/>
    <w:pPr>
      <w:spacing w:after="120"/>
      <w:ind w:left="420" w:leftChars="200"/>
    </w:pPr>
  </w:style>
  <w:style w:type="paragraph" w:styleId="8">
    <w:name w:val="Plain Text"/>
    <w:basedOn w:val="1"/>
    <w:link w:val="19"/>
    <w:qFormat/>
    <w:uiPriority w:val="0"/>
    <w:rPr>
      <w:rFonts w:ascii="宋体" w:hAnsi="Courier New"/>
      <w:kern w:val="0"/>
      <w:sz w:val="20"/>
      <w:szCs w:val="20"/>
    </w:rPr>
  </w:style>
  <w:style w:type="paragraph" w:styleId="9">
    <w:name w:val="footer"/>
    <w:basedOn w:val="1"/>
    <w:link w:val="18"/>
    <w:qFormat/>
    <w:uiPriority w:val="0"/>
    <w:pPr>
      <w:tabs>
        <w:tab w:val="center" w:pos="4153"/>
        <w:tab w:val="right" w:pos="8306"/>
      </w:tabs>
      <w:snapToGrid w:val="0"/>
      <w:jc w:val="left"/>
    </w:pPr>
    <w:rPr>
      <w:sz w:val="18"/>
      <w:szCs w:val="18"/>
    </w:rPr>
  </w:style>
  <w:style w:type="paragraph" w:styleId="10">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jc w:val="left"/>
    </w:pPr>
    <w:rPr>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目录 21"/>
    <w:basedOn w:val="1"/>
    <w:next w:val="1"/>
    <w:qFormat/>
    <w:uiPriority w:val="0"/>
    <w:pPr>
      <w:spacing w:before="100" w:beforeAutospacing="1" w:after="100" w:afterAutospacing="1"/>
      <w:ind w:left="420" w:leftChars="200"/>
    </w:pPr>
  </w:style>
  <w:style w:type="paragraph" w:customStyle="1" w:styleId="16">
    <w:name w:val="_Style 5"/>
    <w:basedOn w:val="1"/>
    <w:qFormat/>
    <w:uiPriority w:val="0"/>
    <w:pPr>
      <w:ind w:firstLine="420" w:firstLineChars="200"/>
    </w:pPr>
  </w:style>
  <w:style w:type="character" w:customStyle="1" w:styleId="17">
    <w:name w:val="页眉 字符"/>
    <w:basedOn w:val="14"/>
    <w:link w:val="10"/>
    <w:qFormat/>
    <w:uiPriority w:val="0"/>
    <w:rPr>
      <w:rFonts w:ascii="Calibri" w:hAnsi="Calibri"/>
      <w:kern w:val="2"/>
      <w:sz w:val="18"/>
      <w:szCs w:val="18"/>
    </w:rPr>
  </w:style>
  <w:style w:type="character" w:customStyle="1" w:styleId="18">
    <w:name w:val="页脚 字符"/>
    <w:basedOn w:val="14"/>
    <w:link w:val="9"/>
    <w:qFormat/>
    <w:uiPriority w:val="0"/>
    <w:rPr>
      <w:rFonts w:ascii="Calibri" w:hAnsi="Calibri"/>
      <w:kern w:val="2"/>
      <w:sz w:val="18"/>
      <w:szCs w:val="18"/>
    </w:rPr>
  </w:style>
  <w:style w:type="character" w:customStyle="1" w:styleId="19">
    <w:name w:val="纯文本 字符"/>
    <w:link w:val="8"/>
    <w:qFormat/>
    <w:uiPriority w:val="0"/>
    <w:rPr>
      <w:rFonts w:ascii="宋体" w:hAnsi="Courier New"/>
    </w:rPr>
  </w:style>
  <w:style w:type="character" w:customStyle="1" w:styleId="20">
    <w:name w:val="font11"/>
    <w:basedOn w:val="14"/>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GEDI</Company>
  <Pages>5</Pages>
  <Words>4668</Words>
  <Characters>5003</Characters>
  <Lines>27</Lines>
  <Paragraphs>7</Paragraphs>
  <TotalTime>0</TotalTime>
  <ScaleCrop>false</ScaleCrop>
  <LinksUpToDate>false</LinksUpToDate>
  <CharactersWithSpaces>5005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2021-09-06T02:54:00Z</dcterms:created>
  <dc:creator>maja</dc:creator>
  <cp:lastModifiedBy>朱嘉仪</cp:lastModifiedBy>
  <dcterms:modified xsi:type="dcterms:W3CDTF">2024-05-06T06:18:16Z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C6D023F877EA47E98F2DBA330C031915</vt:lpwstr>
  </property>
</Properties>
</file>