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1300" w:hanging="880" w:hangingChars="200"/>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广西电网公司防城港供电局输电所技术业务</w:t>
      </w:r>
    </w:p>
    <w:p>
      <w:pPr>
        <w:pStyle w:val="2"/>
        <w:ind w:left="1300" w:hanging="880" w:hangingChars="200"/>
        <w:jc w:val="center"/>
        <w:rPr>
          <w:rFonts w:hint="eastAsia"/>
        </w:rPr>
      </w:pPr>
      <w:r>
        <w:rPr>
          <w:rFonts w:hint="eastAsia" w:ascii="方正小标宋_GBK" w:hAnsi="方正小标宋_GBK" w:eastAsia="方正小标宋_GBK" w:cs="方正小标宋_GBK"/>
          <w:sz w:val="44"/>
          <w:szCs w:val="44"/>
          <w:lang w:val="en-US" w:eastAsia="zh-CN"/>
        </w:rPr>
        <w:t>用房项目测绘、测量类服务零星采购项目</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防城港市港口区</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二、服务内容</w:t>
      </w:r>
    </w:p>
    <w:p>
      <w:pPr>
        <w:pStyle w:val="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600" w:lineRule="exact"/>
        <w:ind w:left="0" w:leftChars="0" w:firstLine="640" w:firstLineChars="200"/>
        <w:jc w:val="center"/>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kern w:val="2"/>
          <w:sz w:val="32"/>
          <w:szCs w:val="32"/>
          <w:highlight w:val="none"/>
          <w:lang w:val="en-US" w:eastAsia="zh-CN" w:bidi="ar-SA"/>
        </w:rPr>
        <w:t xml:space="preserve"> 负责组织开展广西电网公司防城港供电局输电所技术业务用房项目测绘、测量类服务，地形测绘及数据编辑，确保项目的设计、施工和管理过程中能够准确、全面地了解工程区域的地形、地貌、地质及其他相关要素；开展宗地图、房产分户图等办理房屋不动产权所需要的所有测绘工作，并出具相应的测绘成果及报告，递交满足相关制度、标准、规程、规范要求的完整资料</w:t>
      </w:r>
      <w:r>
        <w:rPr>
          <w:rFonts w:hint="eastAsia" w:ascii="仿宋_GB2312" w:hAnsi="仿宋_GB2312" w:eastAsia="仿宋_GB2312" w:cs="仿宋_GB2312"/>
          <w:color w:val="auto"/>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1.测绘要求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精度要求：测绘工作应遵循国家和行业相关标准，确保测绘数据的准确性和可靠性。对于关键区域的测绘，应适当提高精度要求，以满足工程设计和施工的需要</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数据处理：测绘数据应及时整理、分析和处理，确保数据的有效性和可用性。处理过程中应遵循相关规范和标准，确保数据的完整性和一致性</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）提交成果：测绘完成后，应提交详细的测绘报告、图纸和数据文件，包括电子和纸质版本</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分析计算</w:t>
      </w:r>
      <w:r>
        <w:rPr>
          <w:rFonts w:hint="eastAsia" w:ascii="仿宋_GB2312" w:hAnsi="仿宋_GB2312" w:eastAsia="仿宋_GB2312" w:cs="仿宋_GB2312"/>
          <w:color w:val="auto"/>
          <w:sz w:val="32"/>
          <w:szCs w:val="32"/>
          <w:highlight w:val="none"/>
          <w:lang w:val="en-US" w:eastAsia="zh-CN"/>
        </w:rPr>
        <w:t>工作量费用要求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）按国家标准</w:t>
      </w:r>
      <w:r>
        <w:rPr>
          <w:rFonts w:hint="eastAsia" w:ascii="仿宋_GB2312" w:hAnsi="仿宋_GB2312" w:eastAsia="仿宋_GB2312" w:cs="仿宋_GB2312"/>
          <w:color w:val="auto"/>
          <w:sz w:val="32"/>
          <w:szCs w:val="32"/>
          <w:highlight w:val="none"/>
          <w:lang w:val="en-US" w:eastAsia="zh-CN"/>
        </w:rPr>
        <w:t>《测绘生产成本费用定额》（财建[2009]17号）计算费用</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（二）时间安排</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本次测绘任务的时间安排应根据工程的实际进度和需要进行合理安排。测绘工作应在确保质量的前提下，尽量缩短工期，以满足工程的实际需求。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（三）保密要求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测绘工作涉及的地理信息数据具有一定的保密性，相关人员应严格遵守保密规定，确保测绘数据的安全性和保密性。未经许可，不得擅自泄露、传播或利用测绘数据。</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）责任与义务</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参与本次测绘任务的人员应履行相应的责任和义务，确保测绘工作的顺利进行和高质量完成。同时，应积极配合相关部门和单位的工作，为工程的顺利推进提供有力支持。</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eastAsia="zh-CN"/>
        </w:rPr>
        <w:t>通用资格：</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1.在中华人民共和国境内注册，持有合法有效的法人证书（或法人身份证明文件）或其他组织证书（或其他组织证明文件）。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2.单位负责人为同一人或者存在控股、管理关系的不同单位，不同单位董事、监事、高级管理人员相互交叉任职的，不得参加同一标包（标段）投标或者未划分标包（标段）的同一招标项目（标的）的投标。</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3.不接受联合体投标。</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color w:val="auto"/>
          <w:sz w:val="32"/>
          <w:szCs w:val="32"/>
          <w:lang w:eastAsia="zh-CN"/>
        </w:rPr>
        <w:t>4.其他不得存在的情形：被相关政府部门实施市场禁入、禁止参加投标、承接新项目的；在中国南方电网有限责任公司范围内被纳入供应商预警名单或处理名单实施不接受投标处理、市场禁入处理，且未解除的。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ascii="仿宋_GB2312" w:hAnsi="仿宋_GB2312" w:eastAsia="仿宋_GB2312" w:cs="仿宋_GB2312"/>
          <w:color w:val="auto"/>
          <w:sz w:val="32"/>
          <w:szCs w:val="32"/>
          <w:lang w:eastAsia="zh-CN"/>
        </w:rPr>
        <w:br w:type="textWrapping"/>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b/>
          <w:bCs/>
          <w:color w:val="auto"/>
          <w:sz w:val="32"/>
          <w:szCs w:val="32"/>
          <w:lang w:eastAsia="zh-CN"/>
        </w:rPr>
        <w:t>专用资格：</w:t>
      </w:r>
    </w:p>
    <w:p>
      <w:pPr>
        <w:pStyle w:val="2"/>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拟任项目负责人应具备中级及以上工程师资格（测量专业）</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本项目经验收合格后结算，结算金额</w:t>
      </w:r>
      <w:r>
        <w:rPr>
          <w:rFonts w:hint="eastAsia" w:ascii="仿宋_GB2312" w:hAnsi="仿宋_GB2312" w:eastAsia="仿宋_GB2312" w:cs="仿宋_GB2312"/>
          <w:color w:val="auto"/>
          <w:sz w:val="32"/>
          <w:szCs w:val="32"/>
          <w:highlight w:val="none"/>
          <w:lang w:val="en-US" w:eastAsia="zh-CN"/>
        </w:rPr>
        <w:t>按成交金额</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合同生效后，承包方完成发包方指定工程测绘任务并出具满足地方政府相关部门的要求测绘成果及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w:t>
      </w:r>
      <w:r>
        <w:rPr>
          <w:rFonts w:hint="eastAsia" w:ascii="仿宋_GB2312" w:hAnsi="仿宋_GB2312" w:eastAsia="仿宋_GB2312" w:cs="仿宋_GB2312"/>
          <w:sz w:val="32"/>
          <w:szCs w:val="32"/>
          <w:lang w:eastAsia="zh-CN"/>
        </w:rPr>
        <w:t>测绘</w:t>
      </w:r>
      <w:r>
        <w:rPr>
          <w:rFonts w:hint="eastAsia" w:ascii="仿宋_GB2312" w:hAnsi="仿宋_GB2312" w:eastAsia="仿宋_GB2312" w:cs="仿宋_GB2312"/>
          <w:sz w:val="32"/>
          <w:szCs w:val="32"/>
        </w:rPr>
        <w:t>报告，确保</w:t>
      </w:r>
      <w:r>
        <w:rPr>
          <w:rFonts w:hint="eastAsia" w:ascii="仿宋_GB2312" w:hAnsi="仿宋_GB2312" w:eastAsia="仿宋_GB2312" w:cs="仿宋_GB2312"/>
          <w:sz w:val="32"/>
          <w:szCs w:val="32"/>
          <w:lang w:eastAsia="zh-CN"/>
        </w:rPr>
        <w:t>测绘成果</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lang w:eastAsia="zh-CN"/>
        </w:rPr>
        <w:t>办理</w:t>
      </w:r>
      <w:r>
        <w:rPr>
          <w:rFonts w:hint="eastAsia" w:ascii="仿宋_GB2312" w:hAnsi="仿宋_GB2312" w:eastAsia="仿宋_GB2312" w:cs="仿宋_GB2312"/>
          <w:sz w:val="32"/>
          <w:szCs w:val="32"/>
          <w:lang w:val="en-US" w:eastAsia="zh-CN"/>
        </w:rPr>
        <w:t>合规性手续时能够满足</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lang w:val="en-US" w:eastAsia="zh-CN"/>
        </w:rPr>
        <w:t>政府相关部门的要求</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合同签</w:t>
      </w:r>
      <w:r>
        <w:rPr>
          <w:rFonts w:hint="eastAsia" w:ascii="仿宋_GB2312" w:hAnsi="仿宋_GB2312" w:eastAsia="仿宋_GB2312" w:cs="仿宋_GB2312"/>
          <w:sz w:val="32"/>
          <w:szCs w:val="32"/>
          <w:lang w:val="en-US" w:eastAsia="zh-CN"/>
        </w:rPr>
        <w:t>订之日起至甲方取得不动产权证，其中每项测绘并出具满足政府相关部门认可的成果及报告的期限为发包人通知承包方进场之日起30日内完成。</w:t>
      </w:r>
    </w:p>
    <w:p>
      <w:pPr>
        <w:pStyle w:val="2"/>
        <w:ind w:left="0" w:leftChars="0" w:firstLine="0" w:firstLineChars="0"/>
        <w:rPr>
          <w:rFonts w:hint="eastAsia" w:eastAsiaTheme="minorEastAsia"/>
          <w:lang w:val="en-US" w:eastAsia="zh-CN"/>
        </w:rPr>
      </w:pPr>
      <w:r>
        <w:rPr>
          <w:rFonts w:hint="eastAsia"/>
          <w:lang w:val="en-US" w:eastAsia="zh-CN"/>
        </w:rPr>
        <w:t xml:space="preserve">   </w:t>
      </w:r>
      <w:r>
        <w:rPr>
          <w:rFonts w:hint="eastAsia" w:asciiTheme="minorEastAsia" w:hAnsiTheme="minorEastAsia" w:eastAsiaTheme="minorEastAsia" w:cstheme="minorEastAsia"/>
          <w:b/>
          <w:bCs/>
          <w:kern w:val="2"/>
          <w:sz w:val="32"/>
          <w:szCs w:val="32"/>
          <w:lang w:val="en-US" w:eastAsia="zh-CN" w:bidi="ar-SA"/>
        </w:rPr>
        <w:t xml:space="preserve"> 七、推荐原则：</w:t>
      </w:r>
      <w:r>
        <w:rPr>
          <w:rFonts w:hint="eastAsia" w:ascii="仿宋_GB2312" w:hAnsi="仿宋_GB2312" w:eastAsia="仿宋_GB2312" w:cs="仿宋_GB2312"/>
          <w:color w:val="auto"/>
          <w:sz w:val="32"/>
          <w:szCs w:val="32"/>
          <w:lang w:val="en-US" w:eastAsia="zh-CN"/>
        </w:rPr>
        <w:t>推荐报价在限价以内的最低价供应商成交。</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lang w:eastAsia="zh-CN"/>
        </w:rPr>
      </w:pPr>
      <w:r>
        <w:rPr>
          <w:rFonts w:hint="eastAsia" w:ascii="仿宋_GB2312" w:hAnsi="仿宋_GB2312" w:eastAsia="仿宋_GB2312" w:cs="仿宋_GB2312"/>
          <w:sz w:val="32"/>
          <w:szCs w:val="32"/>
          <w:lang w:val="en-US" w:eastAsia="zh-CN"/>
        </w:rPr>
        <w:t>2.项目工程数量（附后）</w:t>
      </w:r>
      <w:bookmarkStart w:id="0" w:name="_GoBack"/>
      <w:bookmarkEnd w:id="0"/>
      <w:r>
        <w:rPr>
          <w:rFonts w:hint="eastAsia"/>
          <w:lang w:eastAsia="zh-CN"/>
        </w:rPr>
        <w:br w:type="page"/>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5"/>
        <w:tblW w:w="108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28"/>
        <w:gridCol w:w="2971"/>
        <w:gridCol w:w="1927"/>
        <w:gridCol w:w="1902"/>
        <w:gridCol w:w="3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2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1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u w:val="none"/>
                <w:lang w:val="en-US" w:eastAsia="zh-CN" w:bidi="ar"/>
              </w:rPr>
            </w:pPr>
            <w:r>
              <w:rPr>
                <w:rFonts w:hint="eastAsia" w:asciiTheme="minorEastAsia" w:hAnsiTheme="minorEastAsia" w:cstheme="minorEastAsia"/>
                <w:b/>
                <w:i w:val="0"/>
                <w:color w:val="000000"/>
                <w:kern w:val="0"/>
                <w:sz w:val="24"/>
                <w:szCs w:val="24"/>
                <w:u w:val="none"/>
                <w:lang w:val="en-US" w:eastAsia="zh-CN" w:bidi="ar"/>
              </w:rPr>
              <w:t>基底面积</w:t>
            </w:r>
          </w:p>
          <w:p>
            <w:pPr>
              <w:keepNext w:val="0"/>
              <w:keepLines w:val="0"/>
              <w:widowControl/>
              <w:suppressLineNumbers w:val="0"/>
              <w:jc w:val="center"/>
              <w:textAlignment w:val="center"/>
              <w:rPr>
                <w:rFonts w:hint="default" w:asciiTheme="minorEastAsia" w:hAnsiTheme="minorEastAsia" w:eastAsiaTheme="minorEastAsia" w:cstheme="minorEastAsia"/>
                <w:b/>
                <w:i w:val="0"/>
                <w:color w:val="000000"/>
                <w:kern w:val="0"/>
                <w:sz w:val="24"/>
                <w:szCs w:val="24"/>
                <w:u w:val="none"/>
                <w:lang w:val="en-US" w:eastAsia="zh-CN" w:bidi="ar"/>
              </w:rPr>
            </w:pP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建筑面积</w:t>
            </w:r>
            <w:r>
              <w:rPr>
                <w:rFonts w:hint="eastAsia" w:asciiTheme="minorEastAsia" w:hAnsiTheme="minorEastAsia" w:eastAsiaTheme="minorEastAsia" w:cstheme="minorEastAsia"/>
                <w:b/>
                <w:i w:val="0"/>
                <w:color w:val="000000"/>
                <w:kern w:val="0"/>
                <w:sz w:val="24"/>
                <w:szCs w:val="24"/>
                <w:u w:val="none"/>
                <w:lang w:val="en-US" w:eastAsia="zh-CN" w:bidi="ar"/>
              </w:rPr>
              <w:br w:type="textWrapping"/>
            </w: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3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b/>
                <w:bCs/>
                <w:sz w:val="24"/>
                <w:szCs w:val="24"/>
                <w:lang w:val="en-US" w:eastAsia="zh-CN"/>
              </w:rPr>
              <w:t>建设地点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48" w:hRule="atLeast"/>
          <w:jc w:val="center"/>
        </w:trPr>
        <w:tc>
          <w:tcPr>
            <w:tcW w:w="828"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2971"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lang w:eastAsia="zh-CN"/>
              </w:rPr>
            </w:pPr>
            <w:r>
              <w:rPr>
                <w:rFonts w:hint="eastAsia" w:asciiTheme="minorEastAsia" w:hAnsiTheme="minorEastAsia" w:cstheme="minorEastAsia"/>
                <w:i w:val="0"/>
                <w:color w:val="auto"/>
                <w:sz w:val="24"/>
                <w:szCs w:val="24"/>
                <w:highlight w:val="none"/>
                <w:u w:val="none"/>
                <w:lang w:eastAsia="zh-CN"/>
              </w:rPr>
              <w:t>防城港</w:t>
            </w:r>
            <w:r>
              <w:rPr>
                <w:rFonts w:hint="eastAsia" w:asciiTheme="minorEastAsia" w:hAnsiTheme="minorEastAsia" w:cstheme="minorEastAsia"/>
                <w:i w:val="0"/>
                <w:color w:val="auto"/>
                <w:sz w:val="24"/>
                <w:szCs w:val="24"/>
                <w:highlight w:val="none"/>
                <w:u w:val="none"/>
                <w:lang w:val="en-US" w:eastAsia="zh-CN"/>
              </w:rPr>
              <w:t>供电局</w:t>
            </w:r>
            <w:r>
              <w:rPr>
                <w:rFonts w:hint="eastAsia" w:asciiTheme="minorEastAsia" w:hAnsiTheme="minorEastAsia" w:eastAsiaTheme="minorEastAsia" w:cstheme="minorEastAsia"/>
                <w:i w:val="0"/>
                <w:color w:val="auto"/>
                <w:sz w:val="24"/>
                <w:szCs w:val="24"/>
                <w:highlight w:val="none"/>
                <w:u w:val="none"/>
                <w:lang w:eastAsia="zh-CN"/>
              </w:rPr>
              <w:t>输电所技术</w:t>
            </w:r>
          </w:p>
          <w:p>
            <w:pPr>
              <w:spacing w:beforeLines="0" w:afterLines="0"/>
              <w:jc w:val="center"/>
              <w:rPr>
                <w:rFonts w:hint="eastAsia" w:asciiTheme="minorEastAsia" w:hAnsiTheme="minorEastAsia" w:eastAsiaTheme="minorEastAsia" w:cstheme="minorEastAsia"/>
                <w:i w:val="0"/>
                <w:color w:val="auto"/>
                <w:sz w:val="24"/>
                <w:szCs w:val="24"/>
                <w:highlight w:val="none"/>
                <w:u w:val="none"/>
                <w:lang w:eastAsia="zh-CN"/>
              </w:rPr>
            </w:pPr>
            <w:r>
              <w:rPr>
                <w:rFonts w:hint="eastAsia" w:asciiTheme="minorEastAsia" w:hAnsiTheme="minorEastAsia" w:eastAsiaTheme="minorEastAsia" w:cstheme="minorEastAsia"/>
                <w:i w:val="0"/>
                <w:color w:val="auto"/>
                <w:sz w:val="24"/>
                <w:szCs w:val="24"/>
                <w:highlight w:val="none"/>
                <w:u w:val="none"/>
                <w:lang w:eastAsia="zh-CN"/>
              </w:rPr>
              <w:t>业务用房</w:t>
            </w:r>
          </w:p>
        </w:tc>
        <w:tc>
          <w:tcPr>
            <w:tcW w:w="1927"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lang w:val="en-US" w:eastAsia="zh-CN"/>
              </w:rPr>
              <w:t>1909.35</w:t>
            </w:r>
          </w:p>
        </w:tc>
        <w:tc>
          <w:tcPr>
            <w:tcW w:w="190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lang w:val="en-US" w:eastAsia="zh-CN"/>
              </w:rPr>
            </w:pPr>
            <w:r>
              <w:rPr>
                <w:rFonts w:hint="eastAsia"/>
                <w:lang w:val="en-US" w:eastAsia="zh-CN"/>
              </w:rPr>
              <w:t>13217.00</w:t>
            </w:r>
          </w:p>
        </w:tc>
        <w:tc>
          <w:tcPr>
            <w:tcW w:w="3190"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防城港市港口区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1081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left"/>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备注：面积以实际测绘面积为准。</w:t>
            </w:r>
          </w:p>
        </w:tc>
      </w:tr>
    </w:tbl>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sectPr>
          <w:footerReference r:id="rId3" w:type="default"/>
          <w:pgSz w:w="11906" w:h="16838"/>
          <w:pgMar w:top="1417" w:right="1417" w:bottom="1417" w:left="1417" w:header="851" w:footer="992" w:gutter="0"/>
          <w:pgNumType w:fmt="decimal"/>
          <w:cols w:space="0" w:num="1"/>
          <w:rtlGutter w:val="0"/>
          <w:docGrid w:type="lines" w:linePitch="312" w:charSpace="0"/>
        </w:sect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r>
        <w:rPr>
          <w:rFonts w:hint="eastAsia" w:ascii="仿宋_GB2312" w:hAnsi="仿宋_GB2312" w:eastAsia="仿宋_GB2312" w:cs="仿宋_GB2312"/>
          <w:i w:val="0"/>
          <w:color w:val="000000"/>
          <w:kern w:val="0"/>
          <w:sz w:val="32"/>
          <w:szCs w:val="32"/>
          <w:u w:val="none"/>
          <w:lang w:val="en-US" w:eastAsia="zh-CN" w:bidi="ar"/>
        </w:rPr>
        <w:t>附件2</w:t>
      </w:r>
    </w:p>
    <w:tbl>
      <w:tblPr>
        <w:tblStyle w:val="5"/>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9"/>
        <w:gridCol w:w="161"/>
        <w:gridCol w:w="3150"/>
        <w:gridCol w:w="2539"/>
        <w:gridCol w:w="3161"/>
        <w:gridCol w:w="38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13740"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Lines="0" w:afterLines="0"/>
              <w:jc w:val="center"/>
              <w:rPr>
                <w:rFonts w:hint="eastAsia" w:ascii="宋体" w:hAnsi="宋体" w:eastAsia="宋体" w:cs="宋体"/>
                <w:b/>
                <w:bCs/>
                <w:i w:val="0"/>
                <w:iCs w:val="0"/>
                <w:color w:val="000000"/>
                <w:sz w:val="24"/>
                <w:szCs w:val="24"/>
                <w:u w:val="none"/>
              </w:rPr>
            </w:pPr>
            <w:r>
              <w:rPr>
                <w:rStyle w:val="10"/>
                <w:lang w:val="en-US" w:eastAsia="zh-CN" w:bidi="ar"/>
              </w:rPr>
              <w:t>项目名称</w:t>
            </w:r>
            <w:r>
              <w:rPr>
                <w:rStyle w:val="11"/>
                <w:lang w:val="en-US" w:eastAsia="zh-CN" w:bidi="ar"/>
              </w:rPr>
              <w:t>：</w:t>
            </w:r>
            <w:r>
              <w:rPr>
                <w:rFonts w:hint="eastAsia" w:ascii="宋体" w:hAnsi="宋体" w:eastAsia="宋体" w:cs="宋体"/>
                <w:b/>
                <w:bCs/>
                <w:i w:val="0"/>
                <w:iCs w:val="0"/>
                <w:color w:val="000000"/>
                <w:sz w:val="24"/>
                <w:szCs w:val="24"/>
                <w:u w:val="none"/>
                <w:lang w:val="en-US" w:eastAsia="zh-CN"/>
              </w:rPr>
              <w:t>防城港供电局输电所技术业务用房项目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19" w:type="dxa"/>
            <w:tcBorders>
              <w:top w:val="single" w:color="000000"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311" w:type="dxa"/>
            <w:gridSpan w:val="2"/>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工作项目</w:t>
            </w:r>
          </w:p>
        </w:tc>
        <w:tc>
          <w:tcPr>
            <w:tcW w:w="25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新宋体" w:hAnsi="新宋体" w:eastAsia="新宋体" w:cs="新宋体"/>
                <w:b/>
                <w:bCs/>
                <w:i w:val="0"/>
                <w:iCs w:val="0"/>
                <w:color w:val="000000"/>
                <w:sz w:val="28"/>
                <w:szCs w:val="28"/>
                <w:u w:val="none"/>
              </w:rPr>
            </w:pPr>
            <w:r>
              <w:rPr>
                <w:rFonts w:hint="eastAsia" w:ascii="宋体" w:hAnsi="宋体" w:eastAsia="宋体" w:cs="宋体"/>
                <w:b/>
                <w:bCs/>
                <w:i w:val="0"/>
                <w:iCs w:val="0"/>
                <w:color w:val="000000"/>
                <w:kern w:val="0"/>
                <w:sz w:val="24"/>
                <w:szCs w:val="24"/>
                <w:u w:val="none"/>
                <w:lang w:val="en-US" w:eastAsia="zh-CN" w:bidi="ar"/>
              </w:rPr>
              <w:t>单位</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测量测绘数量</w:t>
            </w:r>
          </w:p>
        </w:tc>
        <w:tc>
          <w:tcPr>
            <w:tcW w:w="3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919" w:type="dxa"/>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3311" w:type="dxa"/>
            <w:gridSpan w:val="2"/>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1：500工程测图</w:t>
            </w:r>
          </w:p>
        </w:tc>
        <w:tc>
          <w:tcPr>
            <w:tcW w:w="25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幅</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9" w:hRule="atLeast"/>
        </w:trPr>
        <w:tc>
          <w:tcPr>
            <w:tcW w:w="919"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3311" w:type="dxa"/>
            <w:gridSpan w:val="2"/>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建筑物放线</w:t>
            </w:r>
          </w:p>
        </w:tc>
        <w:tc>
          <w:tcPr>
            <w:tcW w:w="2539"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919"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3311" w:type="dxa"/>
            <w:gridSpan w:val="2"/>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验测平面位置</w:t>
            </w:r>
          </w:p>
        </w:tc>
        <w:tc>
          <w:tcPr>
            <w:tcW w:w="2539"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边</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19"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3311" w:type="dxa"/>
            <w:gridSpan w:val="2"/>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验测高程高度</w:t>
            </w:r>
          </w:p>
        </w:tc>
        <w:tc>
          <w:tcPr>
            <w:tcW w:w="2539"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栋</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19"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3311" w:type="dxa"/>
            <w:gridSpan w:val="2"/>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规划面积测量</w:t>
            </w:r>
          </w:p>
        </w:tc>
        <w:tc>
          <w:tcPr>
            <w:tcW w:w="2539"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平方米</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13217㎡</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19"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3311" w:type="dxa"/>
            <w:gridSpan w:val="2"/>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房产竣工测绘</w:t>
            </w:r>
          </w:p>
        </w:tc>
        <w:tc>
          <w:tcPr>
            <w:tcW w:w="2539"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平方米</w:t>
            </w:r>
          </w:p>
        </w:tc>
        <w:tc>
          <w:tcPr>
            <w:tcW w:w="31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13217㎡</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1266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1.本项目经验收合格后结算，结算金额按成交金额。</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2.总价报价低于或等于最高限价的为有效报价。总价报价低于最高限价的80%，必须在报价文件中附成本分析报告，成本分析报告需充分说明总价费用的组成、降低成本的合理措施及在其他项目中应用过的经验，否则视为实质上不响应采购文件要求，作否决处理。响应报价供应商须对报价明细中所有项进行报价，报价不完整的，视为实质上不响应采购文件要求，作否决处理。</w:t>
            </w:r>
            <w:r>
              <w:rPr>
                <w:rFonts w:hint="eastAsia" w:ascii="宋体" w:hAnsi="宋体" w:eastAsia="宋体" w:cs="宋体"/>
                <w:i w:val="0"/>
                <w:iCs w:val="0"/>
                <w:color w:val="000000"/>
                <w:sz w:val="24"/>
                <w:szCs w:val="24"/>
                <w:u w:val="none"/>
              </w:rPr>
              <w:t xml:space="preserve"> </w:t>
            </w:r>
          </w:p>
        </w:tc>
      </w:tr>
    </w:tbl>
    <w:p>
      <w:pPr>
        <w:keepNext w:val="0"/>
        <w:keepLines w:val="0"/>
        <w:widowControl/>
        <w:suppressLineNumbers w:val="0"/>
        <w:jc w:val="both"/>
        <w:textAlignment w:val="center"/>
        <w:rPr>
          <w:rFonts w:hint="eastAsia" w:asciiTheme="minorEastAsia" w:hAnsiTheme="minorEastAsia" w:eastAsiaTheme="minorEastAsia" w:cstheme="minorEastAsia"/>
          <w:b/>
          <w:bCs/>
          <w:sz w:val="32"/>
          <w:szCs w:val="32"/>
          <w:lang w:val="en-US" w:eastAsia="zh-CN"/>
        </w:rPr>
      </w:pPr>
    </w:p>
    <w:sectPr>
      <w:footerReference r:id="rId4" w:type="default"/>
      <w:pgSz w:w="16838" w:h="11906" w:orient="landscape"/>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923A2"/>
    <w:rsid w:val="00C82E60"/>
    <w:rsid w:val="01541FBE"/>
    <w:rsid w:val="01F000C2"/>
    <w:rsid w:val="02444CF6"/>
    <w:rsid w:val="03E07A24"/>
    <w:rsid w:val="04E83F46"/>
    <w:rsid w:val="06581593"/>
    <w:rsid w:val="0662222F"/>
    <w:rsid w:val="06AE3D29"/>
    <w:rsid w:val="072B5BCC"/>
    <w:rsid w:val="07433EF7"/>
    <w:rsid w:val="08BE6E88"/>
    <w:rsid w:val="08F27B0E"/>
    <w:rsid w:val="0A1D552E"/>
    <w:rsid w:val="0A384CB8"/>
    <w:rsid w:val="0ABF5F5A"/>
    <w:rsid w:val="0C0B3E50"/>
    <w:rsid w:val="0C24216F"/>
    <w:rsid w:val="0C5C70D2"/>
    <w:rsid w:val="0C5C7953"/>
    <w:rsid w:val="0C86159B"/>
    <w:rsid w:val="0CC25B7D"/>
    <w:rsid w:val="0D584ACF"/>
    <w:rsid w:val="0D773D83"/>
    <w:rsid w:val="0E511B0C"/>
    <w:rsid w:val="0F255D7B"/>
    <w:rsid w:val="0FB171C2"/>
    <w:rsid w:val="0FF85779"/>
    <w:rsid w:val="11BC011F"/>
    <w:rsid w:val="11CE228F"/>
    <w:rsid w:val="11CF6ED7"/>
    <w:rsid w:val="12404300"/>
    <w:rsid w:val="12BA0AA4"/>
    <w:rsid w:val="130948BA"/>
    <w:rsid w:val="13180760"/>
    <w:rsid w:val="13F2560A"/>
    <w:rsid w:val="14795AFB"/>
    <w:rsid w:val="15BA3E8A"/>
    <w:rsid w:val="163F6D8E"/>
    <w:rsid w:val="175879D2"/>
    <w:rsid w:val="180D3B06"/>
    <w:rsid w:val="19C10DA4"/>
    <w:rsid w:val="19CC2E41"/>
    <w:rsid w:val="1D0667AD"/>
    <w:rsid w:val="1DD94CE5"/>
    <w:rsid w:val="1F0775E7"/>
    <w:rsid w:val="21417D79"/>
    <w:rsid w:val="219C4C32"/>
    <w:rsid w:val="21D544E9"/>
    <w:rsid w:val="225536FF"/>
    <w:rsid w:val="22E1627D"/>
    <w:rsid w:val="23130E25"/>
    <w:rsid w:val="23A70CF1"/>
    <w:rsid w:val="23AE267F"/>
    <w:rsid w:val="255C0E33"/>
    <w:rsid w:val="25B46002"/>
    <w:rsid w:val="26871DFD"/>
    <w:rsid w:val="27D949B4"/>
    <w:rsid w:val="283C6980"/>
    <w:rsid w:val="29116A7E"/>
    <w:rsid w:val="2927562A"/>
    <w:rsid w:val="293E359A"/>
    <w:rsid w:val="29C149DE"/>
    <w:rsid w:val="2B132858"/>
    <w:rsid w:val="2B3A578B"/>
    <w:rsid w:val="2C600B83"/>
    <w:rsid w:val="2CDA38A5"/>
    <w:rsid w:val="2D540410"/>
    <w:rsid w:val="2E1A39AF"/>
    <w:rsid w:val="2EE14CBB"/>
    <w:rsid w:val="2EE517C3"/>
    <w:rsid w:val="2F0F6BB9"/>
    <w:rsid w:val="2F7B2B74"/>
    <w:rsid w:val="2FC15B49"/>
    <w:rsid w:val="306B07B3"/>
    <w:rsid w:val="337B0E24"/>
    <w:rsid w:val="33A51F6D"/>
    <w:rsid w:val="35291AC6"/>
    <w:rsid w:val="35CB37E1"/>
    <w:rsid w:val="3617436C"/>
    <w:rsid w:val="36393E81"/>
    <w:rsid w:val="367223C9"/>
    <w:rsid w:val="36765518"/>
    <w:rsid w:val="37273B0A"/>
    <w:rsid w:val="37332976"/>
    <w:rsid w:val="383D10D3"/>
    <w:rsid w:val="39006D5A"/>
    <w:rsid w:val="39481744"/>
    <w:rsid w:val="3A26221A"/>
    <w:rsid w:val="3BE23CDB"/>
    <w:rsid w:val="3BEB698B"/>
    <w:rsid w:val="3DA4264D"/>
    <w:rsid w:val="3F07601E"/>
    <w:rsid w:val="400B0281"/>
    <w:rsid w:val="400C3A16"/>
    <w:rsid w:val="40402F89"/>
    <w:rsid w:val="40947E84"/>
    <w:rsid w:val="43434035"/>
    <w:rsid w:val="442C42FE"/>
    <w:rsid w:val="44D17C07"/>
    <w:rsid w:val="45531374"/>
    <w:rsid w:val="45562AD0"/>
    <w:rsid w:val="46317111"/>
    <w:rsid w:val="464177E7"/>
    <w:rsid w:val="46B762E4"/>
    <w:rsid w:val="46E33D0E"/>
    <w:rsid w:val="471D6B6F"/>
    <w:rsid w:val="47797541"/>
    <w:rsid w:val="47F047C5"/>
    <w:rsid w:val="47F47C6B"/>
    <w:rsid w:val="47F636DE"/>
    <w:rsid w:val="48555D15"/>
    <w:rsid w:val="48A51C70"/>
    <w:rsid w:val="48D95B51"/>
    <w:rsid w:val="495A215D"/>
    <w:rsid w:val="49B92007"/>
    <w:rsid w:val="4A247A39"/>
    <w:rsid w:val="4B765137"/>
    <w:rsid w:val="4BE44573"/>
    <w:rsid w:val="4C160A98"/>
    <w:rsid w:val="4C592210"/>
    <w:rsid w:val="4E705187"/>
    <w:rsid w:val="4FF65F63"/>
    <w:rsid w:val="507C7C3B"/>
    <w:rsid w:val="50B92E2E"/>
    <w:rsid w:val="51A15012"/>
    <w:rsid w:val="51DB3858"/>
    <w:rsid w:val="523F747B"/>
    <w:rsid w:val="533F5735"/>
    <w:rsid w:val="53D041C3"/>
    <w:rsid w:val="53E353C9"/>
    <w:rsid w:val="54042E10"/>
    <w:rsid w:val="54F47C8D"/>
    <w:rsid w:val="558B766D"/>
    <w:rsid w:val="55995059"/>
    <w:rsid w:val="55BF52D8"/>
    <w:rsid w:val="56440775"/>
    <w:rsid w:val="5670465C"/>
    <w:rsid w:val="574008F6"/>
    <w:rsid w:val="574D0C87"/>
    <w:rsid w:val="585E076F"/>
    <w:rsid w:val="58643CFA"/>
    <w:rsid w:val="586E70C0"/>
    <w:rsid w:val="59AA1D84"/>
    <w:rsid w:val="5A900A3F"/>
    <w:rsid w:val="5AA41AF2"/>
    <w:rsid w:val="5AF328FD"/>
    <w:rsid w:val="5B632BF1"/>
    <w:rsid w:val="5BBC79FA"/>
    <w:rsid w:val="5CA6258E"/>
    <w:rsid w:val="5D0E5BDE"/>
    <w:rsid w:val="5D6F7A58"/>
    <w:rsid w:val="5DAB49FC"/>
    <w:rsid w:val="5FAB1742"/>
    <w:rsid w:val="5FE46307"/>
    <w:rsid w:val="60E02B13"/>
    <w:rsid w:val="626B7A8A"/>
    <w:rsid w:val="62827D35"/>
    <w:rsid w:val="63791B7A"/>
    <w:rsid w:val="64F1211D"/>
    <w:rsid w:val="65807724"/>
    <w:rsid w:val="66657416"/>
    <w:rsid w:val="66D74547"/>
    <w:rsid w:val="67B63CB1"/>
    <w:rsid w:val="67F97B21"/>
    <w:rsid w:val="68572FB1"/>
    <w:rsid w:val="68586A58"/>
    <w:rsid w:val="696B10DA"/>
    <w:rsid w:val="69841846"/>
    <w:rsid w:val="6AAC649A"/>
    <w:rsid w:val="6B112A65"/>
    <w:rsid w:val="6BBB4773"/>
    <w:rsid w:val="6BCB42FF"/>
    <w:rsid w:val="6BD562DD"/>
    <w:rsid w:val="6C1156D8"/>
    <w:rsid w:val="6C650845"/>
    <w:rsid w:val="6C720C2D"/>
    <w:rsid w:val="6D887843"/>
    <w:rsid w:val="6E683DE6"/>
    <w:rsid w:val="6EA31B50"/>
    <w:rsid w:val="6F962B2B"/>
    <w:rsid w:val="70C97301"/>
    <w:rsid w:val="70FC7A43"/>
    <w:rsid w:val="71897F94"/>
    <w:rsid w:val="72AE77BD"/>
    <w:rsid w:val="72B526A3"/>
    <w:rsid w:val="7376296B"/>
    <w:rsid w:val="738D3D3F"/>
    <w:rsid w:val="74193742"/>
    <w:rsid w:val="745836B3"/>
    <w:rsid w:val="7548251D"/>
    <w:rsid w:val="757826DF"/>
    <w:rsid w:val="75830E69"/>
    <w:rsid w:val="75C76AE3"/>
    <w:rsid w:val="76AC2042"/>
    <w:rsid w:val="76C769A3"/>
    <w:rsid w:val="76EA4830"/>
    <w:rsid w:val="76EB1424"/>
    <w:rsid w:val="775D10E3"/>
    <w:rsid w:val="776303B9"/>
    <w:rsid w:val="79743BBA"/>
    <w:rsid w:val="79EA1A55"/>
    <w:rsid w:val="7A6B6041"/>
    <w:rsid w:val="7B6F2641"/>
    <w:rsid w:val="7C942BE9"/>
    <w:rsid w:val="7D41771A"/>
    <w:rsid w:val="7D70584A"/>
    <w:rsid w:val="7DE829B7"/>
    <w:rsid w:val="7E1517C7"/>
    <w:rsid w:val="7EAE0A66"/>
    <w:rsid w:val="7EF75E5C"/>
    <w:rsid w:val="7F7B10B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1"/>
    <w:basedOn w:val="1"/>
    <w:qFormat/>
    <w:uiPriority w:val="34"/>
    <w:pPr>
      <w:ind w:firstLine="420" w:firstLineChars="200"/>
    </w:pPr>
  </w:style>
  <w:style w:type="character" w:customStyle="1" w:styleId="9">
    <w:name w:val="font01"/>
    <w:basedOn w:val="7"/>
    <w:qFormat/>
    <w:uiPriority w:val="0"/>
    <w:rPr>
      <w:rFonts w:hint="eastAsia" w:ascii="宋体" w:hAnsi="宋体" w:eastAsia="宋体" w:cs="宋体"/>
      <w:color w:val="000000"/>
      <w:sz w:val="20"/>
      <w:szCs w:val="20"/>
      <w:u w:val="none"/>
    </w:rPr>
  </w:style>
  <w:style w:type="character" w:customStyle="1" w:styleId="10">
    <w:name w:val="font31"/>
    <w:basedOn w:val="7"/>
    <w:qFormat/>
    <w:uiPriority w:val="0"/>
    <w:rPr>
      <w:rFonts w:hint="eastAsia" w:ascii="宋体" w:hAnsi="宋体" w:eastAsia="宋体" w:cs="宋体"/>
      <w:b/>
      <w:bCs/>
      <w:color w:val="000000"/>
      <w:sz w:val="24"/>
      <w:szCs w:val="24"/>
      <w:u w:val="none"/>
    </w:rPr>
  </w:style>
  <w:style w:type="character" w:customStyle="1" w:styleId="11">
    <w:name w:val="font41"/>
    <w:basedOn w:val="7"/>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韦镔丁</cp:lastModifiedBy>
  <dcterms:modified xsi:type="dcterms:W3CDTF">2024-07-31T06:55:13Z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AF18F7EE75F348C4976DA5ED1B2DA26E</vt:lpwstr>
  </property>
</Properties>
</file>