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40" w:lineRule="exact"/>
        <w:jc w:val="center"/>
        <w:rPr>
          <w:rFonts w:hint="eastAsia" w:ascii="黑体" w:hAnsi="黑体" w:eastAsia="黑体" w:cs="黑体"/>
          <w:b/>
          <w:bCs/>
          <w:szCs w:val="21"/>
          <w:lang w:val="en-US" w:eastAsia="zh-CN"/>
        </w:rPr>
      </w:pPr>
      <w:r>
        <w:rPr>
          <w:rFonts w:hint="eastAsia" w:ascii="黑体" w:hAnsi="黑体" w:eastAsia="黑体" w:cs="黑体"/>
          <w:b/>
          <w:bCs/>
          <w:szCs w:val="21"/>
        </w:rPr>
        <w:t>零星采购</w:t>
      </w:r>
      <w:r>
        <w:rPr>
          <w:rFonts w:hint="eastAsia" w:ascii="黑体" w:hAnsi="黑体" w:eastAsia="黑体" w:cs="黑体"/>
          <w:b/>
          <w:bCs/>
          <w:szCs w:val="21"/>
          <w:lang w:val="en-US" w:eastAsia="zh-CN"/>
        </w:rPr>
        <w:t>技术要求</w:t>
      </w:r>
    </w:p>
    <w:tbl>
      <w:tblPr>
        <w:tblStyle w:val="6"/>
        <w:tblpPr w:leftFromText="180" w:rightFromText="180" w:vertAnchor="text" w:horzAnchor="page" w:tblpX="1450" w:tblpY="255"/>
        <w:tblOverlap w:val="never"/>
        <w:tblW w:w="91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
      <w:tblGrid>
        <w:gridCol w:w="1165"/>
        <w:gridCol w:w="455"/>
        <w:gridCol w:w="891"/>
        <w:gridCol w:w="3410"/>
        <w:gridCol w:w="491"/>
        <w:gridCol w:w="536"/>
        <w:gridCol w:w="212"/>
        <w:gridCol w:w="400"/>
        <w:gridCol w:w="780"/>
        <w:gridCol w:w="8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483" w:hRule="atLeast"/>
        </w:trPr>
        <w:tc>
          <w:tcPr>
            <w:tcW w:w="1165" w:type="dxa"/>
            <w:tcBorders>
              <w:tl2br w:val="nil"/>
              <w:tr2bl w:val="nil"/>
            </w:tcBorders>
            <w:shd w:val="clear" w:color="auto" w:fill="FFFFFF" w:themeFill="background1"/>
            <w:vAlign w:val="center"/>
          </w:tcPr>
          <w:p>
            <w:pPr>
              <w:snapToGrid w:val="0"/>
              <w:spacing w:line="200" w:lineRule="exact"/>
              <w:jc w:val="center"/>
              <w:rPr>
                <w:rFonts w:hint="eastAsia" w:asciiTheme="minorEastAsia" w:hAnsiTheme="minorEastAsia" w:eastAsiaTheme="minorEastAsia" w:cstheme="minorEastAsia"/>
                <w:b/>
                <w:bCs/>
                <w:sz w:val="18"/>
                <w:szCs w:val="18"/>
              </w:rPr>
            </w:pPr>
          </w:p>
          <w:p>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采购单位</w:t>
            </w:r>
          </w:p>
        </w:tc>
        <w:tc>
          <w:tcPr>
            <w:tcW w:w="4756" w:type="dxa"/>
            <w:gridSpan w:val="3"/>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广东电网</w:t>
            </w:r>
            <w:r>
              <w:rPr>
                <w:rFonts w:hint="eastAsia" w:asciiTheme="minorEastAsia" w:hAnsiTheme="minorEastAsia" w:eastAsiaTheme="minorEastAsia" w:cstheme="minorEastAsia"/>
                <w:sz w:val="18"/>
                <w:szCs w:val="18"/>
              </w:rPr>
              <w:t>有限责任公司</w:t>
            </w:r>
            <w:r>
              <w:rPr>
                <w:rFonts w:hint="eastAsia" w:asciiTheme="minorEastAsia" w:hAnsiTheme="minorEastAsia" w:eastAsiaTheme="minorEastAsia" w:cstheme="minorEastAsia"/>
                <w:sz w:val="18"/>
                <w:szCs w:val="18"/>
                <w:lang w:val="en-US" w:eastAsia="zh-CN"/>
              </w:rPr>
              <w:t>佛山供电局</w:t>
            </w:r>
          </w:p>
        </w:tc>
        <w:tc>
          <w:tcPr>
            <w:tcW w:w="1239" w:type="dxa"/>
            <w:gridSpan w:val="3"/>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b/>
                <w:bCs/>
                <w:sz w:val="18"/>
                <w:szCs w:val="18"/>
              </w:rPr>
              <w:t>采购承办部门（中心）</w:t>
            </w:r>
          </w:p>
        </w:tc>
        <w:tc>
          <w:tcPr>
            <w:tcW w:w="1998" w:type="dxa"/>
            <w:gridSpan w:val="3"/>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企业管理部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1165" w:type="dxa"/>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采购项目名称</w:t>
            </w:r>
          </w:p>
        </w:tc>
        <w:tc>
          <w:tcPr>
            <w:tcW w:w="4756" w:type="dxa"/>
            <w:gridSpan w:val="3"/>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佛山供电局2024年</w:t>
            </w:r>
            <w:r>
              <w:rPr>
                <w:rFonts w:hint="eastAsia" w:asciiTheme="minorEastAsia" w:hAnsiTheme="minorEastAsia" w:eastAsiaTheme="minorEastAsia" w:cstheme="minorEastAsia"/>
                <w:sz w:val="18"/>
                <w:szCs w:val="18"/>
              </w:rPr>
              <w:t>信用</w:t>
            </w:r>
            <w:r>
              <w:rPr>
                <w:rFonts w:hint="eastAsia" w:asciiTheme="minorEastAsia" w:hAnsiTheme="minorEastAsia" w:eastAsiaTheme="minorEastAsia" w:cstheme="minorEastAsia"/>
                <w:sz w:val="18"/>
                <w:szCs w:val="18"/>
                <w:lang w:val="en-US" w:eastAsia="zh-CN"/>
              </w:rPr>
              <w:t>评价</w:t>
            </w:r>
            <w:r>
              <w:rPr>
                <w:rFonts w:hint="eastAsia" w:asciiTheme="minorEastAsia" w:hAnsiTheme="minorEastAsia" w:eastAsiaTheme="minorEastAsia" w:cstheme="minorEastAsia"/>
                <w:sz w:val="18"/>
                <w:szCs w:val="18"/>
              </w:rPr>
              <w:t>咨询</w:t>
            </w:r>
            <w:r>
              <w:rPr>
                <w:rFonts w:hint="eastAsia" w:asciiTheme="minorEastAsia" w:hAnsiTheme="minorEastAsia" w:eastAsiaTheme="minorEastAsia" w:cstheme="minorEastAsia"/>
                <w:sz w:val="18"/>
                <w:szCs w:val="18"/>
                <w:lang w:val="en-US" w:eastAsia="zh-CN"/>
              </w:rPr>
              <w:t>委托专项</w:t>
            </w:r>
            <w:r>
              <w:rPr>
                <w:rFonts w:hint="eastAsia" w:asciiTheme="minorEastAsia" w:hAnsiTheme="minorEastAsia" w:eastAsiaTheme="minorEastAsia" w:cstheme="minorEastAsia"/>
                <w:sz w:val="18"/>
                <w:szCs w:val="18"/>
              </w:rPr>
              <w:t>服务</w:t>
            </w:r>
          </w:p>
        </w:tc>
        <w:tc>
          <w:tcPr>
            <w:tcW w:w="1239" w:type="dxa"/>
            <w:gridSpan w:val="3"/>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采购概算金额</w:t>
            </w:r>
          </w:p>
          <w:p>
            <w:pPr>
              <w:snapToGrid w:val="0"/>
              <w:spacing w:line="200" w:lineRule="exact"/>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b/>
                <w:bCs/>
                <w:sz w:val="18"/>
                <w:szCs w:val="18"/>
              </w:rPr>
              <w:t>（万元）</w:t>
            </w:r>
          </w:p>
        </w:tc>
        <w:tc>
          <w:tcPr>
            <w:tcW w:w="1998" w:type="dxa"/>
            <w:gridSpan w:val="3"/>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165" w:type="dxa"/>
            <w:tcBorders>
              <w:tl2br w:val="nil"/>
              <w:tr2bl w:val="nil"/>
            </w:tcBorders>
            <w:shd w:val="clear" w:color="auto" w:fill="FFFFFF" w:themeFill="background1"/>
            <w:vAlign w:val="center"/>
          </w:tcPr>
          <w:p>
            <w:pPr>
              <w:spacing w:line="200" w:lineRule="exact"/>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b/>
                <w:bCs/>
                <w:sz w:val="18"/>
                <w:szCs w:val="18"/>
              </w:rPr>
              <w:t>项目类别</w:t>
            </w:r>
          </w:p>
        </w:tc>
        <w:tc>
          <w:tcPr>
            <w:tcW w:w="4756" w:type="dxa"/>
            <w:gridSpan w:val="3"/>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□工程  □货物  ☑服务</w:t>
            </w:r>
          </w:p>
        </w:tc>
        <w:tc>
          <w:tcPr>
            <w:tcW w:w="1239" w:type="dxa"/>
            <w:gridSpan w:val="3"/>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资金来源</w:t>
            </w:r>
          </w:p>
        </w:tc>
        <w:tc>
          <w:tcPr>
            <w:tcW w:w="1998" w:type="dxa"/>
            <w:gridSpan w:val="3"/>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中介费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trPr>
        <w:tc>
          <w:tcPr>
            <w:tcW w:w="1165" w:type="dxa"/>
            <w:vMerge w:val="restart"/>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b/>
                <w:bCs/>
                <w:sz w:val="18"/>
                <w:szCs w:val="18"/>
              </w:rPr>
              <w:t>采购品类及数量</w:t>
            </w:r>
          </w:p>
        </w:tc>
        <w:tc>
          <w:tcPr>
            <w:tcW w:w="455" w:type="dxa"/>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序号</w:t>
            </w:r>
          </w:p>
        </w:tc>
        <w:tc>
          <w:tcPr>
            <w:tcW w:w="891" w:type="dxa"/>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名称</w:t>
            </w:r>
          </w:p>
        </w:tc>
        <w:tc>
          <w:tcPr>
            <w:tcW w:w="3410" w:type="dxa"/>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规格型号/主要技术、商务要求</w:t>
            </w:r>
          </w:p>
        </w:tc>
        <w:tc>
          <w:tcPr>
            <w:tcW w:w="491" w:type="dxa"/>
            <w:tcBorders>
              <w:tl2br w:val="nil"/>
              <w:tr2bl w:val="nil"/>
            </w:tcBorders>
            <w:shd w:val="clear" w:color="auto" w:fill="FFFFFF" w:themeFill="background1"/>
            <w:vAlign w:val="center"/>
          </w:tcPr>
          <w:p>
            <w:pPr>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数量</w:t>
            </w:r>
          </w:p>
        </w:tc>
        <w:tc>
          <w:tcPr>
            <w:tcW w:w="536" w:type="dxa"/>
            <w:tcBorders>
              <w:tl2br w:val="nil"/>
              <w:tr2bl w:val="nil"/>
            </w:tcBorders>
            <w:shd w:val="clear" w:color="auto" w:fill="FFFFFF" w:themeFill="background1"/>
            <w:vAlign w:val="center"/>
          </w:tcPr>
          <w:p>
            <w:pPr>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单位</w:t>
            </w:r>
          </w:p>
        </w:tc>
        <w:tc>
          <w:tcPr>
            <w:tcW w:w="612" w:type="dxa"/>
            <w:gridSpan w:val="2"/>
            <w:tcBorders>
              <w:tl2br w:val="nil"/>
              <w:tr2bl w:val="nil"/>
            </w:tcBorders>
            <w:shd w:val="clear" w:color="auto" w:fill="FFFFFF" w:themeFill="background1"/>
            <w:vAlign w:val="center"/>
          </w:tcPr>
          <w:p>
            <w:pPr>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单价（元）</w:t>
            </w:r>
          </w:p>
        </w:tc>
        <w:tc>
          <w:tcPr>
            <w:tcW w:w="780" w:type="dxa"/>
            <w:tcBorders>
              <w:tl2br w:val="nil"/>
              <w:tr2bl w:val="nil"/>
            </w:tcBorders>
            <w:shd w:val="clear" w:color="auto" w:fill="FFFFFF" w:themeFill="background1"/>
            <w:vAlign w:val="center"/>
          </w:tcPr>
          <w:p>
            <w:pPr>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总价（元）</w:t>
            </w:r>
          </w:p>
        </w:tc>
        <w:tc>
          <w:tcPr>
            <w:tcW w:w="818" w:type="dxa"/>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计划交付日期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1" w:hRule="atLeast"/>
        </w:trPr>
        <w:tc>
          <w:tcPr>
            <w:tcW w:w="1165" w:type="dxa"/>
            <w:vMerge w:val="continue"/>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sz w:val="18"/>
                <w:szCs w:val="18"/>
              </w:rPr>
            </w:pPr>
          </w:p>
        </w:tc>
        <w:tc>
          <w:tcPr>
            <w:tcW w:w="455" w:type="dxa"/>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1</w:t>
            </w:r>
          </w:p>
        </w:tc>
        <w:tc>
          <w:tcPr>
            <w:tcW w:w="891" w:type="dxa"/>
            <w:tcBorders>
              <w:tl2br w:val="nil"/>
              <w:tr2bl w:val="nil"/>
            </w:tcBorders>
            <w:shd w:val="clear" w:color="auto" w:fill="FFFFFF" w:themeFill="background1"/>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佛山供电局2024年</w:t>
            </w:r>
            <w:r>
              <w:rPr>
                <w:rFonts w:hint="eastAsia" w:asciiTheme="minorEastAsia" w:hAnsiTheme="minorEastAsia" w:eastAsiaTheme="minorEastAsia" w:cstheme="minorEastAsia"/>
                <w:sz w:val="18"/>
                <w:szCs w:val="18"/>
              </w:rPr>
              <w:t>信用</w:t>
            </w:r>
            <w:r>
              <w:rPr>
                <w:rFonts w:hint="eastAsia" w:asciiTheme="minorEastAsia" w:hAnsiTheme="minorEastAsia" w:eastAsiaTheme="minorEastAsia" w:cstheme="minorEastAsia"/>
                <w:sz w:val="18"/>
                <w:szCs w:val="18"/>
                <w:lang w:val="en-US" w:eastAsia="zh-CN"/>
              </w:rPr>
              <w:t>评价</w:t>
            </w:r>
            <w:r>
              <w:rPr>
                <w:rFonts w:hint="eastAsia" w:asciiTheme="minorEastAsia" w:hAnsiTheme="minorEastAsia" w:eastAsiaTheme="minorEastAsia" w:cstheme="minorEastAsia"/>
                <w:sz w:val="18"/>
                <w:szCs w:val="18"/>
              </w:rPr>
              <w:t>咨询</w:t>
            </w:r>
            <w:r>
              <w:rPr>
                <w:rFonts w:hint="eastAsia" w:asciiTheme="minorEastAsia" w:hAnsiTheme="minorEastAsia" w:eastAsiaTheme="minorEastAsia" w:cstheme="minorEastAsia"/>
                <w:sz w:val="18"/>
                <w:szCs w:val="18"/>
                <w:lang w:val="en-US" w:eastAsia="zh-CN"/>
              </w:rPr>
              <w:t>委托专项</w:t>
            </w:r>
            <w:r>
              <w:rPr>
                <w:rFonts w:hint="eastAsia" w:asciiTheme="minorEastAsia" w:hAnsiTheme="minorEastAsia" w:eastAsiaTheme="minorEastAsia" w:cstheme="minorEastAsia"/>
                <w:sz w:val="18"/>
                <w:szCs w:val="18"/>
              </w:rPr>
              <w:t>服务</w:t>
            </w:r>
            <w:bookmarkStart w:id="0" w:name="_GoBack"/>
            <w:bookmarkEnd w:id="0"/>
          </w:p>
        </w:tc>
        <w:tc>
          <w:tcPr>
            <w:tcW w:w="3410" w:type="dxa"/>
            <w:tcBorders>
              <w:tl2br w:val="nil"/>
              <w:tr2bl w:val="nil"/>
            </w:tcBorders>
            <w:shd w:val="clear" w:color="auto" w:fill="FFFFFF" w:themeFill="background1"/>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rFonts w:hint="eastAsia" w:asciiTheme="minorEastAsia" w:hAnsiTheme="minorEastAsia" w:eastAsiaTheme="minorEastAsia" w:cstheme="minorEastAsia"/>
                <w:color w:val="auto"/>
                <w:sz w:val="18"/>
                <w:szCs w:val="18"/>
                <w:highlight w:val="none"/>
                <w:u w:val="none"/>
                <w:vertAlign w:val="baseline"/>
                <w:lang w:val="en-US" w:eastAsia="zh-CN"/>
              </w:rPr>
            </w:pPr>
            <w:r>
              <w:rPr>
                <w:rFonts w:hint="eastAsia" w:asciiTheme="minorEastAsia" w:hAnsiTheme="minorEastAsia" w:eastAsiaTheme="minorEastAsia" w:cstheme="minorEastAsia"/>
                <w:color w:val="auto"/>
                <w:sz w:val="18"/>
                <w:szCs w:val="18"/>
                <w:highlight w:val="none"/>
                <w:u w:val="none"/>
                <w:vertAlign w:val="baseline"/>
                <w:lang w:val="en-US" w:eastAsia="zh-CN"/>
              </w:rPr>
              <w:t>为提高佛山供电局信用企业信用体系建设水平，在掌握国家、行业最新信用政策的基础上，核查相关资料，开展信用风险排查、预警，综合分析企业失信风险，提高诚信经营意识，防范信用风险，提升企业整体实力和综合竞争力。</w:t>
            </w:r>
          </w:p>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rFonts w:hint="eastAsia" w:asciiTheme="minorEastAsia" w:hAnsiTheme="minorEastAsia" w:eastAsiaTheme="minorEastAsia" w:cstheme="minorEastAsia"/>
                <w:color w:val="auto"/>
                <w:sz w:val="18"/>
                <w:szCs w:val="18"/>
                <w:highlight w:val="none"/>
                <w:u w:val="none"/>
                <w:vertAlign w:val="baseline"/>
                <w:lang w:val="en-US" w:eastAsia="zh-CN"/>
              </w:rPr>
            </w:pPr>
            <w:r>
              <w:rPr>
                <w:rFonts w:hint="eastAsia" w:asciiTheme="minorEastAsia" w:hAnsiTheme="minorEastAsia" w:eastAsiaTheme="minorEastAsia" w:cstheme="minorEastAsia"/>
                <w:color w:val="auto"/>
                <w:sz w:val="18"/>
                <w:szCs w:val="18"/>
                <w:highlight w:val="none"/>
                <w:u w:val="none"/>
                <w:vertAlign w:val="baseline"/>
                <w:lang w:val="en-US" w:eastAsia="zh-CN"/>
              </w:rPr>
              <w:t>1.解读国家、行业最新信用政策，有关信用标准宣贯；</w:t>
            </w:r>
          </w:p>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rFonts w:hint="eastAsia" w:asciiTheme="minorEastAsia" w:hAnsiTheme="minorEastAsia" w:eastAsiaTheme="minorEastAsia" w:cstheme="minorEastAsia"/>
                <w:color w:val="auto"/>
                <w:sz w:val="18"/>
                <w:szCs w:val="18"/>
                <w:highlight w:val="none"/>
                <w:u w:val="none"/>
                <w:vertAlign w:val="baseline"/>
                <w:lang w:val="en-US" w:eastAsia="zh-CN"/>
              </w:rPr>
            </w:pPr>
            <w:r>
              <w:rPr>
                <w:rFonts w:hint="eastAsia" w:asciiTheme="minorEastAsia" w:hAnsiTheme="minorEastAsia" w:eastAsiaTheme="minorEastAsia" w:cstheme="minorEastAsia"/>
                <w:color w:val="auto"/>
                <w:sz w:val="18"/>
                <w:szCs w:val="18"/>
                <w:highlight w:val="none"/>
                <w:u w:val="none"/>
                <w:vertAlign w:val="baseline"/>
                <w:lang w:val="en-US" w:eastAsia="zh-CN"/>
              </w:rPr>
              <w:t>2.根据企业实际情况，开展信用风险排查和预警工作；</w:t>
            </w:r>
          </w:p>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rFonts w:hint="eastAsia" w:asciiTheme="minorEastAsia" w:hAnsiTheme="minorEastAsia" w:eastAsiaTheme="minorEastAsia" w:cstheme="minorEastAsia"/>
                <w:color w:val="auto"/>
                <w:sz w:val="18"/>
                <w:szCs w:val="18"/>
                <w:highlight w:val="none"/>
                <w:u w:val="none"/>
                <w:vertAlign w:val="baseline"/>
                <w:lang w:val="en-US" w:eastAsia="zh-CN"/>
              </w:rPr>
            </w:pPr>
            <w:r>
              <w:rPr>
                <w:rFonts w:hint="eastAsia" w:asciiTheme="minorEastAsia" w:hAnsiTheme="minorEastAsia" w:eastAsiaTheme="minorEastAsia" w:cstheme="minorEastAsia"/>
                <w:color w:val="auto"/>
                <w:sz w:val="18"/>
                <w:szCs w:val="18"/>
                <w:highlight w:val="none"/>
                <w:u w:val="none"/>
                <w:vertAlign w:val="baseline"/>
                <w:lang w:val="en-US" w:eastAsia="zh-CN"/>
              </w:rPr>
              <w:t>3.结合大数据舆情调查，综合分析企业失信风险；</w:t>
            </w:r>
          </w:p>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rFonts w:hint="eastAsia" w:asciiTheme="minorEastAsia" w:hAnsiTheme="minorEastAsia" w:eastAsiaTheme="minorEastAsia" w:cstheme="minorEastAsia"/>
                <w:color w:val="auto"/>
                <w:sz w:val="18"/>
                <w:szCs w:val="18"/>
                <w:highlight w:val="none"/>
                <w:u w:val="none"/>
                <w:vertAlign w:val="baseline"/>
                <w:lang w:val="en-US" w:eastAsia="zh-CN"/>
              </w:rPr>
            </w:pPr>
            <w:r>
              <w:rPr>
                <w:rFonts w:hint="eastAsia" w:asciiTheme="minorEastAsia" w:hAnsiTheme="minorEastAsia" w:eastAsiaTheme="minorEastAsia" w:cstheme="minorEastAsia"/>
                <w:color w:val="auto"/>
                <w:sz w:val="18"/>
                <w:szCs w:val="18"/>
                <w:highlight w:val="none"/>
                <w:u w:val="none"/>
                <w:vertAlign w:val="baseline"/>
                <w:lang w:val="en-US" w:eastAsia="zh-CN"/>
              </w:rPr>
              <w:t>4.对企业管理、质量安全管理、财务管理等资料进行核查，记录纰漏及缺失。</w:t>
            </w:r>
          </w:p>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color w:val="auto"/>
                <w:sz w:val="18"/>
                <w:szCs w:val="18"/>
                <w:highlight w:val="none"/>
                <w:u w:val="none"/>
                <w:vertAlign w:val="baseline"/>
                <w:lang w:val="en-US" w:eastAsia="zh-CN"/>
              </w:rPr>
              <w:t>5.开展电力行业信用评价申报咨询服务，包括提出优化改进建议等电力行业信用评价申报过程中所涉及的咨询服务，并出具《信用体系建设咨询服务报告》。</w:t>
            </w:r>
          </w:p>
        </w:tc>
        <w:tc>
          <w:tcPr>
            <w:tcW w:w="491" w:type="dxa"/>
            <w:tcBorders>
              <w:tl2br w:val="nil"/>
              <w:tr2bl w:val="nil"/>
            </w:tcBorders>
            <w:shd w:val="clear" w:color="auto" w:fill="FFFFFF" w:themeFill="background1"/>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以实际为准</w:t>
            </w:r>
          </w:p>
        </w:tc>
        <w:tc>
          <w:tcPr>
            <w:tcW w:w="536" w:type="dxa"/>
            <w:tcBorders>
              <w:tl2br w:val="nil"/>
              <w:tr2bl w:val="nil"/>
            </w:tcBorders>
            <w:shd w:val="clear" w:color="auto" w:fill="FFFFFF" w:themeFill="background1"/>
            <w:vAlign w:val="center"/>
          </w:tcPr>
          <w:p>
            <w:pPr>
              <w:snapToGrid w:val="0"/>
              <w:spacing w:line="200" w:lineRule="exact"/>
              <w:jc w:val="center"/>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lang w:val="en-US" w:eastAsia="zh-CN"/>
              </w:rPr>
              <w:t>份</w:t>
            </w:r>
          </w:p>
        </w:tc>
        <w:tc>
          <w:tcPr>
            <w:tcW w:w="612" w:type="dxa"/>
            <w:gridSpan w:val="2"/>
            <w:tcBorders>
              <w:tl2br w:val="nil"/>
              <w:tr2bl w:val="nil"/>
            </w:tcBorders>
            <w:shd w:val="clear" w:color="auto" w:fill="FFFFFF" w:themeFill="background1"/>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w:t>
            </w:r>
          </w:p>
        </w:tc>
        <w:tc>
          <w:tcPr>
            <w:tcW w:w="780" w:type="dxa"/>
            <w:tcBorders>
              <w:tl2br w:val="nil"/>
              <w:tr2bl w:val="nil"/>
            </w:tcBorders>
            <w:shd w:val="clear" w:color="auto" w:fill="FFFFFF" w:themeFill="background1"/>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30000</w:t>
            </w:r>
          </w:p>
        </w:tc>
        <w:tc>
          <w:tcPr>
            <w:tcW w:w="818" w:type="dxa"/>
            <w:tcBorders>
              <w:tl2br w:val="nil"/>
              <w:tr2bl w:val="nil"/>
            </w:tcBorders>
            <w:shd w:val="clear" w:color="auto" w:fill="FFFFFF" w:themeFill="background1"/>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Theme="minorEastAsia" w:hAnsiTheme="minorEastAsia" w:eastAsiaTheme="minorEastAsia" w:cstheme="minorEastAsia"/>
                <w:color w:val="auto"/>
                <w:kern w:val="2"/>
                <w:sz w:val="18"/>
                <w:szCs w:val="18"/>
                <w:highlight w:val="none"/>
                <w:u w:val="none"/>
                <w:vertAlign w:val="baseline"/>
                <w:lang w:val="en-US" w:eastAsia="zh-CN" w:bidi="ar-SA"/>
              </w:rPr>
            </w:pPr>
            <w:r>
              <w:rPr>
                <w:rFonts w:hint="eastAsia" w:asciiTheme="minorEastAsia" w:hAnsiTheme="minorEastAsia" w:eastAsiaTheme="minorEastAsia" w:cstheme="minorEastAsia"/>
                <w:sz w:val="18"/>
                <w:szCs w:val="18"/>
              </w:rPr>
              <w:t>成交通知书发出之日起至2024年12月31日</w:t>
            </w:r>
          </w:p>
        </w:tc>
      </w:tr>
    </w:tbl>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textAlignment w:val="auto"/>
        <w:rPr>
          <w:rFonts w:hint="eastAsia" w:ascii="宋体" w:hAnsi="宋体" w:cs="宋体"/>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textAlignment w:val="auto"/>
        <w:rPr>
          <w:rFonts w:hint="eastAsia" w:ascii="宋体" w:hAnsi="宋体" w:cs="宋体"/>
          <w:b/>
          <w:bCs/>
          <w:sz w:val="24"/>
          <w:szCs w:val="24"/>
          <w:lang w:val="en-US" w:eastAsia="zh-CN"/>
        </w:rPr>
      </w:pPr>
      <w:r>
        <w:rPr>
          <w:rFonts w:hint="eastAsia" w:ascii="宋体" w:hAnsi="宋体" w:cs="宋体"/>
          <w:b/>
          <w:bCs/>
          <w:sz w:val="24"/>
          <w:szCs w:val="24"/>
          <w:lang w:val="en-US" w:eastAsia="zh-CN"/>
        </w:rPr>
        <w:t>零星采购相关要求：</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480" w:firstLineChars="200"/>
        <w:textAlignment w:val="auto"/>
        <w:rPr>
          <w:rFonts w:hint="default" w:ascii="宋体" w:hAnsi="宋体" w:cs="宋体"/>
          <w:sz w:val="24"/>
          <w:szCs w:val="24"/>
          <w:lang w:val="en-US" w:eastAsia="zh-CN"/>
        </w:rPr>
      </w:pPr>
      <w:r>
        <w:rPr>
          <w:rFonts w:hint="eastAsia" w:ascii="宋体" w:hAnsi="宋体" w:cs="宋体"/>
          <w:sz w:val="24"/>
          <w:szCs w:val="24"/>
          <w:lang w:val="en-US" w:eastAsia="zh-CN"/>
        </w:rPr>
        <w:t>1.报价金额应包括完成本项目的所有费用（含税），即完成交付本项成果的所有费用。</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firstLine="480" w:firstLineChars="20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2.投标人在付款前需开具等额增值税专用发票，开具的发票应符合国家税务部门规定且已经办理完税。</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3.投标人需提供同类业绩证明，包括并不限于合同、成交通知书、电力行业信用评价申报成果等相关佐证材料并上传至附件。</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4.投标人应为中国人民银行征信备案资质的企业。</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firstLine="480" w:firstLineChars="200"/>
        <w:textAlignment w:val="auto"/>
      </w:pPr>
      <w:r>
        <w:rPr>
          <w:rFonts w:hint="eastAsia" w:ascii="宋体" w:hAnsi="宋体" w:cs="宋体"/>
          <w:sz w:val="24"/>
          <w:szCs w:val="24"/>
          <w:lang w:val="en-US" w:eastAsia="zh-CN"/>
        </w:rPr>
        <w:t>5.</w:t>
      </w:r>
      <w:r>
        <w:rPr>
          <w:rFonts w:ascii="宋体" w:hAnsi="宋体" w:eastAsia="宋体" w:cs="宋体"/>
          <w:sz w:val="24"/>
          <w:szCs w:val="24"/>
        </w:rPr>
        <w:t>报价明显低于控制价的，投标人须提供书面说明并提供相关证明材料。对于明显低于控制价且未提供书面说明或书面说明不合理的，视为无效报价。开标后采购人发现</w:t>
      </w:r>
      <w:r>
        <w:rPr>
          <w:rFonts w:hint="eastAsia" w:ascii="宋体" w:hAnsi="宋体" w:cs="宋体"/>
          <w:sz w:val="24"/>
          <w:szCs w:val="24"/>
          <w:lang w:val="en-US" w:eastAsia="zh-CN"/>
        </w:rPr>
        <w:t>投标人的报价明显低于其他投标报价或低于成本价的，可要求投标人提供书面说明和相关证明材料，投标人不能提供或提供的材料不能合理说明报价的，视为无效报价。</w:t>
      </w: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MxYTcwZDQ4ZWVjMzBjMTUyM2E0ZjIzZGQxNDJjMDcifQ=="/>
  </w:docVars>
  <w:rsids>
    <w:rsidRoot w:val="0050218B"/>
    <w:rsid w:val="00026AEF"/>
    <w:rsid w:val="00157BA0"/>
    <w:rsid w:val="001C31DF"/>
    <w:rsid w:val="002557C5"/>
    <w:rsid w:val="00261772"/>
    <w:rsid w:val="00300E41"/>
    <w:rsid w:val="0036699B"/>
    <w:rsid w:val="00441FF6"/>
    <w:rsid w:val="00465696"/>
    <w:rsid w:val="0050218B"/>
    <w:rsid w:val="005A7D51"/>
    <w:rsid w:val="006C48A3"/>
    <w:rsid w:val="006D3BAE"/>
    <w:rsid w:val="006F383A"/>
    <w:rsid w:val="00783FE0"/>
    <w:rsid w:val="00842226"/>
    <w:rsid w:val="008F7737"/>
    <w:rsid w:val="00A17A7F"/>
    <w:rsid w:val="00C17FD0"/>
    <w:rsid w:val="00C57A50"/>
    <w:rsid w:val="00D340B6"/>
    <w:rsid w:val="00D536A5"/>
    <w:rsid w:val="00E16FE2"/>
    <w:rsid w:val="00E23608"/>
    <w:rsid w:val="00EE19B5"/>
    <w:rsid w:val="00FE263F"/>
    <w:rsid w:val="01052CD3"/>
    <w:rsid w:val="015075C7"/>
    <w:rsid w:val="01992957"/>
    <w:rsid w:val="01A34AAF"/>
    <w:rsid w:val="01D16793"/>
    <w:rsid w:val="021B5217"/>
    <w:rsid w:val="02307EDB"/>
    <w:rsid w:val="02AC1C88"/>
    <w:rsid w:val="02F915FA"/>
    <w:rsid w:val="02F92B96"/>
    <w:rsid w:val="032A0A87"/>
    <w:rsid w:val="035D5DE9"/>
    <w:rsid w:val="0360636D"/>
    <w:rsid w:val="036935A3"/>
    <w:rsid w:val="036B1883"/>
    <w:rsid w:val="03A53BC6"/>
    <w:rsid w:val="03A722DA"/>
    <w:rsid w:val="03BC011A"/>
    <w:rsid w:val="040A5FDD"/>
    <w:rsid w:val="0448737D"/>
    <w:rsid w:val="04692055"/>
    <w:rsid w:val="04902920"/>
    <w:rsid w:val="04A63ACA"/>
    <w:rsid w:val="051468EF"/>
    <w:rsid w:val="051F7DF0"/>
    <w:rsid w:val="055F6C30"/>
    <w:rsid w:val="0598081B"/>
    <w:rsid w:val="05AF0655"/>
    <w:rsid w:val="05CF14D8"/>
    <w:rsid w:val="05F123EF"/>
    <w:rsid w:val="060668E5"/>
    <w:rsid w:val="06125E2B"/>
    <w:rsid w:val="06730345"/>
    <w:rsid w:val="067E48BD"/>
    <w:rsid w:val="067E55B8"/>
    <w:rsid w:val="06834979"/>
    <w:rsid w:val="068633D2"/>
    <w:rsid w:val="06925249"/>
    <w:rsid w:val="072E7656"/>
    <w:rsid w:val="07320882"/>
    <w:rsid w:val="073C087D"/>
    <w:rsid w:val="075451A7"/>
    <w:rsid w:val="075B7ADB"/>
    <w:rsid w:val="0790215E"/>
    <w:rsid w:val="07BC254D"/>
    <w:rsid w:val="07C30522"/>
    <w:rsid w:val="07F836CF"/>
    <w:rsid w:val="0812791C"/>
    <w:rsid w:val="0830564D"/>
    <w:rsid w:val="084C1561"/>
    <w:rsid w:val="08521C88"/>
    <w:rsid w:val="085B11C8"/>
    <w:rsid w:val="08C4197C"/>
    <w:rsid w:val="09041C45"/>
    <w:rsid w:val="09AA20C6"/>
    <w:rsid w:val="09BA6DF9"/>
    <w:rsid w:val="09EF422F"/>
    <w:rsid w:val="0A1569A5"/>
    <w:rsid w:val="0A3F0E84"/>
    <w:rsid w:val="0A8B49E7"/>
    <w:rsid w:val="0A9A78CE"/>
    <w:rsid w:val="0AA13877"/>
    <w:rsid w:val="0AD77164"/>
    <w:rsid w:val="0ADF50AA"/>
    <w:rsid w:val="0AED0F9D"/>
    <w:rsid w:val="0AF030FB"/>
    <w:rsid w:val="0B2232A1"/>
    <w:rsid w:val="0B8228AE"/>
    <w:rsid w:val="0B83085A"/>
    <w:rsid w:val="0C1A6F03"/>
    <w:rsid w:val="0C275923"/>
    <w:rsid w:val="0C657338"/>
    <w:rsid w:val="0C861073"/>
    <w:rsid w:val="0CA62071"/>
    <w:rsid w:val="0CB7053C"/>
    <w:rsid w:val="0CE84804"/>
    <w:rsid w:val="0CFC733B"/>
    <w:rsid w:val="0D12725F"/>
    <w:rsid w:val="0D2A172C"/>
    <w:rsid w:val="0D5300AF"/>
    <w:rsid w:val="0D9C4150"/>
    <w:rsid w:val="0DEC0777"/>
    <w:rsid w:val="0DF76B42"/>
    <w:rsid w:val="0E0273B8"/>
    <w:rsid w:val="0E1A0D51"/>
    <w:rsid w:val="0E4550FD"/>
    <w:rsid w:val="0E6635A9"/>
    <w:rsid w:val="0E6B5E1C"/>
    <w:rsid w:val="0EBE24B1"/>
    <w:rsid w:val="0ECD225B"/>
    <w:rsid w:val="0ED11171"/>
    <w:rsid w:val="0EE42A26"/>
    <w:rsid w:val="0EF34A1C"/>
    <w:rsid w:val="0F1627B4"/>
    <w:rsid w:val="0F6A5F59"/>
    <w:rsid w:val="0F8C4A7F"/>
    <w:rsid w:val="0F8F66C0"/>
    <w:rsid w:val="0F9B0482"/>
    <w:rsid w:val="0FEA54DE"/>
    <w:rsid w:val="0FEF3EBD"/>
    <w:rsid w:val="0FF00104"/>
    <w:rsid w:val="104A50C0"/>
    <w:rsid w:val="106F00DE"/>
    <w:rsid w:val="10A741B6"/>
    <w:rsid w:val="10B677B7"/>
    <w:rsid w:val="10BD743F"/>
    <w:rsid w:val="10F94A33"/>
    <w:rsid w:val="10FF5126"/>
    <w:rsid w:val="10FF6B59"/>
    <w:rsid w:val="111D7433"/>
    <w:rsid w:val="11823EC9"/>
    <w:rsid w:val="11826EC3"/>
    <w:rsid w:val="11837EEC"/>
    <w:rsid w:val="11982747"/>
    <w:rsid w:val="11B7413A"/>
    <w:rsid w:val="11F701A3"/>
    <w:rsid w:val="120264F6"/>
    <w:rsid w:val="12464B09"/>
    <w:rsid w:val="1279373C"/>
    <w:rsid w:val="12933BDD"/>
    <w:rsid w:val="12C36177"/>
    <w:rsid w:val="12F756AE"/>
    <w:rsid w:val="13461D1D"/>
    <w:rsid w:val="13887570"/>
    <w:rsid w:val="139C60EE"/>
    <w:rsid w:val="13AB0833"/>
    <w:rsid w:val="13AB6423"/>
    <w:rsid w:val="13B37D7B"/>
    <w:rsid w:val="13BE1066"/>
    <w:rsid w:val="13DA0D50"/>
    <w:rsid w:val="13EC61D4"/>
    <w:rsid w:val="140E57FC"/>
    <w:rsid w:val="14B26405"/>
    <w:rsid w:val="15000BA8"/>
    <w:rsid w:val="153A37B3"/>
    <w:rsid w:val="1541713B"/>
    <w:rsid w:val="15483FEC"/>
    <w:rsid w:val="158C4EDB"/>
    <w:rsid w:val="15BC34ED"/>
    <w:rsid w:val="15D55160"/>
    <w:rsid w:val="15DA10CA"/>
    <w:rsid w:val="164861BA"/>
    <w:rsid w:val="16504EA4"/>
    <w:rsid w:val="16CE6B54"/>
    <w:rsid w:val="16F97E0A"/>
    <w:rsid w:val="17490896"/>
    <w:rsid w:val="175D1EDD"/>
    <w:rsid w:val="17EB518E"/>
    <w:rsid w:val="17F0196C"/>
    <w:rsid w:val="17FDAAA2"/>
    <w:rsid w:val="180A22A7"/>
    <w:rsid w:val="181C0061"/>
    <w:rsid w:val="182D3A23"/>
    <w:rsid w:val="18364876"/>
    <w:rsid w:val="184A63B2"/>
    <w:rsid w:val="185D6634"/>
    <w:rsid w:val="18792D8F"/>
    <w:rsid w:val="18913C5D"/>
    <w:rsid w:val="18A832E3"/>
    <w:rsid w:val="18C75302"/>
    <w:rsid w:val="18D45952"/>
    <w:rsid w:val="18D904AE"/>
    <w:rsid w:val="18DC79C3"/>
    <w:rsid w:val="19117898"/>
    <w:rsid w:val="191375ED"/>
    <w:rsid w:val="195B35E0"/>
    <w:rsid w:val="199F27D8"/>
    <w:rsid w:val="19C82368"/>
    <w:rsid w:val="19DA380D"/>
    <w:rsid w:val="19F3668F"/>
    <w:rsid w:val="1A077592"/>
    <w:rsid w:val="1A104BF3"/>
    <w:rsid w:val="1A1E09B2"/>
    <w:rsid w:val="1A7B0269"/>
    <w:rsid w:val="1AC33FB7"/>
    <w:rsid w:val="1AC84B34"/>
    <w:rsid w:val="1B1F555D"/>
    <w:rsid w:val="1B561602"/>
    <w:rsid w:val="1BCD544B"/>
    <w:rsid w:val="1BFF2F2A"/>
    <w:rsid w:val="1C3278A2"/>
    <w:rsid w:val="1C854E61"/>
    <w:rsid w:val="1CB87552"/>
    <w:rsid w:val="1CC55619"/>
    <w:rsid w:val="1CD75E9E"/>
    <w:rsid w:val="1CDD7501"/>
    <w:rsid w:val="1D2D1991"/>
    <w:rsid w:val="1D671A74"/>
    <w:rsid w:val="1D6848B1"/>
    <w:rsid w:val="1D955B57"/>
    <w:rsid w:val="1DB40BC2"/>
    <w:rsid w:val="1DDE14F9"/>
    <w:rsid w:val="1DFA46BD"/>
    <w:rsid w:val="1E227924"/>
    <w:rsid w:val="1E32167D"/>
    <w:rsid w:val="1E553C29"/>
    <w:rsid w:val="1EAA6EA3"/>
    <w:rsid w:val="1EBA3005"/>
    <w:rsid w:val="1EBF4978"/>
    <w:rsid w:val="1EC65F2B"/>
    <w:rsid w:val="1ED5429A"/>
    <w:rsid w:val="1EEA2AE5"/>
    <w:rsid w:val="1EFD452C"/>
    <w:rsid w:val="1F1E0604"/>
    <w:rsid w:val="1F394A1A"/>
    <w:rsid w:val="1F4C7B7C"/>
    <w:rsid w:val="1F5D1205"/>
    <w:rsid w:val="1F8550E0"/>
    <w:rsid w:val="1F9B28EC"/>
    <w:rsid w:val="1FC51466"/>
    <w:rsid w:val="20282F0E"/>
    <w:rsid w:val="20714AAE"/>
    <w:rsid w:val="20A60D13"/>
    <w:rsid w:val="20A86920"/>
    <w:rsid w:val="20CC0CFF"/>
    <w:rsid w:val="211334B9"/>
    <w:rsid w:val="217C4225"/>
    <w:rsid w:val="21832BAA"/>
    <w:rsid w:val="21BC3288"/>
    <w:rsid w:val="21E15E19"/>
    <w:rsid w:val="222A6014"/>
    <w:rsid w:val="222D400C"/>
    <w:rsid w:val="224A54B1"/>
    <w:rsid w:val="22845402"/>
    <w:rsid w:val="22D63FD3"/>
    <w:rsid w:val="22E50B1B"/>
    <w:rsid w:val="22F37FF6"/>
    <w:rsid w:val="22FB6A43"/>
    <w:rsid w:val="2311115B"/>
    <w:rsid w:val="231A14E5"/>
    <w:rsid w:val="23270B9D"/>
    <w:rsid w:val="23332D20"/>
    <w:rsid w:val="233C17D3"/>
    <w:rsid w:val="233C218A"/>
    <w:rsid w:val="23655EB5"/>
    <w:rsid w:val="239B5827"/>
    <w:rsid w:val="23C01687"/>
    <w:rsid w:val="23D61DCF"/>
    <w:rsid w:val="23E32E93"/>
    <w:rsid w:val="24011FC7"/>
    <w:rsid w:val="242238CD"/>
    <w:rsid w:val="24320B70"/>
    <w:rsid w:val="24466245"/>
    <w:rsid w:val="247D3242"/>
    <w:rsid w:val="24C0590D"/>
    <w:rsid w:val="24CB0200"/>
    <w:rsid w:val="24F65BDA"/>
    <w:rsid w:val="2558697E"/>
    <w:rsid w:val="25640486"/>
    <w:rsid w:val="256B5F2C"/>
    <w:rsid w:val="257310D3"/>
    <w:rsid w:val="25804A91"/>
    <w:rsid w:val="25EA626C"/>
    <w:rsid w:val="25EC4553"/>
    <w:rsid w:val="261F7870"/>
    <w:rsid w:val="26214FBB"/>
    <w:rsid w:val="26907ADB"/>
    <w:rsid w:val="26B2175F"/>
    <w:rsid w:val="271F513D"/>
    <w:rsid w:val="275B2E00"/>
    <w:rsid w:val="276B09A0"/>
    <w:rsid w:val="27EB7834"/>
    <w:rsid w:val="28194C58"/>
    <w:rsid w:val="28492804"/>
    <w:rsid w:val="28556C16"/>
    <w:rsid w:val="28577BD0"/>
    <w:rsid w:val="285C363D"/>
    <w:rsid w:val="28DD06E4"/>
    <w:rsid w:val="29240D31"/>
    <w:rsid w:val="29490A77"/>
    <w:rsid w:val="296E5E83"/>
    <w:rsid w:val="297577B0"/>
    <w:rsid w:val="297F66B8"/>
    <w:rsid w:val="29AF1BBE"/>
    <w:rsid w:val="29E34D42"/>
    <w:rsid w:val="29E95409"/>
    <w:rsid w:val="2A690897"/>
    <w:rsid w:val="2A7175FC"/>
    <w:rsid w:val="2AB35DB5"/>
    <w:rsid w:val="2ABF1539"/>
    <w:rsid w:val="2AD01847"/>
    <w:rsid w:val="2AD21A3A"/>
    <w:rsid w:val="2AFE0FB0"/>
    <w:rsid w:val="2B2B16AB"/>
    <w:rsid w:val="2B2E2565"/>
    <w:rsid w:val="2B3D3DE8"/>
    <w:rsid w:val="2B3F49D4"/>
    <w:rsid w:val="2B454D0C"/>
    <w:rsid w:val="2B480004"/>
    <w:rsid w:val="2B6037FD"/>
    <w:rsid w:val="2B7E3134"/>
    <w:rsid w:val="2B8B1D17"/>
    <w:rsid w:val="2B9A10C7"/>
    <w:rsid w:val="2BED77C0"/>
    <w:rsid w:val="2C074D38"/>
    <w:rsid w:val="2C1A1E0C"/>
    <w:rsid w:val="2C6B6BA2"/>
    <w:rsid w:val="2C9C70A5"/>
    <w:rsid w:val="2CC91D13"/>
    <w:rsid w:val="2CCE70C7"/>
    <w:rsid w:val="2CD361DC"/>
    <w:rsid w:val="2D051540"/>
    <w:rsid w:val="2D3879B8"/>
    <w:rsid w:val="2D391F64"/>
    <w:rsid w:val="2D561CA8"/>
    <w:rsid w:val="2D6B0EA3"/>
    <w:rsid w:val="2DC33DB2"/>
    <w:rsid w:val="2DD97F04"/>
    <w:rsid w:val="2DFF3ADD"/>
    <w:rsid w:val="2E1C79CC"/>
    <w:rsid w:val="2E2B32D6"/>
    <w:rsid w:val="2E392D33"/>
    <w:rsid w:val="2E536FE5"/>
    <w:rsid w:val="2E667816"/>
    <w:rsid w:val="2E725FE0"/>
    <w:rsid w:val="2E791687"/>
    <w:rsid w:val="2E912BDE"/>
    <w:rsid w:val="2EA875B9"/>
    <w:rsid w:val="2ED42148"/>
    <w:rsid w:val="2EDF1EFA"/>
    <w:rsid w:val="2EE07DBA"/>
    <w:rsid w:val="2EFE3107"/>
    <w:rsid w:val="2F1B63D1"/>
    <w:rsid w:val="2F53760D"/>
    <w:rsid w:val="2F5F30A6"/>
    <w:rsid w:val="2F8729E4"/>
    <w:rsid w:val="2F966180"/>
    <w:rsid w:val="2FB86AD7"/>
    <w:rsid w:val="2FC03B68"/>
    <w:rsid w:val="2FCC5EB5"/>
    <w:rsid w:val="2FDD356D"/>
    <w:rsid w:val="300A4FB0"/>
    <w:rsid w:val="300D7EEF"/>
    <w:rsid w:val="30125D53"/>
    <w:rsid w:val="303B5E5F"/>
    <w:rsid w:val="309E271A"/>
    <w:rsid w:val="30A56E68"/>
    <w:rsid w:val="30CE6316"/>
    <w:rsid w:val="30E61555"/>
    <w:rsid w:val="31123409"/>
    <w:rsid w:val="313F00F2"/>
    <w:rsid w:val="315A52B0"/>
    <w:rsid w:val="319220FD"/>
    <w:rsid w:val="319758A2"/>
    <w:rsid w:val="319D15C6"/>
    <w:rsid w:val="31E13CC9"/>
    <w:rsid w:val="31F01B5A"/>
    <w:rsid w:val="321B25DE"/>
    <w:rsid w:val="323B4D05"/>
    <w:rsid w:val="324A3E43"/>
    <w:rsid w:val="325D59A4"/>
    <w:rsid w:val="326F7930"/>
    <w:rsid w:val="32AD478C"/>
    <w:rsid w:val="32C60B2E"/>
    <w:rsid w:val="32CF197A"/>
    <w:rsid w:val="32E77CD8"/>
    <w:rsid w:val="32EA4195"/>
    <w:rsid w:val="32F861B8"/>
    <w:rsid w:val="33010AEC"/>
    <w:rsid w:val="331421DE"/>
    <w:rsid w:val="33163F3D"/>
    <w:rsid w:val="331D4896"/>
    <w:rsid w:val="3321149D"/>
    <w:rsid w:val="333974B6"/>
    <w:rsid w:val="335B2396"/>
    <w:rsid w:val="338B5E95"/>
    <w:rsid w:val="33920A9F"/>
    <w:rsid w:val="33997B4D"/>
    <w:rsid w:val="33A459E2"/>
    <w:rsid w:val="34184422"/>
    <w:rsid w:val="3419414A"/>
    <w:rsid w:val="343D09E4"/>
    <w:rsid w:val="344158AC"/>
    <w:rsid w:val="344E6363"/>
    <w:rsid w:val="34520E23"/>
    <w:rsid w:val="347D51D4"/>
    <w:rsid w:val="34B87C7C"/>
    <w:rsid w:val="34BC0BA7"/>
    <w:rsid w:val="34F7189E"/>
    <w:rsid w:val="350E3C3F"/>
    <w:rsid w:val="3528599B"/>
    <w:rsid w:val="352C5572"/>
    <w:rsid w:val="353B717A"/>
    <w:rsid w:val="356A2E49"/>
    <w:rsid w:val="35742D7C"/>
    <w:rsid w:val="359F7432"/>
    <w:rsid w:val="35F25969"/>
    <w:rsid w:val="365015FB"/>
    <w:rsid w:val="366B0578"/>
    <w:rsid w:val="367A5F64"/>
    <w:rsid w:val="36825B5E"/>
    <w:rsid w:val="36917E84"/>
    <w:rsid w:val="369D03B9"/>
    <w:rsid w:val="36AD4C2F"/>
    <w:rsid w:val="36EF37FF"/>
    <w:rsid w:val="37093174"/>
    <w:rsid w:val="371D7C60"/>
    <w:rsid w:val="377208C5"/>
    <w:rsid w:val="37764866"/>
    <w:rsid w:val="37765619"/>
    <w:rsid w:val="379F48CB"/>
    <w:rsid w:val="37A0201B"/>
    <w:rsid w:val="37BE13CA"/>
    <w:rsid w:val="37E72963"/>
    <w:rsid w:val="37EE1745"/>
    <w:rsid w:val="381A2C58"/>
    <w:rsid w:val="381A5CE2"/>
    <w:rsid w:val="381F70F8"/>
    <w:rsid w:val="388F70E9"/>
    <w:rsid w:val="38924F5A"/>
    <w:rsid w:val="38AD2E41"/>
    <w:rsid w:val="38D45199"/>
    <w:rsid w:val="38FF3ECD"/>
    <w:rsid w:val="394E0D6C"/>
    <w:rsid w:val="39502B2E"/>
    <w:rsid w:val="3953230A"/>
    <w:rsid w:val="397E04AE"/>
    <w:rsid w:val="39913760"/>
    <w:rsid w:val="3A7A3E35"/>
    <w:rsid w:val="3A92327C"/>
    <w:rsid w:val="3AAE4F47"/>
    <w:rsid w:val="3ABD0833"/>
    <w:rsid w:val="3ABF661E"/>
    <w:rsid w:val="3B1A4B3E"/>
    <w:rsid w:val="3B3048F1"/>
    <w:rsid w:val="3B3E6FAC"/>
    <w:rsid w:val="3BE82348"/>
    <w:rsid w:val="3C06070B"/>
    <w:rsid w:val="3C1444AC"/>
    <w:rsid w:val="3C274111"/>
    <w:rsid w:val="3C547E24"/>
    <w:rsid w:val="3C584DA1"/>
    <w:rsid w:val="3CC350C0"/>
    <w:rsid w:val="3D941735"/>
    <w:rsid w:val="3DA64451"/>
    <w:rsid w:val="3DB24F3D"/>
    <w:rsid w:val="3DDE3DAC"/>
    <w:rsid w:val="3DFC5237"/>
    <w:rsid w:val="3E27562C"/>
    <w:rsid w:val="3E4D6FC1"/>
    <w:rsid w:val="3E6947CF"/>
    <w:rsid w:val="3E8A454C"/>
    <w:rsid w:val="3E987474"/>
    <w:rsid w:val="3E9C5D59"/>
    <w:rsid w:val="3ED360BC"/>
    <w:rsid w:val="3F710124"/>
    <w:rsid w:val="3FBB51A3"/>
    <w:rsid w:val="3FDF25E9"/>
    <w:rsid w:val="3FF07D85"/>
    <w:rsid w:val="3FF1642A"/>
    <w:rsid w:val="3FFE26F4"/>
    <w:rsid w:val="40282EED"/>
    <w:rsid w:val="403C1224"/>
    <w:rsid w:val="406B01F9"/>
    <w:rsid w:val="40831863"/>
    <w:rsid w:val="40894C4D"/>
    <w:rsid w:val="412679DC"/>
    <w:rsid w:val="41517F9D"/>
    <w:rsid w:val="41562960"/>
    <w:rsid w:val="416A3034"/>
    <w:rsid w:val="417D1029"/>
    <w:rsid w:val="41A334C2"/>
    <w:rsid w:val="42090E50"/>
    <w:rsid w:val="42275F3E"/>
    <w:rsid w:val="42441F00"/>
    <w:rsid w:val="425A1705"/>
    <w:rsid w:val="42E95491"/>
    <w:rsid w:val="431C6421"/>
    <w:rsid w:val="43576B7D"/>
    <w:rsid w:val="43C30956"/>
    <w:rsid w:val="43C75166"/>
    <w:rsid w:val="440E3217"/>
    <w:rsid w:val="442A0023"/>
    <w:rsid w:val="44437104"/>
    <w:rsid w:val="44504F16"/>
    <w:rsid w:val="44537F59"/>
    <w:rsid w:val="44666BE9"/>
    <w:rsid w:val="446F62CC"/>
    <w:rsid w:val="44825D97"/>
    <w:rsid w:val="44986652"/>
    <w:rsid w:val="44B1746D"/>
    <w:rsid w:val="44B944D1"/>
    <w:rsid w:val="458C70A2"/>
    <w:rsid w:val="45A568D9"/>
    <w:rsid w:val="45BA1F04"/>
    <w:rsid w:val="461006F0"/>
    <w:rsid w:val="4619214D"/>
    <w:rsid w:val="46372D24"/>
    <w:rsid w:val="465763C5"/>
    <w:rsid w:val="46BA756A"/>
    <w:rsid w:val="46D8403F"/>
    <w:rsid w:val="47073246"/>
    <w:rsid w:val="472E48D7"/>
    <w:rsid w:val="4756428D"/>
    <w:rsid w:val="475A27A2"/>
    <w:rsid w:val="475B4DF8"/>
    <w:rsid w:val="476D4066"/>
    <w:rsid w:val="477026E0"/>
    <w:rsid w:val="47872991"/>
    <w:rsid w:val="479D546F"/>
    <w:rsid w:val="47A077D0"/>
    <w:rsid w:val="47F22F39"/>
    <w:rsid w:val="48034697"/>
    <w:rsid w:val="48056A58"/>
    <w:rsid w:val="481529AD"/>
    <w:rsid w:val="483D0495"/>
    <w:rsid w:val="48467A91"/>
    <w:rsid w:val="487C6301"/>
    <w:rsid w:val="48892517"/>
    <w:rsid w:val="488B79F3"/>
    <w:rsid w:val="490F6373"/>
    <w:rsid w:val="494463F8"/>
    <w:rsid w:val="494738A9"/>
    <w:rsid w:val="495449CB"/>
    <w:rsid w:val="49597175"/>
    <w:rsid w:val="49A40931"/>
    <w:rsid w:val="49A67127"/>
    <w:rsid w:val="49FA51AE"/>
    <w:rsid w:val="4A2475AE"/>
    <w:rsid w:val="4A7C7998"/>
    <w:rsid w:val="4A8243E2"/>
    <w:rsid w:val="4B044BE2"/>
    <w:rsid w:val="4B164BF7"/>
    <w:rsid w:val="4B232A63"/>
    <w:rsid w:val="4B2A6D26"/>
    <w:rsid w:val="4B3819D9"/>
    <w:rsid w:val="4B386B1F"/>
    <w:rsid w:val="4B3B31B0"/>
    <w:rsid w:val="4B434BDF"/>
    <w:rsid w:val="4B533EB2"/>
    <w:rsid w:val="4B675CF1"/>
    <w:rsid w:val="4B9D3C8C"/>
    <w:rsid w:val="4B9E5377"/>
    <w:rsid w:val="4BA91423"/>
    <w:rsid w:val="4BBC7A8D"/>
    <w:rsid w:val="4BF471C5"/>
    <w:rsid w:val="4C491E5A"/>
    <w:rsid w:val="4CD13956"/>
    <w:rsid w:val="4CDB3F00"/>
    <w:rsid w:val="4CE34EB6"/>
    <w:rsid w:val="4CEB77DA"/>
    <w:rsid w:val="4D036CAF"/>
    <w:rsid w:val="4D6A28CB"/>
    <w:rsid w:val="4D830DAC"/>
    <w:rsid w:val="4D8E0BDE"/>
    <w:rsid w:val="4D9A6DB9"/>
    <w:rsid w:val="4DD557B0"/>
    <w:rsid w:val="4DF60BDA"/>
    <w:rsid w:val="4E245FAE"/>
    <w:rsid w:val="4E312DA4"/>
    <w:rsid w:val="4E41544D"/>
    <w:rsid w:val="4E464A84"/>
    <w:rsid w:val="4E526F74"/>
    <w:rsid w:val="4E537667"/>
    <w:rsid w:val="4E6536C4"/>
    <w:rsid w:val="4E7724EA"/>
    <w:rsid w:val="4EC46589"/>
    <w:rsid w:val="4ECD720D"/>
    <w:rsid w:val="4F0405C9"/>
    <w:rsid w:val="4F2946F0"/>
    <w:rsid w:val="4F461CC5"/>
    <w:rsid w:val="4F4D396E"/>
    <w:rsid w:val="4FA7036F"/>
    <w:rsid w:val="4FAF700C"/>
    <w:rsid w:val="4FDE262D"/>
    <w:rsid w:val="500243D3"/>
    <w:rsid w:val="500314A7"/>
    <w:rsid w:val="5003382A"/>
    <w:rsid w:val="50375193"/>
    <w:rsid w:val="503E1FCA"/>
    <w:rsid w:val="50461890"/>
    <w:rsid w:val="504C1BA2"/>
    <w:rsid w:val="504E2748"/>
    <w:rsid w:val="50BA7557"/>
    <w:rsid w:val="50C638D6"/>
    <w:rsid w:val="50E21ACE"/>
    <w:rsid w:val="50F93B86"/>
    <w:rsid w:val="51027B61"/>
    <w:rsid w:val="5140543F"/>
    <w:rsid w:val="517347C8"/>
    <w:rsid w:val="51E555A2"/>
    <w:rsid w:val="51EA1147"/>
    <w:rsid w:val="524819E6"/>
    <w:rsid w:val="5260187D"/>
    <w:rsid w:val="528F6EA6"/>
    <w:rsid w:val="52A45DEF"/>
    <w:rsid w:val="52B8787C"/>
    <w:rsid w:val="52C83255"/>
    <w:rsid w:val="52EA4D85"/>
    <w:rsid w:val="530E44DA"/>
    <w:rsid w:val="534862D9"/>
    <w:rsid w:val="53497A9A"/>
    <w:rsid w:val="5360134E"/>
    <w:rsid w:val="53664FB3"/>
    <w:rsid w:val="5387554D"/>
    <w:rsid w:val="53960E6A"/>
    <w:rsid w:val="53C8196B"/>
    <w:rsid w:val="53E41DB4"/>
    <w:rsid w:val="53F26B45"/>
    <w:rsid w:val="540068E9"/>
    <w:rsid w:val="54335E5C"/>
    <w:rsid w:val="549D6646"/>
    <w:rsid w:val="54AF5969"/>
    <w:rsid w:val="54B56893"/>
    <w:rsid w:val="54BA789D"/>
    <w:rsid w:val="551301F0"/>
    <w:rsid w:val="554E3A38"/>
    <w:rsid w:val="555D0437"/>
    <w:rsid w:val="55A10730"/>
    <w:rsid w:val="55A72832"/>
    <w:rsid w:val="55AB2EE4"/>
    <w:rsid w:val="563F281B"/>
    <w:rsid w:val="566F1222"/>
    <w:rsid w:val="568446D1"/>
    <w:rsid w:val="56865BE8"/>
    <w:rsid w:val="56B317A5"/>
    <w:rsid w:val="56C52B5D"/>
    <w:rsid w:val="57234AF5"/>
    <w:rsid w:val="574A510A"/>
    <w:rsid w:val="575751C1"/>
    <w:rsid w:val="578454DF"/>
    <w:rsid w:val="57A0057A"/>
    <w:rsid w:val="57A54DD5"/>
    <w:rsid w:val="57C559F6"/>
    <w:rsid w:val="57FA22BB"/>
    <w:rsid w:val="58A34B5E"/>
    <w:rsid w:val="58C60D55"/>
    <w:rsid w:val="58CB312B"/>
    <w:rsid w:val="58D9172E"/>
    <w:rsid w:val="58F16EE8"/>
    <w:rsid w:val="59186178"/>
    <w:rsid w:val="591D4EAF"/>
    <w:rsid w:val="59272A43"/>
    <w:rsid w:val="593747CE"/>
    <w:rsid w:val="59454223"/>
    <w:rsid w:val="595906C0"/>
    <w:rsid w:val="5960038C"/>
    <w:rsid w:val="597611C4"/>
    <w:rsid w:val="59A20FEB"/>
    <w:rsid w:val="59B24B11"/>
    <w:rsid w:val="59B54BD9"/>
    <w:rsid w:val="59C07E99"/>
    <w:rsid w:val="59F15C04"/>
    <w:rsid w:val="5A3E01A8"/>
    <w:rsid w:val="5A5F3BDC"/>
    <w:rsid w:val="5A605ED4"/>
    <w:rsid w:val="5AA13442"/>
    <w:rsid w:val="5AAE67C0"/>
    <w:rsid w:val="5ADD7B90"/>
    <w:rsid w:val="5B1F7022"/>
    <w:rsid w:val="5B2F6628"/>
    <w:rsid w:val="5B4336C7"/>
    <w:rsid w:val="5B53316D"/>
    <w:rsid w:val="5B7F122D"/>
    <w:rsid w:val="5BA40A1E"/>
    <w:rsid w:val="5BCA1444"/>
    <w:rsid w:val="5BCA2F69"/>
    <w:rsid w:val="5BD74586"/>
    <w:rsid w:val="5C00101B"/>
    <w:rsid w:val="5C5E119E"/>
    <w:rsid w:val="5CC9755E"/>
    <w:rsid w:val="5CD0066D"/>
    <w:rsid w:val="5CD75CFE"/>
    <w:rsid w:val="5D215347"/>
    <w:rsid w:val="5D5E347F"/>
    <w:rsid w:val="5D6A291B"/>
    <w:rsid w:val="5D890C96"/>
    <w:rsid w:val="5D8C01C7"/>
    <w:rsid w:val="5D917FF8"/>
    <w:rsid w:val="5D9B7793"/>
    <w:rsid w:val="5E233FBF"/>
    <w:rsid w:val="5E2576CD"/>
    <w:rsid w:val="5E702CEC"/>
    <w:rsid w:val="5E7C0E23"/>
    <w:rsid w:val="5EA97A3D"/>
    <w:rsid w:val="5EB15C86"/>
    <w:rsid w:val="5ECA6034"/>
    <w:rsid w:val="5EFB19E8"/>
    <w:rsid w:val="5F237C04"/>
    <w:rsid w:val="5F4373F6"/>
    <w:rsid w:val="5F637ADC"/>
    <w:rsid w:val="5F831A00"/>
    <w:rsid w:val="5F8F1A4B"/>
    <w:rsid w:val="5F973D6C"/>
    <w:rsid w:val="5F9E444A"/>
    <w:rsid w:val="5FA2192E"/>
    <w:rsid w:val="5FAD65DB"/>
    <w:rsid w:val="5FEE4841"/>
    <w:rsid w:val="5FF939C7"/>
    <w:rsid w:val="60551DB5"/>
    <w:rsid w:val="60684D7C"/>
    <w:rsid w:val="608F0CA3"/>
    <w:rsid w:val="60AD0488"/>
    <w:rsid w:val="60BB1F78"/>
    <w:rsid w:val="60BD7A47"/>
    <w:rsid w:val="60C713D9"/>
    <w:rsid w:val="61072DE6"/>
    <w:rsid w:val="61164C50"/>
    <w:rsid w:val="614F61F8"/>
    <w:rsid w:val="617B1C9D"/>
    <w:rsid w:val="61981D70"/>
    <w:rsid w:val="61C439FA"/>
    <w:rsid w:val="61CE507B"/>
    <w:rsid w:val="61E728D6"/>
    <w:rsid w:val="61EF5133"/>
    <w:rsid w:val="62173821"/>
    <w:rsid w:val="622307EE"/>
    <w:rsid w:val="626342D1"/>
    <w:rsid w:val="626559D3"/>
    <w:rsid w:val="626B432C"/>
    <w:rsid w:val="63146E6D"/>
    <w:rsid w:val="63382470"/>
    <w:rsid w:val="63696824"/>
    <w:rsid w:val="639221EC"/>
    <w:rsid w:val="63C10D97"/>
    <w:rsid w:val="63C75ED9"/>
    <w:rsid w:val="63D11A20"/>
    <w:rsid w:val="63E6019D"/>
    <w:rsid w:val="6413507A"/>
    <w:rsid w:val="6430755C"/>
    <w:rsid w:val="6431190B"/>
    <w:rsid w:val="64367A85"/>
    <w:rsid w:val="645F4F0D"/>
    <w:rsid w:val="64695B5E"/>
    <w:rsid w:val="646E21D5"/>
    <w:rsid w:val="647025F4"/>
    <w:rsid w:val="647D794E"/>
    <w:rsid w:val="647E0C7E"/>
    <w:rsid w:val="648C03F1"/>
    <w:rsid w:val="64AA310F"/>
    <w:rsid w:val="64B2314C"/>
    <w:rsid w:val="64C86861"/>
    <w:rsid w:val="64E20D10"/>
    <w:rsid w:val="65467B84"/>
    <w:rsid w:val="656B3FC6"/>
    <w:rsid w:val="658F5BB8"/>
    <w:rsid w:val="65BF100D"/>
    <w:rsid w:val="65DB41B5"/>
    <w:rsid w:val="65DE1C89"/>
    <w:rsid w:val="65ED6758"/>
    <w:rsid w:val="65EE308C"/>
    <w:rsid w:val="660437C1"/>
    <w:rsid w:val="66153F7B"/>
    <w:rsid w:val="66670035"/>
    <w:rsid w:val="667A22D3"/>
    <w:rsid w:val="66911095"/>
    <w:rsid w:val="66C7396A"/>
    <w:rsid w:val="66F47A75"/>
    <w:rsid w:val="67240821"/>
    <w:rsid w:val="67265308"/>
    <w:rsid w:val="67456B62"/>
    <w:rsid w:val="676475B1"/>
    <w:rsid w:val="682942F3"/>
    <w:rsid w:val="688F1BA0"/>
    <w:rsid w:val="68AB3B96"/>
    <w:rsid w:val="68AB5173"/>
    <w:rsid w:val="68CF1655"/>
    <w:rsid w:val="68D21289"/>
    <w:rsid w:val="68F00547"/>
    <w:rsid w:val="68F84251"/>
    <w:rsid w:val="6986402B"/>
    <w:rsid w:val="698C3790"/>
    <w:rsid w:val="69962C8C"/>
    <w:rsid w:val="69966862"/>
    <w:rsid w:val="69A10D94"/>
    <w:rsid w:val="69A92343"/>
    <w:rsid w:val="69BF4E9F"/>
    <w:rsid w:val="69D65C3D"/>
    <w:rsid w:val="69DC76D7"/>
    <w:rsid w:val="69E61105"/>
    <w:rsid w:val="69EA60D3"/>
    <w:rsid w:val="69FC2319"/>
    <w:rsid w:val="6A1859A9"/>
    <w:rsid w:val="6A41119E"/>
    <w:rsid w:val="6A573A48"/>
    <w:rsid w:val="6A6416BC"/>
    <w:rsid w:val="6A652369"/>
    <w:rsid w:val="6A6B53FF"/>
    <w:rsid w:val="6A8B5F11"/>
    <w:rsid w:val="6A9036B8"/>
    <w:rsid w:val="6ADC6E06"/>
    <w:rsid w:val="6AF538FA"/>
    <w:rsid w:val="6B103298"/>
    <w:rsid w:val="6B17564A"/>
    <w:rsid w:val="6B3D150A"/>
    <w:rsid w:val="6B715BAF"/>
    <w:rsid w:val="6B8B3DF7"/>
    <w:rsid w:val="6BF27B47"/>
    <w:rsid w:val="6C110E17"/>
    <w:rsid w:val="6C112F6C"/>
    <w:rsid w:val="6C2708F2"/>
    <w:rsid w:val="6C490D2F"/>
    <w:rsid w:val="6C82470C"/>
    <w:rsid w:val="6CBB3210"/>
    <w:rsid w:val="6CE83EE8"/>
    <w:rsid w:val="6D0836E2"/>
    <w:rsid w:val="6D42667C"/>
    <w:rsid w:val="6D46511E"/>
    <w:rsid w:val="6D875DC9"/>
    <w:rsid w:val="6D9B48E4"/>
    <w:rsid w:val="6D9E7027"/>
    <w:rsid w:val="6DBF7C53"/>
    <w:rsid w:val="6E12125B"/>
    <w:rsid w:val="6E3B7BAD"/>
    <w:rsid w:val="6E640393"/>
    <w:rsid w:val="6E8B1F5C"/>
    <w:rsid w:val="6E954457"/>
    <w:rsid w:val="6EB6197B"/>
    <w:rsid w:val="6EDA2C9A"/>
    <w:rsid w:val="6EDA6A71"/>
    <w:rsid w:val="6EDF5A03"/>
    <w:rsid w:val="6EEC7185"/>
    <w:rsid w:val="6F13656B"/>
    <w:rsid w:val="6F16595B"/>
    <w:rsid w:val="6F293B03"/>
    <w:rsid w:val="6F296463"/>
    <w:rsid w:val="6F583B84"/>
    <w:rsid w:val="6F96567B"/>
    <w:rsid w:val="6FCF5335"/>
    <w:rsid w:val="6FDD1E5B"/>
    <w:rsid w:val="70343BCF"/>
    <w:rsid w:val="707A66C4"/>
    <w:rsid w:val="708151EA"/>
    <w:rsid w:val="70DD65B6"/>
    <w:rsid w:val="70F87367"/>
    <w:rsid w:val="71095FD4"/>
    <w:rsid w:val="71096A30"/>
    <w:rsid w:val="710B0DE4"/>
    <w:rsid w:val="7140764A"/>
    <w:rsid w:val="714A3FDC"/>
    <w:rsid w:val="7154029E"/>
    <w:rsid w:val="716B75F7"/>
    <w:rsid w:val="71A830A3"/>
    <w:rsid w:val="71B71858"/>
    <w:rsid w:val="71BD4504"/>
    <w:rsid w:val="71C614F8"/>
    <w:rsid w:val="72063630"/>
    <w:rsid w:val="72170C58"/>
    <w:rsid w:val="723D3ED5"/>
    <w:rsid w:val="725C0C0D"/>
    <w:rsid w:val="7292018E"/>
    <w:rsid w:val="72945FFF"/>
    <w:rsid w:val="72B93937"/>
    <w:rsid w:val="72C41547"/>
    <w:rsid w:val="72F17306"/>
    <w:rsid w:val="73085912"/>
    <w:rsid w:val="73642743"/>
    <w:rsid w:val="73696B97"/>
    <w:rsid w:val="739946F0"/>
    <w:rsid w:val="73D53CDE"/>
    <w:rsid w:val="73E51C1F"/>
    <w:rsid w:val="740C0775"/>
    <w:rsid w:val="740C2E8C"/>
    <w:rsid w:val="745E147B"/>
    <w:rsid w:val="747932C9"/>
    <w:rsid w:val="747F2524"/>
    <w:rsid w:val="7499313E"/>
    <w:rsid w:val="749C7286"/>
    <w:rsid w:val="74A94359"/>
    <w:rsid w:val="74C91B20"/>
    <w:rsid w:val="74CF3A1B"/>
    <w:rsid w:val="74EC20A2"/>
    <w:rsid w:val="752D6294"/>
    <w:rsid w:val="7543356F"/>
    <w:rsid w:val="757A53EF"/>
    <w:rsid w:val="75952926"/>
    <w:rsid w:val="75A1642C"/>
    <w:rsid w:val="76503DEE"/>
    <w:rsid w:val="765B6397"/>
    <w:rsid w:val="76627434"/>
    <w:rsid w:val="768A341C"/>
    <w:rsid w:val="76B30CD7"/>
    <w:rsid w:val="76FA7507"/>
    <w:rsid w:val="77686DDD"/>
    <w:rsid w:val="778D2E4C"/>
    <w:rsid w:val="778F0849"/>
    <w:rsid w:val="77BB02EC"/>
    <w:rsid w:val="77D26432"/>
    <w:rsid w:val="77F630ED"/>
    <w:rsid w:val="7872426F"/>
    <w:rsid w:val="78EE6C97"/>
    <w:rsid w:val="792E7F32"/>
    <w:rsid w:val="7941548E"/>
    <w:rsid w:val="7951288A"/>
    <w:rsid w:val="7973270F"/>
    <w:rsid w:val="79855155"/>
    <w:rsid w:val="79D210F8"/>
    <w:rsid w:val="79D844FD"/>
    <w:rsid w:val="7A284234"/>
    <w:rsid w:val="7A447A33"/>
    <w:rsid w:val="7A816C87"/>
    <w:rsid w:val="7A8E697E"/>
    <w:rsid w:val="7AFE3AAB"/>
    <w:rsid w:val="7B3518EB"/>
    <w:rsid w:val="7B35614B"/>
    <w:rsid w:val="7B513D99"/>
    <w:rsid w:val="7BA258DC"/>
    <w:rsid w:val="7BD11C6F"/>
    <w:rsid w:val="7C0410BC"/>
    <w:rsid w:val="7C113E9E"/>
    <w:rsid w:val="7C3E4C06"/>
    <w:rsid w:val="7C492F6E"/>
    <w:rsid w:val="7C657CBD"/>
    <w:rsid w:val="7C6C04D3"/>
    <w:rsid w:val="7D3E33A5"/>
    <w:rsid w:val="7D975BC1"/>
    <w:rsid w:val="7D977F48"/>
    <w:rsid w:val="7DAD159D"/>
    <w:rsid w:val="7DBF6346"/>
    <w:rsid w:val="7DEC7618"/>
    <w:rsid w:val="7E0004E7"/>
    <w:rsid w:val="7E6D53CF"/>
    <w:rsid w:val="7E80479B"/>
    <w:rsid w:val="7E9C4A70"/>
    <w:rsid w:val="7EC07239"/>
    <w:rsid w:val="7F042CA5"/>
    <w:rsid w:val="7F25CB44"/>
    <w:rsid w:val="7F4A021E"/>
    <w:rsid w:val="7FAD6879"/>
    <w:rsid w:val="7FD2890B"/>
    <w:rsid w:val="7FE177E2"/>
    <w:rsid w:val="7FEC44A9"/>
    <w:rsid w:val="F9FFDE85"/>
    <w:rsid w:val="FFFFA3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w:basedOn w:val="3"/>
    <w:next w:val="3"/>
    <w:qFormat/>
    <w:uiPriority w:val="0"/>
    <w:pPr>
      <w:spacing w:after="120"/>
    </w:pPr>
  </w:style>
  <w:style w:type="paragraph" w:styleId="3">
    <w:name w:val="Title"/>
    <w:basedOn w:val="1"/>
    <w:next w:val="1"/>
    <w:qFormat/>
    <w:uiPriority w:val="0"/>
    <w:pPr>
      <w:spacing w:before="240" w:after="60"/>
      <w:jc w:val="center"/>
      <w:outlineLvl w:val="0"/>
    </w:pPr>
    <w:rPr>
      <w:rFonts w:ascii="Arial" w:hAnsi="Arial"/>
      <w:b/>
      <w:bCs/>
      <w:sz w:val="32"/>
      <w:szCs w:val="32"/>
    </w:rPr>
  </w:style>
  <w:style w:type="paragraph" w:styleId="4">
    <w:name w:val="footer"/>
    <w:basedOn w:val="1"/>
    <w:link w:val="10"/>
    <w:qFormat/>
    <w:uiPriority w:val="0"/>
    <w:pPr>
      <w:tabs>
        <w:tab w:val="center" w:pos="4153"/>
        <w:tab w:val="right" w:pos="8306"/>
      </w:tabs>
      <w:snapToGrid w:val="0"/>
      <w:jc w:val="left"/>
    </w:pPr>
    <w:rPr>
      <w:sz w:val="18"/>
      <w:szCs w:val="18"/>
    </w:rPr>
  </w:style>
  <w:style w:type="paragraph" w:styleId="5">
    <w:name w:val="header"/>
    <w:basedOn w:val="1"/>
    <w:link w:val="9"/>
    <w:qFormat/>
    <w:uiPriority w:val="0"/>
    <w:pPr>
      <w:tabs>
        <w:tab w:val="center" w:pos="4153"/>
        <w:tab w:val="right" w:pos="8306"/>
      </w:tabs>
      <w:snapToGrid w:val="0"/>
      <w:jc w:val="center"/>
    </w:pPr>
    <w:rPr>
      <w:sz w:val="18"/>
      <w:szCs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页眉 字符"/>
    <w:basedOn w:val="8"/>
    <w:link w:val="5"/>
    <w:qFormat/>
    <w:uiPriority w:val="0"/>
    <w:rPr>
      <w:rFonts w:ascii="Times New Roman" w:hAnsi="Times New Roman" w:eastAsia="宋体" w:cs="Times New Roman"/>
      <w:kern w:val="2"/>
      <w:sz w:val="18"/>
      <w:szCs w:val="18"/>
    </w:rPr>
  </w:style>
  <w:style w:type="character" w:customStyle="1" w:styleId="10">
    <w:name w:val="页脚 字符"/>
    <w:basedOn w:val="8"/>
    <w:link w:val="4"/>
    <w:qFormat/>
    <w:uiPriority w:val="0"/>
    <w:rPr>
      <w:rFonts w:ascii="Times New Roman" w:hAnsi="Times New Roman" w:eastAsia="宋体" w:cs="Times New Roman"/>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590</Words>
  <Characters>625</Characters>
  <Lines>7</Lines>
  <Paragraphs>2</Paragraphs>
  <TotalTime>0</TotalTime>
  <ScaleCrop>false</ScaleCrop>
  <LinksUpToDate>false</LinksUpToDate>
  <CharactersWithSpaces>694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2022-11-18T09:24:00Z</dcterms:created>
  <dc:creator>hncsg</dc:creator>
  <cp:lastModifiedBy>陶克艳</cp:lastModifiedBy>
  <cp:lastPrinted>2024-04-22T09:18:00Z</cp:lastPrinted>
  <dcterms:modified xsi:type="dcterms:W3CDTF">2024-07-16T07:08:04Z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C02FF0247F1D4A729AF89197D16133CE</vt:lpwstr>
  </property>
</Properties>
</file>