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0" w:firstLineChars="1000"/>
        <w:jc w:val="both"/>
        <w:textAlignment w:val="auto"/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技术规范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以视频为载体，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视频以MG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动画、屏幕录制等形式，直观、形象展现所讲解知识点内容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，最终成品格式为MP4。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微视频应能够同时支持在电脑上单机播放浏览、网络播放浏览及在移动平台上播放浏览。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2.视频比例为16:9，分辨率采用1280*720。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3.视频动态码流最高码率不高于2048Kbps。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4.文字字号不小于24号，页面字体及字幕使用无版权争议字体。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5.配音应使用标准普通话配音，要求语音清晰，无明显杂音，音量适中，采样频率不低于22.05kHz、16bits。解说声与背景音乐无明显比例失调，语速为200-240字/分钟。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6.最终成品建议采用H.264编码，视频格式为MP4，微课大小不超过100M。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7.结构分为三个部分：学习引入、知识讲解和内容小结等。在学习引入之前有微课首页，用于展示微课标题等信息，在内容小结之后有微课尾页，用于表明微课内容结束。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8.时长为4-5分钟。</w:t>
      </w:r>
      <w:r>
        <w:rPr>
          <w:rFonts w:hint="default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 xml:space="preserve">视频画质清晰、图像稳定、声音清楚（无杂音）、声音与画面同步;微教案要围绕所选主题进行设计，要突出重点，注重实效;微课件设计要形象直观、层次分明；简单明了，语言标注，声音洪亮、有节奏感，语言富有感染力。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/>
          <w:b w:val="0"/>
          <w:bCs w:val="0"/>
        </w:rPr>
        <w:t xml:space="preserve"> </w:t>
      </w:r>
      <w:r>
        <w:rPr>
          <w:rFonts w:hint="eastAsia" w:asciiTheme="minorEastAsia" w:hAnsiTheme="minorEastAsia"/>
          <w:b w:val="0"/>
          <w:bCs w:val="0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9.提供近三年内同单位系统同类项目的微课或视频、脚本及交付后的视频微课，附上单位对接人联系方式。（不提供视无效报价）。</w:t>
      </w:r>
    </w:p>
    <w:p>
      <w:pPr>
        <w:pStyle w:val="2"/>
        <w:jc w:val="both"/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0C0369"/>
    <w:rsid w:val="56B200E1"/>
    <w:rsid w:val="6C0C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6">
    <w:name w:val="List Paragraph"/>
    <w:basedOn w:val="1"/>
    <w:qFormat/>
    <w:uiPriority w:val="34"/>
    <w:pPr>
      <w:widowControl/>
      <w:spacing w:line="360" w:lineRule="auto"/>
      <w:ind w:firstLine="420" w:firstLineChars="200"/>
      <w:jc w:val="left"/>
    </w:pPr>
    <w:rPr>
      <w:rFonts w:ascii="Times New Roman" w:hAnsi="Times New Roman" w:eastAsia="仿宋_GB2312" w:cs="Times New Roman"/>
      <w:kern w:val="0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2024-08-05T01:07:00Z</dcterms:created>
  <dc:creator>吴翔</dc:creator>
  <cp:lastModifiedBy>吴翔</cp:lastModifiedBy>
  <dcterms:modified xsi:type="dcterms:W3CDTF">2024-08-05T01:41:53Z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6F3A84C48076425F8EF8E4A13779FD42</vt:lpwstr>
  </property>
</Properties>
</file>