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/>
        <w:spacing w:line="400" w:lineRule="exact"/>
        <w:jc w:val="center"/>
        <w:rPr>
          <w:rFonts w:hint="eastAsia" w:ascii="宋体" w:hAnsi="宋体" w:eastAsia="宋体" w:cs="宋体"/>
          <w:b w:val="0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sz w:val="32"/>
          <w:szCs w:val="32"/>
          <w:highlight w:val="none"/>
          <w:lang w:eastAsia="zh-CN"/>
        </w:rPr>
        <w:t>广东电网有限责任公司培训与评价中心</w:t>
      </w:r>
    </w:p>
    <w:p>
      <w:pPr>
        <w:pStyle w:val="4"/>
        <w:shd w:val="clear"/>
        <w:spacing w:line="400" w:lineRule="exact"/>
        <w:jc w:val="center"/>
        <w:rPr>
          <w:rFonts w:hint="eastAsia" w:ascii="宋体" w:hAnsi="宋体" w:eastAsia="宋体" w:cs="宋体"/>
          <w:b w:val="0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sz w:val="32"/>
          <w:szCs w:val="32"/>
          <w:highlight w:val="none"/>
          <w:lang w:eastAsia="zh-CN"/>
        </w:rPr>
        <w:t>企业补充医疗基金委托具体要求</w:t>
      </w:r>
    </w:p>
    <w:p>
      <w:pPr>
        <w:pStyle w:val="2"/>
        <w:numPr>
          <w:ilvl w:val="0"/>
          <w:numId w:val="1"/>
        </w:numPr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  <w:t>受托方提供线上、线下的门诊及住院医疗费用报销渠道，对员工医疗费用的合法合规合理性进行审核、报销划账、单证管理等服务，并提供员工的医疗费用报销清单报表、管理年报及员工全年报销情况表等报表。</w:t>
      </w:r>
    </w:p>
    <w:p>
      <w:pPr>
        <w:pStyle w:val="3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  <w:t>2.受托方制定线上、线下报销的流程和管理办法，并配合委托方宣贯。</w:t>
      </w:r>
    </w:p>
    <w:p>
      <w:pPr>
        <w:pStyle w:val="3"/>
        <w:widowControl w:val="0"/>
        <w:numPr>
          <w:ilvl w:val="0"/>
          <w:numId w:val="0"/>
        </w:numPr>
        <w:ind w:leftChars="0"/>
        <w:jc w:val="both"/>
        <w:outlineLvl w:val="0"/>
        <w:rPr>
          <w:rFonts w:hint="eastAsia" w:ascii="仿宋" w:hAnsi="仿宋" w:eastAsia="仿宋" w:cs="仿宋"/>
          <w:b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kern w:val="2"/>
          <w:sz w:val="28"/>
          <w:szCs w:val="28"/>
          <w:highlight w:val="none"/>
          <w:lang w:val="en-US" w:eastAsia="zh-CN" w:bidi="ar-SA"/>
        </w:rPr>
        <w:t>3.按照求做好收单工作，服务团队定期到指定地点进行收单，同时做好资料的清点和核对。</w:t>
      </w:r>
    </w:p>
    <w:p>
      <w:pPr>
        <w:autoSpaceDE w:val="0"/>
        <w:autoSpaceDN w:val="0"/>
        <w:adjustRightInd w:val="0"/>
        <w:jc w:val="left"/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  <w:t>4.受托人在获取被保障成员的票据后，需在10个工作日完成审核、划账，将报销费用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转帐至申请人个人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银行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帐户。</w:t>
      </w:r>
    </w:p>
    <w:p>
      <w:pPr>
        <w:autoSpaceDE w:val="0"/>
        <w:autoSpaceDN w:val="0"/>
        <w:adjustRightInd w:val="0"/>
        <w:jc w:val="left"/>
        <w:rPr>
          <w:rFonts w:hint="eastAsia" w:ascii="仿宋" w:hAnsi="仿宋" w:eastAsia="仿宋" w:cs="仿宋"/>
          <w:b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kern w:val="2"/>
          <w:sz w:val="28"/>
          <w:szCs w:val="28"/>
          <w:highlight w:val="none"/>
          <w:lang w:val="en-US" w:eastAsia="zh-CN" w:bidi="ar-SA"/>
        </w:rPr>
        <w:t>5.提供查询服务</w:t>
      </w:r>
      <w:bookmarkStart w:id="0" w:name="_GoBack"/>
      <w:bookmarkEnd w:id="0"/>
      <w:r>
        <w:rPr>
          <w:rFonts w:hint="eastAsia" w:ascii="仿宋" w:hAnsi="仿宋" w:eastAsia="仿宋" w:cs="仿宋"/>
          <w:b w:val="0"/>
          <w:kern w:val="2"/>
          <w:sz w:val="28"/>
          <w:szCs w:val="28"/>
          <w:highlight w:val="none"/>
          <w:lang w:val="en-US" w:eastAsia="zh-CN" w:bidi="ar-SA"/>
        </w:rPr>
        <w:t>，委托人可通过网络端口、电话、手机APP等方式，随时查询委托医保基金账户情况，申请人可通过网络端口、电话、手机APP等方式，随时查询本人报销情况；委托人经办人可随时查询员工报销情况。如对报销情况有疑问，受托人须有专人进行复核并解答，并及时给予答复。</w:t>
      </w:r>
    </w:p>
    <w:p>
      <w:pPr>
        <w:pStyle w:val="3"/>
        <w:jc w:val="both"/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746" w:bottom="1440" w:left="1803" w:header="283" w:footer="1247" w:gutter="0"/>
          <w:cols w:space="0" w:num="1"/>
          <w:docGrid w:type="lines" w:linePitch="319" w:charSpace="0"/>
        </w:sect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  <w:lang w:val="en-US" w:eastAsia="zh-CN"/>
        </w:rPr>
        <w:t>6.按约定为委托人专门单独设立账户，做好医保基金的单独建账管理，专款专用，不得挤占挪用。</w:t>
      </w:r>
    </w:p>
    <w:p>
      <w:pPr>
        <w:shd w:val="clear"/>
        <w:rPr>
          <w:highlight w:val="none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19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1"/>
      </w:pBdr>
    </w:pPr>
  </w:p>
  <w:p>
    <w:pPr>
      <w:pStyle w:val="7"/>
      <w:pBdr>
        <w:bottom w:val="none" w:color="auto" w:sz="0" w:space="1"/>
      </w:pBdr>
    </w:pPr>
  </w:p>
  <w:p>
    <w:pPr>
      <w:pStyle w:val="7"/>
      <w:pBdr>
        <w:bottom w:val="none" w:color="auto" w:sz="0" w:space="1"/>
      </w:pBdr>
    </w:pPr>
  </w:p>
  <w:p>
    <w:pPr>
      <w:pStyle w:val="7"/>
      <w:pBdr>
        <w:bottom w:val="none" w:color="auto" w:sz="0" w:space="1"/>
      </w:pBdr>
    </w:pPr>
  </w:p>
  <w:p>
    <w:pPr>
      <w:pStyle w:val="7"/>
      <w:pBdr>
        <w:bottom w:val="none" w:color="auto" w:sz="0" w:space="1"/>
      </w:pBdr>
      <w:jc w:val="center"/>
      <w:rPr>
        <w:rFonts w:hint="eastAsia" w:eastAsia="宋体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583600"/>
    <w:multiLevelType w:val="singleLevel"/>
    <w:tmpl w:val="AE58360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61C57"/>
    <w:rsid w:val="08AB3B59"/>
    <w:rsid w:val="0BD51688"/>
    <w:rsid w:val="1A483898"/>
    <w:rsid w:val="1F811779"/>
    <w:rsid w:val="227E104E"/>
    <w:rsid w:val="37966084"/>
    <w:rsid w:val="3A591F44"/>
    <w:rsid w:val="41603260"/>
    <w:rsid w:val="470B38B4"/>
    <w:rsid w:val="495156AB"/>
    <w:rsid w:val="4EDA2F0D"/>
    <w:rsid w:val="4EFC43D6"/>
    <w:rsid w:val="6E3D19B5"/>
    <w:rsid w:val="754F49EE"/>
    <w:rsid w:val="7C0671FD"/>
    <w:rsid w:val="7E7D20FC"/>
    <w:rsid w:val="7F9F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spacing w:before="340" w:after="330" w:line="578" w:lineRule="auto"/>
      <w:jc w:val="left"/>
      <w:outlineLvl w:val="0"/>
    </w:pPr>
    <w:rPr>
      <w:b/>
      <w:bCs/>
      <w:kern w:val="44"/>
      <w:sz w:val="44"/>
      <w:szCs w:val="44"/>
      <w:lang w:eastAsia="en-US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  <w:jc w:val="both"/>
    </w:pPr>
    <w:rPr>
      <w:sz w:val="21"/>
    </w:rPr>
  </w:style>
  <w:style w:type="paragraph" w:styleId="3">
    <w:name w:val="Title"/>
    <w:basedOn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shichen</dc:creator>
  <cp:lastModifiedBy>吴林凤</cp:lastModifiedBy>
  <cp:lastPrinted>2024-08-02T08:47:00Z</cp:lastPrinted>
  <dcterms:modified xsi:type="dcterms:W3CDTF">2024-08-05T08:53:19Z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EDEAE7940AFA4C9AA895AE11D6AB970B</vt:lpwstr>
  </property>
</Properties>
</file>