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ind w:firstLine="600" w:firstLineChars="200"/>
        <w:jc w:val="center"/>
        <w:textAlignment w:val="auto"/>
        <w:rPr>
          <w:rFonts w:hint="eastAsia" w:ascii="宋体" w:hAnsi="宋体" w:eastAsia="宋体" w:cs="宋体"/>
          <w:b/>
          <w:bCs/>
          <w:sz w:val="30"/>
          <w:szCs w:val="30"/>
          <w:highlight w:val="none"/>
        </w:rPr>
      </w:pPr>
      <w:bookmarkStart w:id="52" w:name="_GoBack"/>
      <w:r>
        <w:rPr>
          <w:rFonts w:hint="eastAsia" w:ascii="仿宋_GB2312" w:hAnsi="华文细黑" w:eastAsia="仿宋_GB2312"/>
          <w:sz w:val="30"/>
          <w:szCs w:val="30"/>
          <w:highlight w:val="none"/>
        </w:rPr>
        <w:drawing>
          <wp:anchor distT="0" distB="0" distL="114300" distR="114300" simplePos="0" relativeHeight="251659264" behindDoc="1" locked="0" layoutInCell="1" allowOverlap="1">
            <wp:simplePos x="0" y="0"/>
            <wp:positionH relativeFrom="column">
              <wp:posOffset>-1232535</wp:posOffset>
            </wp:positionH>
            <wp:positionV relativeFrom="paragraph">
              <wp:posOffset>-960120</wp:posOffset>
            </wp:positionV>
            <wp:extent cx="7773670" cy="10884535"/>
            <wp:effectExtent l="0" t="0" r="11430" b="12065"/>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7"/>
                    <a:stretch>
                      <a:fillRect/>
                    </a:stretch>
                  </pic:blipFill>
                  <pic:spPr>
                    <a:xfrm>
                      <a:off x="0" y="0"/>
                      <a:ext cx="7773670" cy="10884535"/>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ind w:firstLine="602" w:firstLineChars="200"/>
        <w:jc w:val="center"/>
        <w:textAlignment w:val="auto"/>
        <w:rPr>
          <w:rFonts w:hint="eastAsia" w:ascii="宋体" w:hAnsi="宋体" w:eastAsia="宋体" w:cs="宋体"/>
          <w:b/>
          <w:bCs/>
          <w:sz w:val="30"/>
          <w:szCs w:val="30"/>
          <w:highlight w:val="none"/>
        </w:rPr>
      </w:pPr>
    </w:p>
    <w:p>
      <w:pPr>
        <w:keepNext w:val="0"/>
        <w:keepLines w:val="0"/>
        <w:pageBreakBefore w:val="0"/>
        <w:widowControl w:val="0"/>
        <w:kinsoku/>
        <w:wordWrap/>
        <w:overflowPunct/>
        <w:topLinePunct w:val="0"/>
        <w:autoSpaceDE/>
        <w:autoSpaceDN/>
        <w:bidi w:val="0"/>
        <w:adjustRightInd/>
        <w:snapToGrid/>
        <w:ind w:firstLine="602" w:firstLineChars="200"/>
        <w:jc w:val="center"/>
        <w:textAlignment w:val="auto"/>
        <w:rPr>
          <w:rFonts w:hint="eastAsia" w:ascii="宋体" w:hAnsi="宋体" w:eastAsia="宋体" w:cs="宋体"/>
          <w:b/>
          <w:bCs/>
          <w:sz w:val="30"/>
          <w:szCs w:val="30"/>
          <w:highlight w:val="none"/>
        </w:rPr>
      </w:pPr>
    </w:p>
    <w:p>
      <w:pPr>
        <w:keepNext w:val="0"/>
        <w:keepLines w:val="0"/>
        <w:pageBreakBefore w:val="0"/>
        <w:widowControl w:val="0"/>
        <w:kinsoku/>
        <w:wordWrap/>
        <w:overflowPunct/>
        <w:topLinePunct w:val="0"/>
        <w:autoSpaceDE/>
        <w:autoSpaceDN/>
        <w:bidi w:val="0"/>
        <w:adjustRightInd/>
        <w:snapToGrid/>
        <w:ind w:firstLine="602" w:firstLineChars="200"/>
        <w:jc w:val="center"/>
        <w:textAlignment w:val="auto"/>
        <w:rPr>
          <w:rFonts w:hint="eastAsia" w:ascii="宋体" w:hAnsi="宋体" w:eastAsia="宋体" w:cs="宋体"/>
          <w:b/>
          <w:bCs/>
          <w:sz w:val="30"/>
          <w:szCs w:val="30"/>
          <w:highlight w:val="none"/>
        </w:rPr>
      </w:pPr>
    </w:p>
    <w:p>
      <w:pPr>
        <w:keepNext w:val="0"/>
        <w:keepLines w:val="0"/>
        <w:pageBreakBefore w:val="0"/>
        <w:widowControl w:val="0"/>
        <w:kinsoku/>
        <w:wordWrap/>
        <w:overflowPunct/>
        <w:topLinePunct w:val="0"/>
        <w:autoSpaceDE/>
        <w:autoSpaceDN/>
        <w:bidi w:val="0"/>
        <w:adjustRightInd/>
        <w:snapToGrid/>
        <w:ind w:firstLine="602" w:firstLineChars="200"/>
        <w:jc w:val="center"/>
        <w:textAlignment w:val="auto"/>
        <w:rPr>
          <w:rFonts w:hint="eastAsia" w:ascii="宋体" w:hAnsi="宋体" w:eastAsia="宋体" w:cs="宋体"/>
          <w:b/>
          <w:bCs/>
          <w:sz w:val="30"/>
          <w:szCs w:val="30"/>
          <w:highlight w:val="none"/>
        </w:rPr>
      </w:pPr>
    </w:p>
    <w:p>
      <w:pPr>
        <w:keepNext w:val="0"/>
        <w:keepLines w:val="0"/>
        <w:pageBreakBefore w:val="0"/>
        <w:widowControl w:val="0"/>
        <w:kinsoku/>
        <w:wordWrap/>
        <w:overflowPunct/>
        <w:topLinePunct w:val="0"/>
        <w:autoSpaceDE/>
        <w:autoSpaceDN/>
        <w:bidi w:val="0"/>
        <w:adjustRightInd/>
        <w:snapToGrid/>
        <w:ind w:firstLine="602" w:firstLineChars="200"/>
        <w:jc w:val="center"/>
        <w:textAlignment w:val="auto"/>
        <w:rPr>
          <w:rFonts w:hint="eastAsia" w:ascii="宋体" w:hAnsi="宋体" w:eastAsia="宋体" w:cs="宋体"/>
          <w:b/>
          <w:bCs/>
          <w:sz w:val="30"/>
          <w:szCs w:val="30"/>
          <w:highlight w:val="none"/>
        </w:rPr>
      </w:pPr>
    </w:p>
    <w:p>
      <w:pPr>
        <w:keepNext w:val="0"/>
        <w:keepLines w:val="0"/>
        <w:pageBreakBefore w:val="0"/>
        <w:widowControl w:val="0"/>
        <w:kinsoku/>
        <w:wordWrap/>
        <w:overflowPunct/>
        <w:topLinePunct w:val="0"/>
        <w:autoSpaceDE/>
        <w:autoSpaceDN/>
        <w:bidi w:val="0"/>
        <w:adjustRightInd/>
        <w:snapToGrid/>
        <w:ind w:firstLine="600" w:firstLineChars="200"/>
        <w:jc w:val="center"/>
        <w:textAlignment w:val="auto"/>
        <w:rPr>
          <w:rFonts w:hint="eastAsia" w:ascii="宋体" w:hAnsi="宋体" w:eastAsia="宋体" w:cs="宋体"/>
          <w:b/>
          <w:bCs/>
          <w:sz w:val="30"/>
          <w:szCs w:val="30"/>
          <w:highlight w:val="none"/>
        </w:rPr>
      </w:pPr>
      <w:r>
        <w:rPr>
          <w:sz w:val="30"/>
          <w:highlight w:val="none"/>
        </w:rPr>
        <mc:AlternateContent>
          <mc:Choice Requires="wps">
            <w:drawing>
              <wp:anchor distT="0" distB="0" distL="114300" distR="114300" simplePos="0" relativeHeight="251660288" behindDoc="0" locked="0" layoutInCell="1" allowOverlap="1">
                <wp:simplePos x="0" y="0"/>
                <wp:positionH relativeFrom="column">
                  <wp:posOffset>-940435</wp:posOffset>
                </wp:positionH>
                <wp:positionV relativeFrom="paragraph">
                  <wp:posOffset>207645</wp:posOffset>
                </wp:positionV>
                <wp:extent cx="6830060" cy="584835"/>
                <wp:effectExtent l="4445" t="4445" r="10795" b="7620"/>
                <wp:wrapNone/>
                <wp:docPr id="2" name="文本框 2"/>
                <wp:cNvGraphicFramePr/>
                <a:graphic xmlns:a="http://schemas.openxmlformats.org/drawingml/2006/main">
                  <a:graphicData uri="http://schemas.microsoft.com/office/word/2010/wordprocessingShape">
                    <wps:wsp>
                      <wps:cNvSpPr txBox="1"/>
                      <wps:spPr>
                        <a:xfrm>
                          <a:off x="500380" y="3357880"/>
                          <a:ext cx="6830060" cy="584835"/>
                        </a:xfrm>
                        <a:prstGeom prst="rect">
                          <a:avLst/>
                        </a:prstGeom>
                        <a:solidFill>
                          <a:schemeClr val="bg1"/>
                        </a:solidFill>
                        <a:ln w="3175">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ascii="黑体" w:hAnsi="黑体" w:eastAsia="黑体" w:cs="黑体"/>
                                <w:sz w:val="48"/>
                                <w:szCs w:val="48"/>
                                <w:lang w:val="en-US" w:eastAsia="zh-CN"/>
                              </w:rPr>
                            </w:pPr>
                            <w:r>
                              <w:rPr>
                                <w:rFonts w:hint="eastAsia" w:ascii="黑体" w:hAnsi="黑体" w:eastAsia="黑体" w:cs="黑体"/>
                                <w:b w:val="0"/>
                                <w:bCs w:val="0"/>
                                <w:sz w:val="48"/>
                                <w:szCs w:val="48"/>
                                <w:lang w:val="en-US" w:eastAsia="zh-CN"/>
                              </w:rPr>
                              <w:t>云南电网公司保山供电局2024年应急发电机检测</w:t>
                            </w:r>
                          </w:p>
                          <w:p>
                            <w:pPr>
                              <w:bidi w:val="0"/>
                              <w:jc w:val="center"/>
                              <w:rPr>
                                <w:rFonts w:hint="eastAsia" w:ascii="黑体" w:hAnsi="黑体" w:eastAsia="黑体" w:cs="黑体"/>
                                <w:sz w:val="72"/>
                                <w:szCs w:val="7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4.05pt;margin-top:16.35pt;height:46.05pt;width:537.8pt;z-index:251660288;mso-width-relative:page;mso-height-relative:page;" fillcolor="#FFFFFF [3212]" filled="t" stroked="t" coordsize="21600,21600" o:gfxdata="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DIMRCn&#10;1wAAAAsBAAAPAAAAAAAAAAEAIAAAACIAAABkcnMvZG93bnJldi54bWxQSwECFAAUAAAACACHTuJA&#10;CNej11sCAADDBAAADgAAAAAAAAABACAAAAAmAQAAZHJzL2Uyb0RvYy54bWxQSwUGAAAAAAYABgBZ&#10;AQAA8wUAAAAA&#10;">
                <v:fill on="t" focussize="0,0"/>
                <v:stroke weight="0.25pt" color="#FFFFFF [3212]"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ascii="黑体" w:hAnsi="黑体" w:eastAsia="黑体" w:cs="黑体"/>
                          <w:sz w:val="48"/>
                          <w:szCs w:val="48"/>
                          <w:lang w:val="en-US" w:eastAsia="zh-CN"/>
                        </w:rPr>
                      </w:pPr>
                      <w:r>
                        <w:rPr>
                          <w:rFonts w:hint="eastAsia" w:ascii="黑体" w:hAnsi="黑体" w:eastAsia="黑体" w:cs="黑体"/>
                          <w:b w:val="0"/>
                          <w:bCs w:val="0"/>
                          <w:sz w:val="48"/>
                          <w:szCs w:val="48"/>
                          <w:lang w:val="en-US" w:eastAsia="zh-CN"/>
                        </w:rPr>
                        <w:t>云南电网公司保山供电局2024年应急发电机检测</w:t>
                      </w:r>
                    </w:p>
                    <w:p>
                      <w:pPr>
                        <w:bidi w:val="0"/>
                        <w:jc w:val="center"/>
                        <w:rPr>
                          <w:rFonts w:hint="eastAsia" w:ascii="黑体" w:hAnsi="黑体" w:eastAsia="黑体" w:cs="黑体"/>
                          <w:sz w:val="72"/>
                          <w:szCs w:val="72"/>
                        </w:rPr>
                      </w:pPr>
                    </w:p>
                  </w:txbxContent>
                </v:textbox>
              </v:shape>
            </w:pict>
          </mc:Fallback>
        </mc:AlternateContent>
      </w:r>
    </w:p>
    <w:p>
      <w:pPr>
        <w:keepNext w:val="0"/>
        <w:keepLines w:val="0"/>
        <w:pageBreakBefore w:val="0"/>
        <w:widowControl w:val="0"/>
        <w:kinsoku/>
        <w:wordWrap/>
        <w:overflowPunct/>
        <w:topLinePunct w:val="0"/>
        <w:autoSpaceDE/>
        <w:autoSpaceDN/>
        <w:bidi w:val="0"/>
        <w:adjustRightInd/>
        <w:snapToGrid/>
        <w:ind w:firstLine="602" w:firstLineChars="200"/>
        <w:jc w:val="center"/>
        <w:textAlignment w:val="auto"/>
        <w:rPr>
          <w:rFonts w:hint="eastAsia" w:ascii="宋体" w:hAnsi="宋体" w:eastAsia="宋体" w:cs="宋体"/>
          <w:b/>
          <w:bCs/>
          <w:sz w:val="30"/>
          <w:szCs w:val="30"/>
          <w:highlight w:val="none"/>
        </w:rPr>
      </w:pPr>
    </w:p>
    <w:p>
      <w:pPr>
        <w:keepNext w:val="0"/>
        <w:keepLines w:val="0"/>
        <w:pageBreakBefore w:val="0"/>
        <w:widowControl w:val="0"/>
        <w:kinsoku/>
        <w:wordWrap/>
        <w:overflowPunct/>
        <w:topLinePunct w:val="0"/>
        <w:autoSpaceDE/>
        <w:autoSpaceDN/>
        <w:bidi w:val="0"/>
        <w:adjustRightInd/>
        <w:snapToGrid/>
        <w:ind w:firstLine="600" w:firstLineChars="200"/>
        <w:jc w:val="center"/>
        <w:textAlignment w:val="auto"/>
        <w:rPr>
          <w:rFonts w:hint="eastAsia" w:ascii="宋体" w:hAnsi="宋体" w:eastAsia="宋体" w:cs="宋体"/>
          <w:b/>
          <w:bCs/>
          <w:sz w:val="30"/>
          <w:szCs w:val="30"/>
          <w:highlight w:val="none"/>
        </w:rPr>
      </w:pPr>
      <w:r>
        <w:rPr>
          <w:sz w:val="30"/>
          <w:highlight w:val="none"/>
        </w:rPr>
        <mc:AlternateContent>
          <mc:Choice Requires="wps">
            <w:drawing>
              <wp:anchor distT="0" distB="0" distL="114300" distR="114300" simplePos="0" relativeHeight="251661312" behindDoc="0" locked="0" layoutInCell="1" allowOverlap="1">
                <wp:simplePos x="0" y="0"/>
                <wp:positionH relativeFrom="column">
                  <wp:posOffset>2459990</wp:posOffset>
                </wp:positionH>
                <wp:positionV relativeFrom="paragraph">
                  <wp:posOffset>198755</wp:posOffset>
                </wp:positionV>
                <wp:extent cx="2898140" cy="612140"/>
                <wp:effectExtent l="4445" t="4445" r="12065" b="12065"/>
                <wp:wrapNone/>
                <wp:docPr id="3" name="文本框 3"/>
                <wp:cNvGraphicFramePr/>
                <a:graphic xmlns:a="http://schemas.openxmlformats.org/drawingml/2006/main">
                  <a:graphicData uri="http://schemas.microsoft.com/office/word/2010/wordprocessingShape">
                    <wps:wsp>
                      <wps:cNvSpPr txBox="1"/>
                      <wps:spPr>
                        <a:xfrm>
                          <a:off x="3602990" y="4283075"/>
                          <a:ext cx="2898140" cy="612140"/>
                        </a:xfrm>
                        <a:prstGeom prst="rect">
                          <a:avLst/>
                        </a:prstGeom>
                        <a:solidFill>
                          <a:schemeClr val="lt1"/>
                        </a:solidFill>
                        <a:ln w="3175">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黑体" w:hAnsi="黑体" w:eastAsia="黑体" w:cs="黑体"/>
                                <w:sz w:val="52"/>
                                <w:szCs w:val="52"/>
                                <w:lang w:val="en-US" w:eastAsia="zh-CN"/>
                              </w:rPr>
                            </w:pPr>
                            <w:r>
                              <w:rPr>
                                <w:rFonts w:hint="eastAsia" w:ascii="黑体" w:hAnsi="黑体" w:eastAsia="黑体" w:cs="黑体"/>
                                <w:sz w:val="52"/>
                                <w:szCs w:val="52"/>
                                <w:lang w:val="en-US" w:eastAsia="zh-CN"/>
                              </w:rPr>
                              <w:t xml:space="preserve">     </w:t>
                            </w:r>
                            <w:r>
                              <w:rPr>
                                <w:rFonts w:hint="eastAsia" w:ascii="黑体" w:hAnsi="黑体" w:eastAsia="黑体" w:cs="黑体"/>
                                <w:b/>
                                <w:bCs/>
                                <w:sz w:val="52"/>
                                <w:szCs w:val="52"/>
                                <w:lang w:val="en-US" w:eastAsia="zh-CN"/>
                              </w:rPr>
                              <w:t xml:space="preserve"> 技术规范书</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3.7pt;margin-top:15.65pt;height:48.2pt;width:228.2pt;z-index:251661312;mso-width-relative:page;mso-height-relative:page;" fillcolor="#FFFFFF [3201]" filled="t" stroked="t" coordsize="21600,21600" o:gfxdata="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MGuXjtUAAAAK&#10;AQAADwAAAAAAAAABACAAAAAiAAAAZHJzL2Rvd25yZXYueG1sUEsBAhQAFAAAAAgAh07iQCIvvtxY&#10;AgAAxAQAAA4AAAAAAAAAAQAgAAAAJAEAAGRycy9lMm9Eb2MueG1sUEsFBgAAAAAGAAYAWQEAAO4F&#10;AAAAAA==&#10;">
                <v:fill on="t" focussize="0,0"/>
                <v:stroke weight="0.25pt" color="#FFFFFF [3212]" joinstyle="round"/>
                <v:imagedata o:title=""/>
                <o:lock v:ext="edit" aspectratio="f"/>
                <v:textbox>
                  <w:txbxContent>
                    <w:p>
                      <w:pPr>
                        <w:jc w:val="center"/>
                        <w:rPr>
                          <w:rFonts w:hint="default" w:ascii="黑体" w:hAnsi="黑体" w:eastAsia="黑体" w:cs="黑体"/>
                          <w:sz w:val="52"/>
                          <w:szCs w:val="52"/>
                          <w:lang w:val="en-US" w:eastAsia="zh-CN"/>
                        </w:rPr>
                      </w:pPr>
                      <w:r>
                        <w:rPr>
                          <w:rFonts w:hint="eastAsia" w:ascii="黑体" w:hAnsi="黑体" w:eastAsia="黑体" w:cs="黑体"/>
                          <w:sz w:val="52"/>
                          <w:szCs w:val="52"/>
                          <w:lang w:val="en-US" w:eastAsia="zh-CN"/>
                        </w:rPr>
                        <w:t xml:space="preserve">     </w:t>
                      </w:r>
                      <w:r>
                        <w:rPr>
                          <w:rFonts w:hint="eastAsia" w:ascii="黑体" w:hAnsi="黑体" w:eastAsia="黑体" w:cs="黑体"/>
                          <w:b/>
                          <w:bCs/>
                          <w:sz w:val="52"/>
                          <w:szCs w:val="52"/>
                          <w:lang w:val="en-US" w:eastAsia="zh-CN"/>
                        </w:rPr>
                        <w:t xml:space="preserve"> 技术规范书</w:t>
                      </w:r>
                    </w:p>
                  </w:txbxContent>
                </v:textbox>
              </v:shape>
            </w:pict>
          </mc:Fallback>
        </mc:AlternateContent>
      </w:r>
    </w:p>
    <w:p>
      <w:pPr>
        <w:keepNext w:val="0"/>
        <w:keepLines w:val="0"/>
        <w:pageBreakBefore w:val="0"/>
        <w:widowControl w:val="0"/>
        <w:kinsoku/>
        <w:wordWrap/>
        <w:overflowPunct/>
        <w:topLinePunct w:val="0"/>
        <w:autoSpaceDE/>
        <w:autoSpaceDN/>
        <w:bidi w:val="0"/>
        <w:adjustRightInd/>
        <w:snapToGrid/>
        <w:ind w:firstLine="602" w:firstLineChars="200"/>
        <w:jc w:val="center"/>
        <w:textAlignment w:val="auto"/>
        <w:rPr>
          <w:rFonts w:hint="eastAsia" w:ascii="宋体" w:hAnsi="宋体" w:eastAsia="宋体" w:cs="宋体"/>
          <w:b/>
          <w:bCs/>
          <w:sz w:val="30"/>
          <w:szCs w:val="30"/>
          <w:highlight w:val="none"/>
        </w:rPr>
      </w:pPr>
    </w:p>
    <w:p>
      <w:pPr>
        <w:keepNext w:val="0"/>
        <w:keepLines w:val="0"/>
        <w:pageBreakBefore w:val="0"/>
        <w:widowControl w:val="0"/>
        <w:kinsoku/>
        <w:wordWrap/>
        <w:overflowPunct/>
        <w:topLinePunct w:val="0"/>
        <w:autoSpaceDE/>
        <w:autoSpaceDN/>
        <w:bidi w:val="0"/>
        <w:adjustRightInd/>
        <w:snapToGrid/>
        <w:ind w:firstLine="602" w:firstLineChars="200"/>
        <w:jc w:val="center"/>
        <w:textAlignment w:val="auto"/>
        <w:rPr>
          <w:rFonts w:hint="eastAsia" w:ascii="宋体" w:hAnsi="宋体" w:eastAsia="宋体" w:cs="宋体"/>
          <w:b/>
          <w:bCs/>
          <w:sz w:val="30"/>
          <w:szCs w:val="30"/>
          <w:highlight w:val="none"/>
        </w:rPr>
      </w:pPr>
    </w:p>
    <w:p>
      <w:pPr>
        <w:keepNext w:val="0"/>
        <w:keepLines w:val="0"/>
        <w:pageBreakBefore w:val="0"/>
        <w:widowControl w:val="0"/>
        <w:kinsoku/>
        <w:wordWrap/>
        <w:overflowPunct/>
        <w:topLinePunct w:val="0"/>
        <w:autoSpaceDE/>
        <w:autoSpaceDN/>
        <w:bidi w:val="0"/>
        <w:adjustRightInd/>
        <w:snapToGrid/>
        <w:ind w:firstLine="602" w:firstLineChars="200"/>
        <w:jc w:val="center"/>
        <w:textAlignment w:val="auto"/>
        <w:rPr>
          <w:rFonts w:hint="eastAsia" w:ascii="宋体" w:hAnsi="宋体" w:eastAsia="宋体" w:cs="宋体"/>
          <w:b/>
          <w:bCs/>
          <w:sz w:val="30"/>
          <w:szCs w:val="30"/>
          <w:highlight w:val="none"/>
        </w:rPr>
      </w:pPr>
    </w:p>
    <w:p>
      <w:pPr>
        <w:keepNext w:val="0"/>
        <w:keepLines w:val="0"/>
        <w:pageBreakBefore w:val="0"/>
        <w:widowControl w:val="0"/>
        <w:kinsoku/>
        <w:wordWrap/>
        <w:overflowPunct/>
        <w:topLinePunct w:val="0"/>
        <w:autoSpaceDE/>
        <w:autoSpaceDN/>
        <w:bidi w:val="0"/>
        <w:adjustRightInd/>
        <w:snapToGrid/>
        <w:ind w:firstLine="602" w:firstLineChars="200"/>
        <w:jc w:val="center"/>
        <w:textAlignment w:val="auto"/>
        <w:rPr>
          <w:rFonts w:hint="eastAsia" w:ascii="宋体" w:hAnsi="宋体" w:eastAsia="宋体" w:cs="宋体"/>
          <w:b/>
          <w:bCs/>
          <w:sz w:val="30"/>
          <w:szCs w:val="30"/>
          <w:highlight w:val="none"/>
        </w:rPr>
      </w:pPr>
    </w:p>
    <w:p>
      <w:pPr>
        <w:keepNext w:val="0"/>
        <w:keepLines w:val="0"/>
        <w:pageBreakBefore w:val="0"/>
        <w:widowControl w:val="0"/>
        <w:kinsoku/>
        <w:wordWrap/>
        <w:overflowPunct/>
        <w:topLinePunct w:val="0"/>
        <w:autoSpaceDE/>
        <w:autoSpaceDN/>
        <w:bidi w:val="0"/>
        <w:adjustRightInd/>
        <w:snapToGrid/>
        <w:ind w:firstLine="602" w:firstLineChars="200"/>
        <w:jc w:val="center"/>
        <w:textAlignment w:val="auto"/>
        <w:rPr>
          <w:rFonts w:hint="eastAsia" w:ascii="宋体" w:hAnsi="宋体" w:eastAsia="宋体" w:cs="宋体"/>
          <w:b/>
          <w:bCs/>
          <w:sz w:val="30"/>
          <w:szCs w:val="30"/>
          <w:highlight w:val="none"/>
        </w:rPr>
      </w:pPr>
    </w:p>
    <w:p>
      <w:pPr>
        <w:keepNext w:val="0"/>
        <w:keepLines w:val="0"/>
        <w:pageBreakBefore w:val="0"/>
        <w:widowControl w:val="0"/>
        <w:kinsoku/>
        <w:wordWrap/>
        <w:overflowPunct/>
        <w:topLinePunct w:val="0"/>
        <w:autoSpaceDE/>
        <w:autoSpaceDN/>
        <w:bidi w:val="0"/>
        <w:adjustRightInd/>
        <w:snapToGrid/>
        <w:ind w:firstLine="602" w:firstLineChars="200"/>
        <w:jc w:val="center"/>
        <w:textAlignment w:val="auto"/>
        <w:rPr>
          <w:rFonts w:hint="eastAsia" w:ascii="宋体" w:hAnsi="宋体" w:eastAsia="宋体" w:cs="宋体"/>
          <w:b/>
          <w:bCs/>
          <w:sz w:val="30"/>
          <w:szCs w:val="30"/>
          <w:highlight w:val="none"/>
        </w:rPr>
      </w:pPr>
    </w:p>
    <w:p>
      <w:pPr>
        <w:keepNext w:val="0"/>
        <w:keepLines w:val="0"/>
        <w:pageBreakBefore w:val="0"/>
        <w:widowControl w:val="0"/>
        <w:kinsoku/>
        <w:wordWrap/>
        <w:overflowPunct/>
        <w:topLinePunct w:val="0"/>
        <w:autoSpaceDE/>
        <w:autoSpaceDN/>
        <w:bidi w:val="0"/>
        <w:adjustRightInd/>
        <w:snapToGrid/>
        <w:ind w:firstLine="602" w:firstLineChars="200"/>
        <w:jc w:val="center"/>
        <w:textAlignment w:val="auto"/>
        <w:rPr>
          <w:rFonts w:hint="eastAsia" w:ascii="宋体" w:hAnsi="宋体" w:eastAsia="宋体" w:cs="宋体"/>
          <w:b/>
          <w:bCs/>
          <w:sz w:val="30"/>
          <w:szCs w:val="30"/>
          <w:highlight w:val="none"/>
        </w:rPr>
      </w:pPr>
    </w:p>
    <w:p>
      <w:pPr>
        <w:keepNext w:val="0"/>
        <w:keepLines w:val="0"/>
        <w:pageBreakBefore w:val="0"/>
        <w:widowControl w:val="0"/>
        <w:kinsoku/>
        <w:wordWrap/>
        <w:overflowPunct/>
        <w:topLinePunct w:val="0"/>
        <w:autoSpaceDE/>
        <w:autoSpaceDN/>
        <w:bidi w:val="0"/>
        <w:adjustRightInd/>
        <w:snapToGrid/>
        <w:ind w:firstLine="602" w:firstLineChars="200"/>
        <w:jc w:val="center"/>
        <w:textAlignment w:val="auto"/>
        <w:rPr>
          <w:rFonts w:hint="eastAsia" w:ascii="宋体" w:hAnsi="宋体" w:eastAsia="宋体" w:cs="宋体"/>
          <w:b/>
          <w:bCs/>
          <w:sz w:val="30"/>
          <w:szCs w:val="30"/>
          <w:highlight w:val="none"/>
        </w:rPr>
      </w:pPr>
    </w:p>
    <w:p>
      <w:pPr>
        <w:keepNext w:val="0"/>
        <w:keepLines w:val="0"/>
        <w:pageBreakBefore w:val="0"/>
        <w:widowControl w:val="0"/>
        <w:kinsoku/>
        <w:wordWrap/>
        <w:overflowPunct/>
        <w:topLinePunct w:val="0"/>
        <w:autoSpaceDE/>
        <w:autoSpaceDN/>
        <w:bidi w:val="0"/>
        <w:adjustRightInd/>
        <w:snapToGrid/>
        <w:ind w:firstLine="602" w:firstLineChars="200"/>
        <w:jc w:val="center"/>
        <w:textAlignment w:val="auto"/>
        <w:rPr>
          <w:rFonts w:hint="eastAsia" w:ascii="宋体" w:hAnsi="宋体" w:eastAsia="宋体" w:cs="宋体"/>
          <w:b/>
          <w:bCs/>
          <w:sz w:val="30"/>
          <w:szCs w:val="30"/>
          <w:highlight w:val="none"/>
        </w:rPr>
      </w:pPr>
    </w:p>
    <w:p>
      <w:pPr>
        <w:keepNext w:val="0"/>
        <w:keepLines w:val="0"/>
        <w:pageBreakBefore w:val="0"/>
        <w:widowControl w:val="0"/>
        <w:kinsoku/>
        <w:wordWrap/>
        <w:overflowPunct/>
        <w:topLinePunct w:val="0"/>
        <w:autoSpaceDE/>
        <w:autoSpaceDN/>
        <w:bidi w:val="0"/>
        <w:adjustRightInd/>
        <w:snapToGrid/>
        <w:ind w:firstLine="600" w:firstLineChars="200"/>
        <w:jc w:val="center"/>
        <w:textAlignment w:val="auto"/>
        <w:rPr>
          <w:rFonts w:hint="eastAsia" w:ascii="宋体" w:hAnsi="宋体" w:eastAsia="宋体" w:cs="宋体"/>
          <w:b/>
          <w:bCs/>
          <w:sz w:val="30"/>
          <w:szCs w:val="30"/>
          <w:highlight w:val="none"/>
        </w:rPr>
      </w:pPr>
      <w:r>
        <w:rPr>
          <w:sz w:val="30"/>
          <w:highlight w:val="none"/>
        </w:rPr>
        <mc:AlternateContent>
          <mc:Choice Requires="wps">
            <w:drawing>
              <wp:anchor distT="0" distB="0" distL="114300" distR="114300" simplePos="0" relativeHeight="251662336" behindDoc="0" locked="0" layoutInCell="1" allowOverlap="1">
                <wp:simplePos x="0" y="0"/>
                <wp:positionH relativeFrom="column">
                  <wp:posOffset>1115695</wp:posOffset>
                </wp:positionH>
                <wp:positionV relativeFrom="paragraph">
                  <wp:posOffset>254000</wp:posOffset>
                </wp:positionV>
                <wp:extent cx="3321685" cy="1141095"/>
                <wp:effectExtent l="4445" t="4445" r="7620" b="16510"/>
                <wp:wrapNone/>
                <wp:docPr id="6" name="文本框 6"/>
                <wp:cNvGraphicFramePr/>
                <a:graphic xmlns:a="http://schemas.openxmlformats.org/drawingml/2006/main">
                  <a:graphicData uri="http://schemas.microsoft.com/office/word/2010/wordprocessingShape">
                    <wps:wsp>
                      <wps:cNvSpPr txBox="1"/>
                      <wps:spPr>
                        <a:xfrm>
                          <a:off x="0" y="0"/>
                          <a:ext cx="3321685" cy="1141095"/>
                        </a:xfrm>
                        <a:prstGeom prst="rect">
                          <a:avLst/>
                        </a:prstGeom>
                        <a:solidFill>
                          <a:schemeClr val="lt1"/>
                        </a:solidFill>
                        <a:ln w="3175">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保山供电局</w:t>
                            </w:r>
                          </w:p>
                          <w:p>
                            <w:pPr>
                              <w:jc w:val="center"/>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2024年07月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7.85pt;margin-top:20pt;height:89.85pt;width:261.55pt;z-index:251662336;mso-width-relative:page;mso-height-relative:page;" fillcolor="#FFFFFF [3201]" filled="t" stroked="t" coordsize="21600,21600" o:gfxdata="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OuMPHNUAAAAKAQAADwAA&#10;AAAAAAABACAAAAAiAAAAZHJzL2Rvd25yZXYueG1sUEsBAhQAFAAAAAgAh07iQDnWRQtSAgAAuQQA&#10;AA4AAAAAAAAAAQAgAAAAJAEAAGRycy9lMm9Eb2MueG1sUEsFBgAAAAAGAAYAWQEAAOgFAAAAAA==&#10;">
                <v:fill on="t" focussize="0,0"/>
                <v:stroke weight="0.25pt" color="#FFFFFF [3212]" joinstyle="round"/>
                <v:imagedata o:title=""/>
                <o:lock v:ext="edit" aspectratio="f"/>
                <v:textbox>
                  <w:txbxContent>
                    <w:p>
                      <w:pPr>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保山供电局</w:t>
                      </w:r>
                    </w:p>
                    <w:p>
                      <w:pPr>
                        <w:jc w:val="center"/>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2024年07月</w:t>
                      </w:r>
                    </w:p>
                  </w:txbxContent>
                </v:textbox>
              </v:shape>
            </w:pict>
          </mc:Fallback>
        </mc:AlternateContent>
      </w:r>
    </w:p>
    <w:p>
      <w:pPr>
        <w:keepNext w:val="0"/>
        <w:keepLines w:val="0"/>
        <w:pageBreakBefore w:val="0"/>
        <w:widowControl w:val="0"/>
        <w:kinsoku/>
        <w:wordWrap/>
        <w:overflowPunct/>
        <w:topLinePunct w:val="0"/>
        <w:autoSpaceDE/>
        <w:autoSpaceDN/>
        <w:bidi w:val="0"/>
        <w:adjustRightInd/>
        <w:snapToGrid/>
        <w:ind w:firstLine="602" w:firstLineChars="200"/>
        <w:jc w:val="center"/>
        <w:textAlignment w:val="auto"/>
        <w:rPr>
          <w:rFonts w:hint="eastAsia" w:ascii="宋体" w:hAnsi="宋体" w:eastAsia="宋体" w:cs="宋体"/>
          <w:b/>
          <w:bCs/>
          <w:sz w:val="30"/>
          <w:szCs w:val="30"/>
          <w:highlight w:val="none"/>
        </w:rPr>
        <w:sectPr>
          <w:footerReference r:id="rId3" w:type="default"/>
          <w:pgSz w:w="11906" w:h="16838"/>
          <w:pgMar w:top="1440" w:right="1800" w:bottom="1440" w:left="1800" w:header="851" w:footer="992" w:gutter="0"/>
          <w:cols w:space="425" w:num="1"/>
          <w:docGrid w:type="lines" w:linePitch="312" w:charSpace="0"/>
        </w:sectPr>
      </w:pPr>
    </w:p>
    <w:sdt>
      <w:sdtPr>
        <w:rPr>
          <w:rFonts w:ascii="宋体" w:hAnsi="宋体" w:eastAsia="宋体" w:cstheme="minorBidi"/>
          <w:kern w:val="2"/>
          <w:sz w:val="21"/>
          <w:szCs w:val="22"/>
          <w:highlight w:val="none"/>
          <w:lang w:val="en-US" w:eastAsia="zh-CN" w:bidi="ar-SA"/>
        </w:rPr>
        <w:id w:val="147468579"/>
        <w15:color w:val="DBDBDB"/>
        <w:docPartObj>
          <w:docPartGallery w:val="Table of Contents"/>
          <w:docPartUnique/>
        </w:docPartObj>
      </w:sdtPr>
      <w:sdtEndPr>
        <w:rPr>
          <w:rFonts w:hint="eastAsia" w:ascii="宋体" w:hAnsi="宋体" w:eastAsia="宋体" w:cs="宋体"/>
          <w:bCs/>
          <w:kern w:val="2"/>
          <w:sz w:val="21"/>
          <w:szCs w:val="30"/>
          <w:highlight w:val="none"/>
          <w:lang w:val="en-US" w:eastAsia="zh-CN" w:bidi="ar-SA"/>
        </w:rPr>
      </w:sdtEndPr>
      <w:sdtContent>
        <w:p>
          <w:pPr>
            <w:spacing w:before="0" w:beforeLines="0" w:after="0" w:afterLines="0" w:line="240" w:lineRule="auto"/>
            <w:ind w:left="0" w:leftChars="0" w:right="0" w:rightChars="0" w:firstLine="0" w:firstLineChars="0"/>
            <w:jc w:val="center"/>
            <w:rPr>
              <w:b/>
              <w:bCs/>
              <w:sz w:val="28"/>
              <w:szCs w:val="28"/>
              <w:highlight w:val="none"/>
            </w:rPr>
          </w:pPr>
          <w:r>
            <w:rPr>
              <w:rFonts w:ascii="宋体" w:hAnsi="宋体" w:eastAsia="宋体"/>
              <w:b/>
              <w:bCs/>
              <w:sz w:val="28"/>
              <w:szCs w:val="28"/>
              <w:highlight w:val="none"/>
            </w:rPr>
            <w:t>目</w:t>
          </w:r>
          <w:r>
            <w:rPr>
              <w:rFonts w:hint="eastAsia" w:ascii="宋体" w:hAnsi="宋体" w:eastAsia="宋体"/>
              <w:b/>
              <w:bCs/>
              <w:sz w:val="28"/>
              <w:szCs w:val="28"/>
              <w:highlight w:val="none"/>
              <w:lang w:val="en-US" w:eastAsia="zh-CN"/>
            </w:rPr>
            <w:t xml:space="preserve"> </w:t>
          </w:r>
          <w:r>
            <w:rPr>
              <w:rFonts w:ascii="宋体" w:hAnsi="宋体" w:eastAsia="宋体"/>
              <w:b/>
              <w:bCs/>
              <w:sz w:val="28"/>
              <w:szCs w:val="28"/>
              <w:highlight w:val="none"/>
            </w:rPr>
            <w:t>录</w:t>
          </w:r>
        </w:p>
        <w:p>
          <w:pPr>
            <w:pStyle w:val="16"/>
            <w:tabs>
              <w:tab w:val="right" w:leader="dot" w:pos="8306"/>
            </w:tabs>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30"/>
              <w:szCs w:val="30"/>
              <w:highlight w:val="none"/>
            </w:rPr>
            <w:fldChar w:fldCharType="begin"/>
          </w:r>
          <w:r>
            <w:rPr>
              <w:rFonts w:hint="eastAsia" w:asciiTheme="minorEastAsia" w:hAnsiTheme="minorEastAsia" w:eastAsiaTheme="minorEastAsia" w:cstheme="minorEastAsia"/>
              <w:b/>
              <w:bCs/>
              <w:sz w:val="30"/>
              <w:szCs w:val="30"/>
              <w:highlight w:val="none"/>
            </w:rPr>
            <w:instrText xml:space="preserve">TOC \o "1-3" \h \u </w:instrText>
          </w:r>
          <w:r>
            <w:rPr>
              <w:rFonts w:hint="eastAsia" w:asciiTheme="minorEastAsia" w:hAnsiTheme="minorEastAsia" w:eastAsiaTheme="minorEastAsia" w:cstheme="minorEastAsia"/>
              <w:b/>
              <w:bCs/>
              <w:sz w:val="30"/>
              <w:szCs w:val="30"/>
              <w:highlight w:val="none"/>
            </w:rPr>
            <w:fldChar w:fldCharType="separate"/>
          </w:r>
          <w:r>
            <w:rPr>
              <w:rFonts w:hint="eastAsia" w:asciiTheme="minorEastAsia" w:hAnsiTheme="minorEastAsia" w:eastAsiaTheme="minorEastAsia" w:cstheme="minorEastAsia"/>
              <w:bCs/>
              <w:sz w:val="24"/>
              <w:szCs w:val="24"/>
              <w:highlight w:val="none"/>
            </w:rPr>
            <w:fldChar w:fldCharType="begin"/>
          </w:r>
          <w:r>
            <w:rPr>
              <w:rFonts w:hint="eastAsia" w:asciiTheme="minorEastAsia" w:hAnsiTheme="minorEastAsia" w:eastAsiaTheme="minorEastAsia" w:cstheme="minorEastAsia"/>
              <w:bCs/>
              <w:sz w:val="24"/>
              <w:szCs w:val="24"/>
              <w:highlight w:val="none"/>
            </w:rPr>
            <w:instrText xml:space="preserve"> HYPERLINK \l _Toc17172 </w:instrText>
          </w:r>
          <w:r>
            <w:rPr>
              <w:rFonts w:hint="eastAsia" w:asciiTheme="minorEastAsia" w:hAnsiTheme="minorEastAsia" w:eastAsiaTheme="minorEastAsia" w:cstheme="minorEastAsia"/>
              <w:bCs/>
              <w:sz w:val="24"/>
              <w:szCs w:val="24"/>
              <w:highlight w:val="none"/>
            </w:rPr>
            <w:fldChar w:fldCharType="separate"/>
          </w:r>
          <w:r>
            <w:rPr>
              <w:rFonts w:hint="eastAsia" w:asciiTheme="minorEastAsia" w:hAnsiTheme="minorEastAsia" w:eastAsiaTheme="minorEastAsia" w:cstheme="minorEastAsia"/>
              <w:bCs/>
              <w:kern w:val="2"/>
              <w:sz w:val="24"/>
              <w:szCs w:val="24"/>
              <w:highlight w:val="none"/>
              <w:lang w:val="en-US" w:eastAsia="zh-CN" w:bidi="ar-SA"/>
            </w:rPr>
            <w:t>第一部分 总则部分</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_Toc17172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bCs/>
              <w:sz w:val="24"/>
              <w:szCs w:val="24"/>
              <w:highlight w:val="none"/>
            </w:rPr>
            <w:fldChar w:fldCharType="end"/>
          </w:r>
        </w:p>
        <w:p>
          <w:pPr>
            <w:pStyle w:val="23"/>
            <w:tabs>
              <w:tab w:val="right" w:leader="dot" w:pos="8306"/>
            </w:tabs>
            <w:spacing w:line="360" w:lineRule="auto"/>
            <w:ind w:left="0" w:leftChars="0"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fldChar w:fldCharType="begin"/>
          </w:r>
          <w:r>
            <w:rPr>
              <w:rFonts w:hint="eastAsia" w:asciiTheme="minorEastAsia" w:hAnsiTheme="minorEastAsia" w:eastAsiaTheme="minorEastAsia" w:cstheme="minorEastAsia"/>
              <w:bCs/>
              <w:sz w:val="24"/>
              <w:szCs w:val="24"/>
              <w:highlight w:val="none"/>
            </w:rPr>
            <w:instrText xml:space="preserve"> HYPERLINK \l _Toc20382 </w:instrText>
          </w:r>
          <w:r>
            <w:rPr>
              <w:rFonts w:hint="eastAsia" w:asciiTheme="minorEastAsia" w:hAnsiTheme="minorEastAsia" w:eastAsiaTheme="minorEastAsia" w:cstheme="minorEastAsia"/>
              <w:bCs/>
              <w:sz w:val="24"/>
              <w:szCs w:val="24"/>
              <w:highlight w:val="none"/>
            </w:rPr>
            <w:fldChar w:fldCharType="separate"/>
          </w:r>
          <w:r>
            <w:rPr>
              <w:rFonts w:hint="eastAsia" w:asciiTheme="minorEastAsia" w:hAnsiTheme="minorEastAsia" w:eastAsiaTheme="minorEastAsia" w:cstheme="minorEastAsia"/>
              <w:bCs/>
              <w:sz w:val="24"/>
              <w:szCs w:val="24"/>
              <w:highlight w:val="none"/>
            </w:rPr>
            <w:t>1.1总体的要求</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_Toc20382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2</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bCs/>
              <w:sz w:val="24"/>
              <w:szCs w:val="24"/>
              <w:highlight w:val="none"/>
            </w:rPr>
            <w:fldChar w:fldCharType="end"/>
          </w:r>
        </w:p>
        <w:p>
          <w:pPr>
            <w:pStyle w:val="23"/>
            <w:tabs>
              <w:tab w:val="right" w:leader="dot" w:pos="8306"/>
            </w:tabs>
            <w:spacing w:line="360" w:lineRule="auto"/>
            <w:ind w:left="0" w:leftChars="0"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fldChar w:fldCharType="begin"/>
          </w:r>
          <w:r>
            <w:rPr>
              <w:rFonts w:hint="eastAsia" w:asciiTheme="minorEastAsia" w:hAnsiTheme="minorEastAsia" w:eastAsiaTheme="minorEastAsia" w:cstheme="minorEastAsia"/>
              <w:bCs/>
              <w:sz w:val="24"/>
              <w:szCs w:val="24"/>
              <w:highlight w:val="none"/>
            </w:rPr>
            <w:instrText xml:space="preserve"> HYPERLINK \l _Toc3941 </w:instrText>
          </w:r>
          <w:r>
            <w:rPr>
              <w:rFonts w:hint="eastAsia" w:asciiTheme="minorEastAsia" w:hAnsiTheme="minorEastAsia" w:eastAsiaTheme="minorEastAsia" w:cstheme="minorEastAsia"/>
              <w:bCs/>
              <w:sz w:val="24"/>
              <w:szCs w:val="24"/>
              <w:highlight w:val="none"/>
            </w:rPr>
            <w:fldChar w:fldCharType="separate"/>
          </w:r>
          <w:r>
            <w:rPr>
              <w:rFonts w:hint="eastAsia" w:asciiTheme="minorEastAsia" w:hAnsiTheme="minorEastAsia" w:eastAsiaTheme="minorEastAsia" w:cstheme="minorEastAsia"/>
              <w:bCs/>
              <w:sz w:val="24"/>
              <w:szCs w:val="24"/>
              <w:highlight w:val="none"/>
            </w:rPr>
            <w:t>1.2技术应答要求</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_Toc3941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2</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bCs/>
              <w:sz w:val="24"/>
              <w:szCs w:val="24"/>
              <w:highlight w:val="none"/>
            </w:rPr>
            <w:fldChar w:fldCharType="end"/>
          </w:r>
        </w:p>
        <w:p>
          <w:pPr>
            <w:pStyle w:val="16"/>
            <w:tabs>
              <w:tab w:val="right" w:leader="dot" w:pos="8306"/>
            </w:tabs>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fldChar w:fldCharType="begin"/>
          </w:r>
          <w:r>
            <w:rPr>
              <w:rFonts w:hint="eastAsia" w:asciiTheme="minorEastAsia" w:hAnsiTheme="minorEastAsia" w:eastAsiaTheme="minorEastAsia" w:cstheme="minorEastAsia"/>
              <w:bCs/>
              <w:sz w:val="24"/>
              <w:szCs w:val="24"/>
              <w:highlight w:val="none"/>
            </w:rPr>
            <w:instrText xml:space="preserve"> HYPERLINK \l _Toc16090 </w:instrText>
          </w:r>
          <w:r>
            <w:rPr>
              <w:rFonts w:hint="eastAsia" w:asciiTheme="minorEastAsia" w:hAnsiTheme="minorEastAsia" w:eastAsiaTheme="minorEastAsia" w:cstheme="minorEastAsia"/>
              <w:bCs/>
              <w:sz w:val="24"/>
              <w:szCs w:val="24"/>
              <w:highlight w:val="none"/>
            </w:rPr>
            <w:fldChar w:fldCharType="separate"/>
          </w:r>
          <w:r>
            <w:rPr>
              <w:rFonts w:hint="eastAsia" w:asciiTheme="minorEastAsia" w:hAnsiTheme="minorEastAsia" w:eastAsiaTheme="minorEastAsia" w:cstheme="minorEastAsia"/>
              <w:bCs/>
              <w:kern w:val="2"/>
              <w:sz w:val="24"/>
              <w:szCs w:val="24"/>
              <w:highlight w:val="none"/>
              <w:lang w:val="en-US" w:eastAsia="zh-CN" w:bidi="ar-SA"/>
            </w:rPr>
            <w:t>第二部分 技术规范</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_Toc16090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bCs/>
              <w:sz w:val="24"/>
              <w:szCs w:val="24"/>
              <w:highlight w:val="none"/>
            </w:rPr>
            <w:fldChar w:fldCharType="end"/>
          </w:r>
        </w:p>
        <w:p>
          <w:pPr>
            <w:pStyle w:val="17"/>
            <w:tabs>
              <w:tab w:val="right" w:leader="dot" w:pos="8306"/>
            </w:tabs>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fldChar w:fldCharType="begin"/>
          </w:r>
          <w:r>
            <w:rPr>
              <w:rFonts w:hint="eastAsia" w:asciiTheme="minorEastAsia" w:hAnsiTheme="minorEastAsia" w:eastAsiaTheme="minorEastAsia" w:cstheme="minorEastAsia"/>
              <w:bCs/>
              <w:sz w:val="24"/>
              <w:szCs w:val="24"/>
              <w:highlight w:val="none"/>
            </w:rPr>
            <w:instrText xml:space="preserve"> HYPERLINK \l _Toc11089 </w:instrText>
          </w:r>
          <w:r>
            <w:rPr>
              <w:rFonts w:hint="eastAsia" w:asciiTheme="minorEastAsia" w:hAnsiTheme="minorEastAsia" w:eastAsiaTheme="minorEastAsia" w:cstheme="minorEastAsia"/>
              <w:bCs/>
              <w:sz w:val="24"/>
              <w:szCs w:val="24"/>
              <w:highlight w:val="none"/>
            </w:rPr>
            <w:fldChar w:fldCharType="separate"/>
          </w:r>
          <w:r>
            <w:rPr>
              <w:rFonts w:hint="eastAsia" w:asciiTheme="minorEastAsia" w:hAnsiTheme="minorEastAsia" w:eastAsiaTheme="minorEastAsia" w:cstheme="minorEastAsia"/>
              <w:bCs/>
              <w:sz w:val="24"/>
              <w:szCs w:val="24"/>
              <w:highlight w:val="none"/>
            </w:rPr>
            <w:t>1.1</w:t>
          </w:r>
          <w:r>
            <w:rPr>
              <w:rFonts w:hint="eastAsia" w:asciiTheme="minorEastAsia" w:hAnsiTheme="minorEastAsia" w:eastAsiaTheme="minorEastAsia" w:cstheme="minorEastAsia"/>
              <w:bCs/>
              <w:sz w:val="24"/>
              <w:szCs w:val="24"/>
              <w:highlight w:val="none"/>
              <w:lang w:val="en-US" w:eastAsia="zh-CN"/>
            </w:rPr>
            <w:t>实施</w:t>
          </w:r>
          <w:r>
            <w:rPr>
              <w:rFonts w:hint="eastAsia" w:asciiTheme="minorEastAsia" w:hAnsiTheme="minorEastAsia" w:eastAsiaTheme="minorEastAsia" w:cstheme="minorEastAsia"/>
              <w:bCs/>
              <w:sz w:val="24"/>
              <w:szCs w:val="24"/>
              <w:highlight w:val="none"/>
            </w:rPr>
            <w:t>背景</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_Toc11089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bCs/>
              <w:sz w:val="24"/>
              <w:szCs w:val="24"/>
              <w:highlight w:val="none"/>
            </w:rPr>
            <w:fldChar w:fldCharType="end"/>
          </w:r>
        </w:p>
        <w:p>
          <w:pPr>
            <w:pStyle w:val="17"/>
            <w:tabs>
              <w:tab w:val="right" w:leader="dot" w:pos="8306"/>
            </w:tabs>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fldChar w:fldCharType="begin"/>
          </w:r>
          <w:r>
            <w:rPr>
              <w:rFonts w:hint="eastAsia" w:asciiTheme="minorEastAsia" w:hAnsiTheme="minorEastAsia" w:eastAsiaTheme="minorEastAsia" w:cstheme="minorEastAsia"/>
              <w:bCs/>
              <w:sz w:val="24"/>
              <w:szCs w:val="24"/>
              <w:highlight w:val="none"/>
            </w:rPr>
            <w:instrText xml:space="preserve"> HYPERLINK \l _Toc684 </w:instrText>
          </w:r>
          <w:r>
            <w:rPr>
              <w:rFonts w:hint="eastAsia" w:asciiTheme="minorEastAsia" w:hAnsiTheme="minorEastAsia" w:eastAsiaTheme="minorEastAsia" w:cstheme="minorEastAsia"/>
              <w:bCs/>
              <w:sz w:val="24"/>
              <w:szCs w:val="24"/>
              <w:highlight w:val="none"/>
            </w:rPr>
            <w:fldChar w:fldCharType="separate"/>
          </w:r>
          <w:r>
            <w:rPr>
              <w:rFonts w:hint="eastAsia" w:asciiTheme="minorEastAsia" w:hAnsiTheme="minorEastAsia" w:eastAsiaTheme="minorEastAsia" w:cstheme="minorEastAsia"/>
              <w:bCs/>
              <w:sz w:val="24"/>
              <w:szCs w:val="24"/>
              <w:highlight w:val="none"/>
            </w:rPr>
            <w:t>1.2技术服务范围</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_Toc684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bCs/>
              <w:sz w:val="24"/>
              <w:szCs w:val="24"/>
              <w:highlight w:val="none"/>
            </w:rPr>
            <w:fldChar w:fldCharType="end"/>
          </w:r>
        </w:p>
        <w:p>
          <w:pPr>
            <w:pStyle w:val="17"/>
            <w:tabs>
              <w:tab w:val="right" w:leader="dot" w:pos="8306"/>
            </w:tabs>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fldChar w:fldCharType="begin"/>
          </w:r>
          <w:r>
            <w:rPr>
              <w:rFonts w:hint="eastAsia" w:asciiTheme="minorEastAsia" w:hAnsiTheme="minorEastAsia" w:eastAsiaTheme="minorEastAsia" w:cstheme="minorEastAsia"/>
              <w:bCs/>
              <w:sz w:val="24"/>
              <w:szCs w:val="24"/>
              <w:highlight w:val="none"/>
            </w:rPr>
            <w:instrText xml:space="preserve"> HYPERLINK \l _Toc1177 </w:instrText>
          </w:r>
          <w:r>
            <w:rPr>
              <w:rFonts w:hint="eastAsia" w:asciiTheme="minorEastAsia" w:hAnsiTheme="minorEastAsia" w:eastAsiaTheme="minorEastAsia" w:cstheme="minorEastAsia"/>
              <w:bCs/>
              <w:sz w:val="24"/>
              <w:szCs w:val="24"/>
              <w:highlight w:val="none"/>
            </w:rPr>
            <w:fldChar w:fldCharType="separate"/>
          </w:r>
          <w:r>
            <w:rPr>
              <w:rFonts w:hint="eastAsia" w:asciiTheme="minorEastAsia" w:hAnsiTheme="minorEastAsia" w:eastAsiaTheme="minorEastAsia" w:cstheme="minorEastAsia"/>
              <w:bCs/>
              <w:sz w:val="24"/>
              <w:szCs w:val="24"/>
              <w:highlight w:val="none"/>
            </w:rPr>
            <w:t>1.</w:t>
          </w:r>
          <w:r>
            <w:rPr>
              <w:rFonts w:hint="eastAsia" w:asciiTheme="minorEastAsia" w:hAnsiTheme="minorEastAsia" w:eastAsiaTheme="minorEastAsia" w:cstheme="minorEastAsia"/>
              <w:bCs/>
              <w:sz w:val="24"/>
              <w:szCs w:val="24"/>
              <w:highlight w:val="none"/>
              <w:lang w:val="en-US" w:eastAsia="zh-CN"/>
            </w:rPr>
            <w:t>3</w:t>
          </w:r>
          <w:r>
            <w:rPr>
              <w:rFonts w:hint="eastAsia" w:asciiTheme="minorEastAsia" w:hAnsiTheme="minorEastAsia" w:eastAsiaTheme="minorEastAsia" w:cstheme="minorEastAsia"/>
              <w:bCs/>
              <w:kern w:val="2"/>
              <w:sz w:val="24"/>
              <w:szCs w:val="24"/>
              <w:highlight w:val="none"/>
              <w:lang w:val="en-US" w:eastAsia="zh-CN" w:bidi="ar-SA"/>
            </w:rPr>
            <w:t>服务地点</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_Toc1177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4</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bCs/>
              <w:sz w:val="24"/>
              <w:szCs w:val="24"/>
              <w:highlight w:val="none"/>
            </w:rPr>
            <w:fldChar w:fldCharType="end"/>
          </w:r>
        </w:p>
        <w:p>
          <w:pPr>
            <w:pStyle w:val="17"/>
            <w:tabs>
              <w:tab w:val="right" w:leader="dot" w:pos="8306"/>
            </w:tabs>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fldChar w:fldCharType="begin"/>
          </w:r>
          <w:r>
            <w:rPr>
              <w:rFonts w:hint="eastAsia" w:asciiTheme="minorEastAsia" w:hAnsiTheme="minorEastAsia" w:eastAsiaTheme="minorEastAsia" w:cstheme="minorEastAsia"/>
              <w:bCs/>
              <w:sz w:val="24"/>
              <w:szCs w:val="24"/>
              <w:highlight w:val="none"/>
            </w:rPr>
            <w:instrText xml:space="preserve"> HYPERLINK \l _Toc1700 </w:instrText>
          </w:r>
          <w:r>
            <w:rPr>
              <w:rFonts w:hint="eastAsia" w:asciiTheme="minorEastAsia" w:hAnsiTheme="minorEastAsia" w:eastAsiaTheme="minorEastAsia" w:cstheme="minorEastAsia"/>
              <w:bCs/>
              <w:sz w:val="24"/>
              <w:szCs w:val="24"/>
              <w:highlight w:val="none"/>
            </w:rPr>
            <w:fldChar w:fldCharType="separate"/>
          </w:r>
          <w:r>
            <w:rPr>
              <w:rFonts w:hint="eastAsia" w:asciiTheme="minorEastAsia" w:hAnsiTheme="minorEastAsia" w:eastAsiaTheme="minorEastAsia" w:cstheme="minorEastAsia"/>
              <w:bCs/>
              <w:kern w:val="2"/>
              <w:sz w:val="24"/>
              <w:szCs w:val="24"/>
              <w:highlight w:val="none"/>
              <w:lang w:val="en-US" w:eastAsia="zh-CN" w:bidi="ar-SA"/>
            </w:rPr>
            <w:t>1.4服务工期</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_Toc1700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4</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bCs/>
              <w:sz w:val="24"/>
              <w:szCs w:val="24"/>
              <w:highlight w:val="none"/>
            </w:rPr>
            <w:fldChar w:fldCharType="end"/>
          </w:r>
        </w:p>
        <w:p>
          <w:pPr>
            <w:pStyle w:val="17"/>
            <w:tabs>
              <w:tab w:val="right" w:leader="dot" w:pos="8306"/>
            </w:tabs>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fldChar w:fldCharType="begin"/>
          </w:r>
          <w:r>
            <w:rPr>
              <w:rFonts w:hint="eastAsia" w:asciiTheme="minorEastAsia" w:hAnsiTheme="minorEastAsia" w:eastAsiaTheme="minorEastAsia" w:cstheme="minorEastAsia"/>
              <w:bCs/>
              <w:sz w:val="24"/>
              <w:szCs w:val="24"/>
              <w:highlight w:val="none"/>
            </w:rPr>
            <w:instrText xml:space="preserve"> HYPERLINK \l _Toc65 </w:instrText>
          </w:r>
          <w:r>
            <w:rPr>
              <w:rFonts w:hint="eastAsia" w:asciiTheme="minorEastAsia" w:hAnsiTheme="minorEastAsia" w:eastAsiaTheme="minorEastAsia" w:cstheme="minorEastAsia"/>
              <w:bCs/>
              <w:sz w:val="24"/>
              <w:szCs w:val="24"/>
              <w:highlight w:val="none"/>
            </w:rPr>
            <w:fldChar w:fldCharType="separate"/>
          </w:r>
          <w:r>
            <w:rPr>
              <w:rFonts w:hint="eastAsia" w:asciiTheme="minorEastAsia" w:hAnsiTheme="minorEastAsia" w:eastAsiaTheme="minorEastAsia" w:cstheme="minorEastAsia"/>
              <w:bCs/>
              <w:kern w:val="2"/>
              <w:sz w:val="24"/>
              <w:szCs w:val="24"/>
              <w:highlight w:val="none"/>
              <w:lang w:val="en-US" w:eastAsia="zh-CN" w:bidi="ar-SA"/>
            </w:rPr>
            <w:t>1.5技术服务内容</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_Toc65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4</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bCs/>
              <w:sz w:val="24"/>
              <w:szCs w:val="24"/>
              <w:highlight w:val="none"/>
            </w:rPr>
            <w:fldChar w:fldCharType="end"/>
          </w:r>
        </w:p>
        <w:p>
          <w:pPr>
            <w:pStyle w:val="17"/>
            <w:tabs>
              <w:tab w:val="right" w:leader="dot" w:pos="8306"/>
            </w:tabs>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Cs/>
              <w:sz w:val="24"/>
              <w:szCs w:val="24"/>
              <w:highlight w:val="none"/>
            </w:rPr>
            <w:fldChar w:fldCharType="begin"/>
          </w:r>
          <w:r>
            <w:rPr>
              <w:rFonts w:hint="eastAsia" w:asciiTheme="minorEastAsia" w:hAnsiTheme="minorEastAsia" w:eastAsiaTheme="minorEastAsia" w:cstheme="minorEastAsia"/>
              <w:bCs/>
              <w:sz w:val="24"/>
              <w:szCs w:val="24"/>
              <w:highlight w:val="none"/>
            </w:rPr>
            <w:instrText xml:space="preserve"> HYPERLINK \l _Toc29857 </w:instrText>
          </w:r>
          <w:r>
            <w:rPr>
              <w:rFonts w:hint="eastAsia" w:asciiTheme="minorEastAsia" w:hAnsiTheme="minorEastAsia" w:eastAsiaTheme="minorEastAsia" w:cstheme="minorEastAsia"/>
              <w:bCs/>
              <w:sz w:val="24"/>
              <w:szCs w:val="24"/>
              <w:highlight w:val="none"/>
            </w:rPr>
            <w:fldChar w:fldCharType="separate"/>
          </w:r>
          <w:r>
            <w:rPr>
              <w:rFonts w:hint="eastAsia" w:asciiTheme="minorEastAsia" w:hAnsiTheme="minorEastAsia" w:eastAsiaTheme="minorEastAsia" w:cstheme="minorEastAsia"/>
              <w:bCs/>
              <w:kern w:val="2"/>
              <w:sz w:val="24"/>
              <w:szCs w:val="24"/>
              <w:highlight w:val="none"/>
              <w:lang w:val="en-US" w:eastAsia="zh-CN" w:bidi="ar-SA"/>
            </w:rPr>
            <w:t>1.6 项目实施要求</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_Toc29857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6</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bCs/>
              <w:sz w:val="24"/>
              <w:szCs w:val="24"/>
              <w:highlight w:val="none"/>
            </w:rPr>
            <w:fldChar w:fldCharType="end"/>
          </w:r>
        </w:p>
        <w:p>
          <w:pPr>
            <w:pStyle w:val="23"/>
            <w:tabs>
              <w:tab w:val="right" w:leader="dot" w:pos="8306"/>
            </w:tabs>
            <w:spacing w:line="360" w:lineRule="auto"/>
            <w:rPr>
              <w:rFonts w:hint="eastAsia" w:asciiTheme="minorEastAsia" w:hAnsiTheme="minorEastAsia" w:eastAsiaTheme="minorEastAsia" w:cstheme="minorEastAsia"/>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b/>
              <w:bCs/>
              <w:sz w:val="30"/>
              <w:szCs w:val="30"/>
              <w:highlight w:val="none"/>
            </w:rPr>
          </w:pPr>
          <w:r>
            <w:rPr>
              <w:rFonts w:hint="eastAsia" w:asciiTheme="minorEastAsia" w:hAnsiTheme="minorEastAsia" w:eastAsiaTheme="minorEastAsia" w:cstheme="minorEastAsia"/>
              <w:bCs/>
              <w:szCs w:val="30"/>
              <w:highlight w:val="none"/>
            </w:rPr>
            <w:fldChar w:fldCharType="end"/>
          </w:r>
        </w:p>
      </w:sdtContent>
    </w:sdt>
    <w:p>
      <w:pPr>
        <w:pStyle w:val="3"/>
        <w:outlineLvl w:val="9"/>
        <w:rPr>
          <w:rFonts w:hint="eastAsia" w:ascii="宋体" w:hAnsi="宋体" w:eastAsia="宋体" w:cs="宋体"/>
          <w:b/>
          <w:bCs/>
          <w:sz w:val="30"/>
          <w:szCs w:val="30"/>
          <w:highlight w:val="none"/>
        </w:rPr>
      </w:pPr>
    </w:p>
    <w:p>
      <w:pPr>
        <w:rPr>
          <w:rFonts w:hint="eastAsia" w:ascii="宋体" w:hAnsi="宋体" w:eastAsia="宋体" w:cs="宋体"/>
          <w:b/>
          <w:bCs/>
          <w:sz w:val="30"/>
          <w:szCs w:val="30"/>
          <w:highlight w:val="none"/>
        </w:rPr>
      </w:pPr>
    </w:p>
    <w:p>
      <w:pPr>
        <w:pStyle w:val="3"/>
        <w:outlineLvl w:val="9"/>
        <w:rPr>
          <w:rFonts w:hint="eastAsia" w:ascii="宋体" w:hAnsi="宋体" w:eastAsia="宋体" w:cs="宋体"/>
          <w:b/>
          <w:bCs/>
          <w:sz w:val="30"/>
          <w:szCs w:val="30"/>
          <w:highlight w:val="none"/>
        </w:rPr>
      </w:pPr>
    </w:p>
    <w:p>
      <w:pPr>
        <w:rPr>
          <w:rFonts w:hint="eastAsia" w:ascii="宋体" w:hAnsi="宋体" w:eastAsia="宋体" w:cs="宋体"/>
          <w:b/>
          <w:bCs/>
          <w:sz w:val="30"/>
          <w:szCs w:val="30"/>
          <w:highlight w:val="none"/>
        </w:rPr>
      </w:pPr>
    </w:p>
    <w:p>
      <w:pPr>
        <w:pStyle w:val="3"/>
        <w:outlineLvl w:val="9"/>
        <w:rPr>
          <w:rFonts w:hint="eastAsia" w:ascii="宋体" w:hAnsi="宋体" w:eastAsia="宋体" w:cs="宋体"/>
          <w:b/>
          <w:bCs/>
          <w:sz w:val="30"/>
          <w:szCs w:val="30"/>
          <w:highlight w:val="none"/>
        </w:rPr>
      </w:pPr>
    </w:p>
    <w:p>
      <w:pPr>
        <w:rPr>
          <w:rFonts w:hint="eastAsia" w:ascii="宋体" w:hAnsi="宋体" w:eastAsia="宋体" w:cs="宋体"/>
          <w:b/>
          <w:bCs/>
          <w:sz w:val="30"/>
          <w:szCs w:val="30"/>
          <w:highlight w:val="none"/>
        </w:rPr>
      </w:pPr>
    </w:p>
    <w:p>
      <w:pPr>
        <w:rPr>
          <w:rFonts w:hint="eastAsia" w:ascii="宋体" w:hAnsi="宋体" w:eastAsia="宋体" w:cs="宋体"/>
          <w:b/>
          <w:bCs/>
          <w:sz w:val="30"/>
          <w:szCs w:val="30"/>
          <w:highlight w:val="none"/>
        </w:rPr>
      </w:pPr>
    </w:p>
    <w:p>
      <w:pPr>
        <w:rPr>
          <w:rFonts w:hint="eastAsia" w:ascii="宋体" w:hAnsi="宋体" w:eastAsia="宋体" w:cs="宋体"/>
          <w:b/>
          <w:bCs/>
          <w:sz w:val="30"/>
          <w:szCs w:val="30"/>
          <w:highlight w:val="none"/>
        </w:rPr>
      </w:pPr>
    </w:p>
    <w:p>
      <w:pPr>
        <w:rPr>
          <w:rFonts w:hint="eastAsia" w:ascii="宋体" w:hAnsi="宋体" w:eastAsia="宋体" w:cs="宋体"/>
          <w:b/>
          <w:bCs/>
          <w:sz w:val="30"/>
          <w:szCs w:val="30"/>
          <w:highlight w:val="none"/>
        </w:rPr>
      </w:pPr>
    </w:p>
    <w:p>
      <w:pPr>
        <w:jc w:val="center"/>
        <w:outlineLvl w:val="0"/>
        <w:rPr>
          <w:rFonts w:hint="eastAsia" w:ascii="仿宋_GB2312" w:hAnsi="仿宋_GB2312" w:eastAsia="仿宋_GB2312" w:cs="仿宋_GB2312"/>
          <w:b/>
          <w:bCs/>
          <w:kern w:val="2"/>
          <w:sz w:val="32"/>
          <w:szCs w:val="32"/>
          <w:highlight w:val="none"/>
          <w:lang w:val="en-US" w:eastAsia="zh-CN" w:bidi="ar-SA"/>
        </w:rPr>
        <w:sectPr>
          <w:footerReference r:id="rId4" w:type="default"/>
          <w:pgSz w:w="11906" w:h="16838"/>
          <w:pgMar w:top="1440" w:right="1800" w:bottom="1440" w:left="1800" w:header="851" w:footer="992" w:gutter="0"/>
          <w:pgNumType w:start="1"/>
          <w:cols w:space="425" w:num="1"/>
          <w:docGrid w:type="lines" w:linePitch="312" w:charSpace="0"/>
        </w:sectPr>
      </w:pPr>
      <w:bookmarkStart w:id="0" w:name="_Toc14530_WPSOffice_Level1"/>
      <w:bookmarkStart w:id="1" w:name="_Toc17172"/>
      <w:bookmarkStart w:id="2" w:name="_Toc451693402"/>
    </w:p>
    <w:p>
      <w:pPr>
        <w:jc w:val="center"/>
        <w:outlineLvl w:val="0"/>
        <w:rPr>
          <w:rFonts w:hint="eastAsia" w:ascii="仿宋_GB2312" w:hAnsi="仿宋_GB2312" w:eastAsia="仿宋_GB2312" w:cs="仿宋_GB2312"/>
          <w:b/>
          <w:bCs/>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第一部分 总则部分</w:t>
      </w:r>
      <w:bookmarkEnd w:id="0"/>
      <w:bookmarkEnd w:id="1"/>
    </w:p>
    <w:bookmarkEnd w:id="2"/>
    <w:p>
      <w:pPr>
        <w:pStyle w:val="4"/>
        <w:spacing w:before="0" w:after="0" w:line="360" w:lineRule="auto"/>
        <w:ind w:left="567" w:hanging="567"/>
        <w:rPr>
          <w:rFonts w:hint="eastAsia" w:ascii="楷体" w:hAnsi="楷体" w:eastAsia="楷体" w:cs="楷体"/>
          <w:b/>
          <w:bCs/>
          <w:sz w:val="32"/>
          <w:szCs w:val="32"/>
          <w:highlight w:val="none"/>
        </w:rPr>
      </w:pPr>
      <w:bookmarkStart w:id="3" w:name="_Toc298099426"/>
      <w:bookmarkStart w:id="4" w:name="_Toc423448532"/>
      <w:bookmarkStart w:id="5" w:name="_Toc298099131"/>
      <w:bookmarkStart w:id="6" w:name="_Toc25889"/>
      <w:bookmarkStart w:id="7" w:name="_Toc8634"/>
      <w:bookmarkStart w:id="8" w:name="_Toc25863"/>
      <w:bookmarkStart w:id="9" w:name="_Toc298099242"/>
      <w:bookmarkStart w:id="10" w:name="_Toc300324063"/>
      <w:bookmarkStart w:id="11" w:name="_Toc20382"/>
      <w:bookmarkStart w:id="12" w:name="_Toc6607"/>
      <w:r>
        <w:rPr>
          <w:rFonts w:hint="eastAsia" w:ascii="楷体" w:hAnsi="楷体" w:eastAsia="楷体" w:cs="楷体"/>
          <w:b/>
          <w:bCs/>
          <w:sz w:val="32"/>
          <w:szCs w:val="32"/>
          <w:highlight w:val="none"/>
        </w:rPr>
        <w:t>1.1总体的要求</w:t>
      </w:r>
      <w:bookmarkEnd w:id="3"/>
      <w:bookmarkEnd w:id="4"/>
      <w:bookmarkEnd w:id="5"/>
      <w:bookmarkEnd w:id="6"/>
      <w:bookmarkEnd w:id="7"/>
      <w:bookmarkEnd w:id="8"/>
      <w:bookmarkEnd w:id="9"/>
      <w:bookmarkEnd w:id="10"/>
      <w:bookmarkEnd w:id="11"/>
      <w:bookmarkEnd w:id="12"/>
    </w:p>
    <w:p>
      <w:pPr>
        <w:spacing w:line="36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1.1.1本技术规范书适用于</w:t>
      </w:r>
      <w:r>
        <w:rPr>
          <w:rFonts w:hint="eastAsia" w:ascii="仿宋_GB2312" w:hAnsi="仿宋_GB2312" w:eastAsia="仿宋_GB2312" w:cs="仿宋_GB2312"/>
          <w:sz w:val="32"/>
          <w:szCs w:val="32"/>
          <w:highlight w:val="none"/>
          <w:lang w:val="en-US" w:eastAsia="zh-CN"/>
        </w:rPr>
        <w:t>保山</w:t>
      </w:r>
      <w:r>
        <w:rPr>
          <w:rFonts w:hint="eastAsia" w:ascii="仿宋_GB2312" w:hAnsi="仿宋_GB2312" w:eastAsia="仿宋_GB2312" w:cs="仿宋_GB2312"/>
          <w:sz w:val="32"/>
          <w:szCs w:val="32"/>
          <w:highlight w:val="none"/>
        </w:rPr>
        <w:t>供电局202</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eastAsia="zh-CN"/>
        </w:rPr>
        <w:t>应急发电机检测</w:t>
      </w:r>
      <w:r>
        <w:rPr>
          <w:rFonts w:hint="eastAsia" w:ascii="仿宋_GB2312" w:hAnsi="仿宋_GB2312" w:eastAsia="仿宋_GB2312" w:cs="仿宋_GB2312"/>
          <w:sz w:val="32"/>
          <w:szCs w:val="32"/>
          <w:highlight w:val="none"/>
        </w:rPr>
        <w:t>。</w:t>
      </w:r>
    </w:p>
    <w:p>
      <w:pPr>
        <w:spacing w:line="36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1.1.2本技术规范书中提出的技术要求仅为最低限度的技术要求。响应方必须仔细阅读技术规范书的全部条款，并提供能完全满足要求的技术服务方案。</w:t>
      </w:r>
    </w:p>
    <w:p>
      <w:pPr>
        <w:spacing w:line="36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1.1.3本技术规范书的解释权属于招标方，未经招标方同意，任何个人和单位不得做出任何修改。在未经双方商定此技术规范书作为项目合同技术附件之前，招标方保留修改技术规范书的权利。双方签订合同之后，招标方有权提出因规范标准和规程发生变化所产生的一些补充要求，响应方有责任接受这些补充要求。</w:t>
      </w:r>
    </w:p>
    <w:p>
      <w:pPr>
        <w:spacing w:line="36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1.1.4本技术规范书未尽事宜,由招标、投标双方协商确定</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经</w:t>
      </w:r>
      <w:r>
        <w:rPr>
          <w:rFonts w:hint="eastAsia" w:ascii="仿宋_GB2312" w:hAnsi="仿宋_GB2312" w:eastAsia="仿宋_GB2312" w:cs="仿宋_GB2312"/>
          <w:sz w:val="32"/>
          <w:szCs w:val="32"/>
          <w:highlight w:val="none"/>
        </w:rPr>
        <w:t>双方确认后作为合同的附件，与合同正文具有同等的法律效力。</w:t>
      </w:r>
    </w:p>
    <w:p>
      <w:pPr>
        <w:pStyle w:val="4"/>
        <w:spacing w:before="0" w:after="0" w:line="360" w:lineRule="auto"/>
        <w:ind w:left="567" w:hanging="567"/>
        <w:rPr>
          <w:rFonts w:hint="eastAsia" w:ascii="楷体" w:hAnsi="楷体" w:eastAsia="楷体" w:cs="楷体"/>
          <w:b/>
          <w:bCs/>
          <w:sz w:val="32"/>
          <w:szCs w:val="32"/>
          <w:highlight w:val="none"/>
        </w:rPr>
      </w:pPr>
      <w:bookmarkStart w:id="13" w:name="_Toc3941"/>
      <w:bookmarkStart w:id="14" w:name="_Toc298099244"/>
      <w:bookmarkStart w:id="15" w:name="_Toc298099428"/>
      <w:bookmarkStart w:id="16" w:name="_Toc423448534"/>
      <w:bookmarkStart w:id="17" w:name="_Toc4161"/>
      <w:bookmarkStart w:id="18" w:name="_Toc300324065"/>
      <w:bookmarkStart w:id="19" w:name="_Toc298099133"/>
      <w:bookmarkStart w:id="20" w:name="_Toc30212"/>
      <w:bookmarkStart w:id="21" w:name="_Toc12243"/>
      <w:bookmarkStart w:id="22" w:name="_Toc2761"/>
      <w:r>
        <w:rPr>
          <w:rFonts w:hint="eastAsia" w:ascii="楷体" w:hAnsi="楷体" w:eastAsia="楷体" w:cs="楷体"/>
          <w:b/>
          <w:bCs/>
          <w:sz w:val="32"/>
          <w:szCs w:val="32"/>
          <w:highlight w:val="none"/>
        </w:rPr>
        <w:t>1.2技术应答要求</w:t>
      </w:r>
      <w:bookmarkEnd w:id="13"/>
      <w:bookmarkEnd w:id="14"/>
      <w:bookmarkEnd w:id="15"/>
      <w:bookmarkEnd w:id="16"/>
      <w:bookmarkEnd w:id="17"/>
      <w:bookmarkEnd w:id="18"/>
      <w:bookmarkEnd w:id="19"/>
      <w:bookmarkEnd w:id="20"/>
      <w:bookmarkEnd w:id="21"/>
      <w:bookmarkEnd w:id="22"/>
    </w:p>
    <w:p>
      <w:pPr>
        <w:spacing w:line="36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1.2.1本技术规范书提出的是最基本的技术要求，并未对所有技术细节作出规定, 也未完全充分引述有关标准和规范的条文。本技术规范书所使用的标准如遇与投标方所执行的标准不一致时, 按较高标准执行。</w:t>
      </w:r>
    </w:p>
    <w:p>
      <w:pPr>
        <w:spacing w:line="36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1.2.2对本技术规范书中</w:t>
      </w:r>
      <w:r>
        <w:rPr>
          <w:rFonts w:hint="eastAsia" w:ascii="仿宋_GB2312" w:hAnsi="仿宋_GB2312" w:eastAsia="仿宋_GB2312" w:cs="仿宋_GB2312"/>
          <w:sz w:val="32"/>
          <w:szCs w:val="32"/>
          <w:highlight w:val="none"/>
          <w:lang w:val="en-US" w:eastAsia="zh-CN"/>
        </w:rPr>
        <w:t>规定</w:t>
      </w:r>
      <w:r>
        <w:rPr>
          <w:rFonts w:hint="eastAsia" w:ascii="仿宋_GB2312" w:hAnsi="仿宋_GB2312" w:eastAsia="仿宋_GB2312" w:cs="仿宋_GB2312"/>
          <w:sz w:val="32"/>
          <w:szCs w:val="32"/>
          <w:highlight w:val="none"/>
        </w:rPr>
        <w:t>的技术指标要求，应说明</w:t>
      </w:r>
      <w:r>
        <w:rPr>
          <w:rFonts w:hint="eastAsia" w:ascii="仿宋_GB2312" w:hAnsi="仿宋_GB2312" w:eastAsia="仿宋_GB2312" w:cs="仿宋_GB2312"/>
          <w:sz w:val="32"/>
          <w:szCs w:val="32"/>
          <w:highlight w:val="none"/>
          <w:lang w:val="en-US" w:eastAsia="zh-CN"/>
        </w:rPr>
        <w:t>是</w:t>
      </w:r>
      <w:r>
        <w:rPr>
          <w:rFonts w:hint="eastAsia" w:ascii="仿宋_GB2312" w:hAnsi="仿宋_GB2312" w:eastAsia="仿宋_GB2312" w:cs="仿宋_GB2312"/>
          <w:sz w:val="32"/>
          <w:szCs w:val="32"/>
          <w:highlight w:val="none"/>
        </w:rPr>
        <w:t>否满足以及满足的指标值。</w:t>
      </w:r>
    </w:p>
    <w:p>
      <w:pPr>
        <w:jc w:val="center"/>
        <w:outlineLvl w:val="0"/>
        <w:rPr>
          <w:rFonts w:hint="eastAsia" w:ascii="仿宋_GB2312" w:hAnsi="仿宋_GB2312" w:eastAsia="仿宋_GB2312" w:cs="仿宋_GB2312"/>
          <w:b/>
          <w:bCs/>
          <w:kern w:val="2"/>
          <w:sz w:val="32"/>
          <w:szCs w:val="32"/>
          <w:highlight w:val="none"/>
          <w:lang w:val="en-US" w:eastAsia="zh-CN" w:bidi="ar-SA"/>
        </w:rPr>
      </w:pPr>
      <w:bookmarkStart w:id="23" w:name="_Toc27467_WPSOffice_Level1"/>
      <w:bookmarkStart w:id="24" w:name="_Toc16090"/>
      <w:r>
        <w:rPr>
          <w:rFonts w:hint="eastAsia" w:ascii="仿宋_GB2312" w:hAnsi="仿宋_GB2312" w:eastAsia="仿宋_GB2312" w:cs="仿宋_GB2312"/>
          <w:b/>
          <w:bCs/>
          <w:kern w:val="2"/>
          <w:sz w:val="32"/>
          <w:szCs w:val="32"/>
          <w:highlight w:val="none"/>
          <w:lang w:val="en-US" w:eastAsia="zh-CN" w:bidi="ar-SA"/>
        </w:rPr>
        <w:t>第二部分 技术规范</w:t>
      </w:r>
      <w:bookmarkEnd w:id="23"/>
      <w:bookmarkEnd w:id="24"/>
    </w:p>
    <w:p>
      <w:pPr>
        <w:pStyle w:val="4"/>
        <w:spacing w:before="0" w:after="0" w:line="360" w:lineRule="auto"/>
        <w:ind w:left="567" w:hanging="567"/>
        <w:outlineLvl w:val="1"/>
        <w:rPr>
          <w:rFonts w:hint="eastAsia" w:ascii="楷体" w:hAnsi="楷体" w:eastAsia="楷体" w:cs="楷体"/>
          <w:b/>
          <w:bCs/>
          <w:sz w:val="32"/>
          <w:szCs w:val="32"/>
          <w:highlight w:val="none"/>
        </w:rPr>
      </w:pPr>
      <w:bookmarkStart w:id="25" w:name="_Toc11089"/>
      <w:bookmarkStart w:id="26" w:name="_Toc8849_WPSOffice_Level2"/>
      <w:r>
        <w:rPr>
          <w:rFonts w:hint="eastAsia" w:ascii="楷体" w:hAnsi="楷体" w:eastAsia="楷体" w:cs="楷体"/>
          <w:b/>
          <w:bCs/>
          <w:sz w:val="32"/>
          <w:szCs w:val="32"/>
          <w:highlight w:val="none"/>
        </w:rPr>
        <w:t>1.1</w:t>
      </w:r>
      <w:r>
        <w:rPr>
          <w:rFonts w:hint="eastAsia" w:ascii="楷体" w:hAnsi="楷体" w:eastAsia="楷体" w:cs="楷体"/>
          <w:b/>
          <w:bCs/>
          <w:sz w:val="32"/>
          <w:szCs w:val="32"/>
          <w:highlight w:val="none"/>
          <w:lang w:val="en-US" w:eastAsia="zh-CN"/>
        </w:rPr>
        <w:t>实施</w:t>
      </w:r>
      <w:r>
        <w:rPr>
          <w:rFonts w:hint="eastAsia" w:ascii="楷体" w:hAnsi="楷体" w:eastAsia="楷体" w:cs="楷体"/>
          <w:b/>
          <w:bCs/>
          <w:sz w:val="32"/>
          <w:szCs w:val="32"/>
          <w:highlight w:val="none"/>
        </w:rPr>
        <w:t>背景</w:t>
      </w:r>
      <w:bookmarkEnd w:id="25"/>
    </w:p>
    <w:p>
      <w:pPr>
        <w:pStyle w:val="4"/>
        <w:spacing w:before="0" w:after="0" w:line="360" w:lineRule="auto"/>
        <w:ind w:left="567" w:hanging="567"/>
        <w:rPr>
          <w:rFonts w:hint="eastAsia" w:ascii="仿宋_GB2312" w:hAnsi="仿宋_GB2312" w:eastAsia="仿宋_GB2312" w:cs="仿宋_GB2312"/>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　</w:t>
      </w:r>
      <w:r>
        <w:rPr>
          <w:rFonts w:hint="eastAsia" w:ascii="仿宋_GB2312" w:hAnsi="仿宋_GB2312" w:eastAsia="仿宋_GB2312" w:cs="仿宋_GB2312"/>
          <w:b w:val="0"/>
          <w:bCs w:val="0"/>
          <w:kern w:val="2"/>
          <w:sz w:val="32"/>
          <w:szCs w:val="32"/>
          <w:highlight w:val="none"/>
          <w:lang w:val="en-US" w:eastAsia="zh-CN" w:bidi="ar-SA"/>
        </w:rPr>
        <w:t>　</w:t>
      </w:r>
      <w:bookmarkStart w:id="27" w:name="_Toc24533"/>
      <w:r>
        <w:rPr>
          <w:rFonts w:hint="eastAsia" w:ascii="仿宋_GB2312" w:hAnsi="仿宋_GB2312" w:eastAsia="仿宋_GB2312" w:cs="仿宋_GB2312"/>
          <w:b w:val="0"/>
          <w:bCs w:val="0"/>
          <w:kern w:val="2"/>
          <w:sz w:val="32"/>
          <w:szCs w:val="32"/>
          <w:highlight w:val="none"/>
          <w:lang w:val="en-US" w:eastAsia="zh-CN" w:bidi="ar-SA"/>
        </w:rPr>
        <w:t>按照中国南方电网有限责任公司《电力应急电源装备测</w:t>
      </w:r>
      <w:bookmarkEnd w:id="27"/>
    </w:p>
    <w:p>
      <w:pPr>
        <w:pStyle w:val="4"/>
        <w:spacing w:before="0" w:after="0" w:line="360" w:lineRule="auto"/>
        <w:ind w:left="567" w:hanging="567"/>
        <w:rPr>
          <w:rFonts w:hint="eastAsia" w:ascii="仿宋_GB2312" w:hAnsi="仿宋_GB2312" w:eastAsia="仿宋_GB2312" w:cs="仿宋_GB2312"/>
          <w:b w:val="0"/>
          <w:bCs w:val="0"/>
          <w:kern w:val="2"/>
          <w:sz w:val="32"/>
          <w:szCs w:val="32"/>
          <w:highlight w:val="none"/>
          <w:lang w:val="en-US" w:eastAsia="zh-CN" w:bidi="ar-SA"/>
        </w:rPr>
      </w:pPr>
      <w:bookmarkStart w:id="28" w:name="_Toc21823"/>
      <w:r>
        <w:rPr>
          <w:rFonts w:hint="eastAsia" w:ascii="仿宋_GB2312" w:hAnsi="仿宋_GB2312" w:eastAsia="仿宋_GB2312" w:cs="仿宋_GB2312"/>
          <w:b w:val="0"/>
          <w:bCs w:val="0"/>
          <w:kern w:val="2"/>
          <w:sz w:val="32"/>
          <w:szCs w:val="32"/>
          <w:highlight w:val="none"/>
          <w:lang w:val="en-US" w:eastAsia="zh-CN" w:bidi="ar-SA"/>
        </w:rPr>
        <w:t>试导则（试行）》（Q/CSG1207003-2020）、应急专业2022</w:t>
      </w:r>
    </w:p>
    <w:p>
      <w:pPr>
        <w:pStyle w:val="4"/>
        <w:spacing w:before="0" w:after="0" w:line="360" w:lineRule="auto"/>
        <w:ind w:left="567" w:hanging="567"/>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年</w:t>
      </w:r>
      <w:bookmarkEnd w:id="28"/>
      <w:bookmarkStart w:id="29" w:name="_Toc31246"/>
      <w:r>
        <w:rPr>
          <w:rFonts w:hint="eastAsia" w:ascii="仿宋_GB2312" w:hAnsi="仿宋_GB2312" w:eastAsia="仿宋_GB2312" w:cs="仿宋_GB2312"/>
          <w:b w:val="0"/>
          <w:bCs w:val="0"/>
          <w:kern w:val="2"/>
          <w:sz w:val="32"/>
          <w:szCs w:val="32"/>
          <w:highlight w:val="none"/>
          <w:lang w:val="en-US" w:eastAsia="zh-CN" w:bidi="ar-SA"/>
        </w:rPr>
        <w:t>重点工作就要求 “规范开展重要应急装备检测试验和运</w:t>
      </w:r>
    </w:p>
    <w:p>
      <w:pPr>
        <w:pStyle w:val="4"/>
        <w:spacing w:before="0" w:after="0" w:line="360" w:lineRule="auto"/>
        <w:ind w:left="567" w:hanging="567"/>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行</w:t>
      </w:r>
      <w:bookmarkEnd w:id="29"/>
      <w:r>
        <w:rPr>
          <w:rFonts w:hint="eastAsia" w:ascii="仿宋_GB2312" w:hAnsi="仿宋_GB2312" w:eastAsia="仿宋_GB2312" w:cs="仿宋_GB2312"/>
          <w:b w:val="0"/>
          <w:bCs w:val="0"/>
          <w:kern w:val="2"/>
          <w:sz w:val="32"/>
          <w:szCs w:val="32"/>
          <w:highlight w:val="none"/>
          <w:lang w:val="en-US" w:eastAsia="zh-CN" w:bidi="ar-SA"/>
        </w:rPr>
        <w:t>维护，实现公司系统应急装备应检必检。”的要求，明确</w:t>
      </w:r>
    </w:p>
    <w:p>
      <w:pPr>
        <w:pStyle w:val="4"/>
        <w:spacing w:before="0" w:after="0" w:line="360" w:lineRule="auto"/>
        <w:ind w:left="567" w:hanging="567"/>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应急发电机的测试项目，提升应急电源装备的管理水平。推</w:t>
      </w:r>
    </w:p>
    <w:p>
      <w:pPr>
        <w:pStyle w:val="4"/>
        <w:spacing w:before="0" w:after="0" w:line="360" w:lineRule="auto"/>
        <w:ind w:left="567" w:hanging="567"/>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进电力应急装备标准化建设，提高保山供电局电力应急综合</w:t>
      </w:r>
    </w:p>
    <w:p>
      <w:pPr>
        <w:pStyle w:val="4"/>
        <w:spacing w:before="0" w:after="0" w:line="360" w:lineRule="auto"/>
        <w:ind w:left="567" w:hanging="567"/>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保障能力。</w:t>
      </w:r>
    </w:p>
    <w:p>
      <w:pPr>
        <w:pStyle w:val="4"/>
        <w:spacing w:before="0" w:after="0" w:line="360" w:lineRule="auto"/>
        <w:ind w:left="567" w:hanging="567"/>
        <w:outlineLvl w:val="1"/>
        <w:rPr>
          <w:rFonts w:hint="eastAsia" w:ascii="楷体" w:hAnsi="楷体" w:eastAsia="楷体" w:cs="楷体"/>
          <w:b/>
          <w:bCs/>
          <w:sz w:val="32"/>
          <w:szCs w:val="32"/>
          <w:highlight w:val="none"/>
        </w:rPr>
      </w:pPr>
      <w:bookmarkStart w:id="30" w:name="_Toc684"/>
      <w:r>
        <w:rPr>
          <w:rFonts w:hint="eastAsia" w:ascii="楷体" w:hAnsi="楷体" w:eastAsia="楷体" w:cs="楷体"/>
          <w:b/>
          <w:bCs/>
          <w:sz w:val="32"/>
          <w:szCs w:val="32"/>
          <w:highlight w:val="none"/>
        </w:rPr>
        <w:t>1.2技术服务范围</w:t>
      </w:r>
      <w:bookmarkEnd w:id="26"/>
      <w:bookmarkEnd w:id="30"/>
    </w:p>
    <w:p>
      <w:pPr>
        <w:pStyle w:val="4"/>
        <w:spacing w:before="0" w:after="0" w:line="360" w:lineRule="auto"/>
        <w:ind w:left="567" w:hanging="567"/>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　　</w:t>
      </w:r>
      <w:bookmarkStart w:id="31" w:name="_Toc12574"/>
      <w:r>
        <w:rPr>
          <w:rFonts w:hint="eastAsia" w:ascii="仿宋_GB2312" w:hAnsi="仿宋_GB2312" w:eastAsia="仿宋_GB2312" w:cs="仿宋_GB2312"/>
          <w:b w:val="0"/>
          <w:bCs w:val="0"/>
          <w:kern w:val="2"/>
          <w:sz w:val="32"/>
          <w:szCs w:val="32"/>
          <w:highlight w:val="none"/>
          <w:lang w:val="en-US" w:eastAsia="zh-CN" w:bidi="ar-SA"/>
        </w:rPr>
        <w:t>保山供电局2024年26台应急发电机检测。</w:t>
      </w:r>
      <w:bookmarkEnd w:id="31"/>
      <w:bookmarkStart w:id="32" w:name="_Toc25594_WPSOffice_Level2"/>
    </w:p>
    <w:tbl>
      <w:tblPr>
        <w:tblStyle w:val="13"/>
        <w:tblW w:w="85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38"/>
        <w:gridCol w:w="1227"/>
        <w:gridCol w:w="1291"/>
        <w:gridCol w:w="1773"/>
        <w:gridCol w:w="1407"/>
        <w:gridCol w:w="884"/>
        <w:gridCol w:w="668"/>
        <w:gridCol w:w="7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5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sz w:val="21"/>
                <w:szCs w:val="21"/>
                <w:highlight w:val="none"/>
                <w:u w:val="none"/>
              </w:rPr>
            </w:pPr>
            <w:r>
              <w:rPr>
                <w:rFonts w:hint="eastAsia" w:asciiTheme="minorEastAsia" w:hAnsiTheme="minorEastAsia" w:eastAsiaTheme="minorEastAsia" w:cstheme="minorEastAsia"/>
                <w:b w:val="0"/>
                <w:bCs w:val="0"/>
                <w:i w:val="0"/>
                <w:iCs w:val="0"/>
                <w:color w:val="000000"/>
                <w:kern w:val="0"/>
                <w:sz w:val="21"/>
                <w:szCs w:val="21"/>
                <w:highlight w:val="none"/>
                <w:u w:val="none"/>
                <w:lang w:val="en-US" w:eastAsia="zh-CN" w:bidi="ar"/>
              </w:rPr>
              <w:t>序号</w:t>
            </w:r>
          </w:p>
        </w:tc>
        <w:tc>
          <w:tcPr>
            <w:tcW w:w="251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sz w:val="21"/>
                <w:szCs w:val="21"/>
                <w:highlight w:val="none"/>
                <w:u w:val="none"/>
              </w:rPr>
            </w:pPr>
            <w:r>
              <w:rPr>
                <w:rFonts w:hint="eastAsia" w:asciiTheme="minorEastAsia" w:hAnsiTheme="minorEastAsia" w:eastAsiaTheme="minorEastAsia" w:cstheme="minorEastAsia"/>
                <w:b w:val="0"/>
                <w:bCs w:val="0"/>
                <w:i w:val="0"/>
                <w:iCs w:val="0"/>
                <w:color w:val="000000"/>
                <w:kern w:val="0"/>
                <w:sz w:val="21"/>
                <w:szCs w:val="21"/>
                <w:highlight w:val="none"/>
                <w:u w:val="none"/>
                <w:lang w:val="en-US" w:eastAsia="zh-CN" w:bidi="ar"/>
              </w:rPr>
              <w:t>分类</w:t>
            </w:r>
          </w:p>
        </w:tc>
        <w:tc>
          <w:tcPr>
            <w:tcW w:w="17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sz w:val="21"/>
                <w:szCs w:val="21"/>
                <w:highlight w:val="none"/>
                <w:u w:val="none"/>
              </w:rPr>
            </w:pPr>
            <w:r>
              <w:rPr>
                <w:rFonts w:hint="eastAsia" w:asciiTheme="minorEastAsia" w:hAnsiTheme="minorEastAsia" w:eastAsiaTheme="minorEastAsia" w:cstheme="minorEastAsia"/>
                <w:b w:val="0"/>
                <w:bCs w:val="0"/>
                <w:i w:val="0"/>
                <w:iCs w:val="0"/>
                <w:color w:val="000000"/>
                <w:kern w:val="0"/>
                <w:sz w:val="21"/>
                <w:szCs w:val="21"/>
                <w:highlight w:val="none"/>
                <w:u w:val="none"/>
                <w:lang w:val="en-US" w:eastAsia="zh-CN" w:bidi="ar"/>
              </w:rPr>
              <w:t>规格型号</w:t>
            </w:r>
          </w:p>
        </w:tc>
        <w:tc>
          <w:tcPr>
            <w:tcW w:w="14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sz w:val="21"/>
                <w:szCs w:val="21"/>
                <w:highlight w:val="none"/>
                <w:u w:val="none"/>
              </w:rPr>
            </w:pPr>
            <w:r>
              <w:rPr>
                <w:rFonts w:hint="eastAsia" w:asciiTheme="minorEastAsia" w:hAnsiTheme="minorEastAsia" w:eastAsiaTheme="minorEastAsia" w:cstheme="minorEastAsia"/>
                <w:b w:val="0"/>
                <w:bCs w:val="0"/>
                <w:i w:val="0"/>
                <w:iCs w:val="0"/>
                <w:color w:val="000000"/>
                <w:kern w:val="0"/>
                <w:sz w:val="21"/>
                <w:szCs w:val="21"/>
                <w:highlight w:val="none"/>
                <w:u w:val="none"/>
                <w:lang w:val="en-US" w:eastAsia="zh-CN" w:bidi="ar"/>
              </w:rPr>
              <w:t>存放地点</w:t>
            </w:r>
          </w:p>
        </w:tc>
        <w:tc>
          <w:tcPr>
            <w:tcW w:w="8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sz w:val="21"/>
                <w:szCs w:val="21"/>
                <w:highlight w:val="none"/>
                <w:u w:val="none"/>
              </w:rPr>
            </w:pPr>
            <w:r>
              <w:rPr>
                <w:rFonts w:hint="eastAsia" w:asciiTheme="minorEastAsia" w:hAnsiTheme="minorEastAsia" w:eastAsiaTheme="minorEastAsia" w:cstheme="minorEastAsia"/>
                <w:b w:val="0"/>
                <w:bCs w:val="0"/>
                <w:i w:val="0"/>
                <w:iCs w:val="0"/>
                <w:color w:val="000000"/>
                <w:kern w:val="0"/>
                <w:sz w:val="21"/>
                <w:szCs w:val="21"/>
                <w:highlight w:val="none"/>
                <w:u w:val="none"/>
                <w:lang w:val="en-US" w:eastAsia="zh-CN" w:bidi="ar"/>
              </w:rPr>
              <w:t>数量</w:t>
            </w:r>
          </w:p>
        </w:tc>
        <w:tc>
          <w:tcPr>
            <w:tcW w:w="6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sz w:val="21"/>
                <w:szCs w:val="21"/>
                <w:highlight w:val="none"/>
                <w:u w:val="none"/>
              </w:rPr>
            </w:pPr>
            <w:r>
              <w:rPr>
                <w:rFonts w:hint="eastAsia" w:asciiTheme="minorEastAsia" w:hAnsiTheme="minorEastAsia" w:eastAsiaTheme="minorEastAsia" w:cstheme="minorEastAsia"/>
                <w:b w:val="0"/>
                <w:bCs w:val="0"/>
                <w:i w:val="0"/>
                <w:iCs w:val="0"/>
                <w:color w:val="000000"/>
                <w:kern w:val="0"/>
                <w:sz w:val="21"/>
                <w:szCs w:val="21"/>
                <w:highlight w:val="none"/>
                <w:u w:val="none"/>
                <w:lang w:val="en-US" w:eastAsia="zh-CN" w:bidi="ar"/>
              </w:rPr>
              <w:t>单位</w:t>
            </w:r>
          </w:p>
        </w:tc>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sz w:val="21"/>
                <w:szCs w:val="21"/>
                <w:highlight w:val="none"/>
                <w:u w:val="none"/>
              </w:rPr>
            </w:pPr>
            <w:r>
              <w:rPr>
                <w:rFonts w:hint="eastAsia" w:asciiTheme="minorEastAsia" w:hAnsiTheme="minorEastAsia" w:eastAsiaTheme="minorEastAsia" w:cstheme="minorEastAsia"/>
                <w:b w:val="0"/>
                <w:bCs w:val="0"/>
                <w:i w:val="0"/>
                <w:iCs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jc w:val="center"/>
        </w:trPr>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b w:val="0"/>
                <w:bCs w:val="0"/>
                <w:i w:val="0"/>
                <w:iCs w:val="0"/>
                <w:color w:val="000000"/>
                <w:sz w:val="21"/>
                <w:szCs w:val="21"/>
                <w:highlight w:val="none"/>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sz w:val="21"/>
                <w:szCs w:val="21"/>
                <w:highlight w:val="none"/>
                <w:u w:val="none"/>
              </w:rPr>
            </w:pPr>
            <w:r>
              <w:rPr>
                <w:rFonts w:hint="eastAsia" w:asciiTheme="minorEastAsia" w:hAnsiTheme="minorEastAsia" w:eastAsiaTheme="minorEastAsia" w:cstheme="minorEastAsia"/>
                <w:b w:val="0"/>
                <w:bCs w:val="0"/>
                <w:i w:val="0"/>
                <w:iCs w:val="0"/>
                <w:color w:val="000000"/>
                <w:kern w:val="0"/>
                <w:sz w:val="21"/>
                <w:szCs w:val="21"/>
                <w:highlight w:val="none"/>
                <w:u w:val="none"/>
                <w:lang w:val="en-US" w:eastAsia="zh-CN" w:bidi="ar"/>
              </w:rPr>
              <w:t>类别</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sz w:val="21"/>
                <w:szCs w:val="21"/>
                <w:highlight w:val="none"/>
                <w:u w:val="none"/>
              </w:rPr>
            </w:pPr>
            <w:r>
              <w:rPr>
                <w:rFonts w:hint="eastAsia" w:asciiTheme="minorEastAsia" w:hAnsiTheme="minorEastAsia" w:eastAsiaTheme="minorEastAsia" w:cstheme="minorEastAsia"/>
                <w:b w:val="0"/>
                <w:bCs w:val="0"/>
                <w:i w:val="0"/>
                <w:iCs w:val="0"/>
                <w:color w:val="000000"/>
                <w:kern w:val="0"/>
                <w:sz w:val="21"/>
                <w:szCs w:val="21"/>
                <w:highlight w:val="none"/>
                <w:u w:val="none"/>
                <w:lang w:val="en-US" w:eastAsia="zh-CN" w:bidi="ar"/>
              </w:rPr>
              <w:t>名称</w:t>
            </w:r>
          </w:p>
        </w:tc>
        <w:tc>
          <w:tcPr>
            <w:tcW w:w="17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b/>
                <w:bCs/>
                <w:i w:val="0"/>
                <w:iCs w:val="0"/>
                <w:color w:val="000000"/>
                <w:sz w:val="21"/>
                <w:szCs w:val="21"/>
                <w:highlight w:val="none"/>
                <w:u w:val="none"/>
              </w:rPr>
            </w:pPr>
          </w:p>
        </w:tc>
        <w:tc>
          <w:tcPr>
            <w:tcW w:w="14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b/>
                <w:bCs/>
                <w:i w:val="0"/>
                <w:iCs w:val="0"/>
                <w:color w:val="000000"/>
                <w:sz w:val="21"/>
                <w:szCs w:val="21"/>
                <w:highlight w:val="none"/>
                <w:u w:val="none"/>
              </w:rPr>
            </w:pPr>
          </w:p>
        </w:tc>
        <w:tc>
          <w:tcPr>
            <w:tcW w:w="8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b/>
                <w:bCs/>
                <w:i w:val="0"/>
                <w:iCs w:val="0"/>
                <w:color w:val="000000"/>
                <w:sz w:val="21"/>
                <w:szCs w:val="21"/>
                <w:highlight w:val="none"/>
                <w:u w:val="none"/>
              </w:rPr>
            </w:pPr>
          </w:p>
        </w:tc>
        <w:tc>
          <w:tcPr>
            <w:tcW w:w="6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b/>
                <w:bCs/>
                <w:i w:val="0"/>
                <w:iCs w:val="0"/>
                <w:color w:val="000000"/>
                <w:sz w:val="21"/>
                <w:szCs w:val="21"/>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b/>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电源装备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个人背负式发电机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G770i-700W</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局仓库一楼急救包2号仓库</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电源装备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个人背负式发电机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GMD6106-700W</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局输电管理所工器具仓库</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照明装备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高杆灯</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海洋王EC2500CX-2000W</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局仓库一楼急救包2号仓库</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4</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照明装备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高杆灯</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海洋王EG6500CX-5000W</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局仓库一楼急救包2号仓库</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5</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照明装备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移动照明登塔</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GMD6800-5000W</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局仓库一楼</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6</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照明装备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移动照明登塔</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SZSW2970</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局仓库一楼</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7</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电源装备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充电方舱</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SEPRI-DY01</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局仓库一楼</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8</w:t>
            </w:r>
          </w:p>
        </w:tc>
        <w:tc>
          <w:tcPr>
            <w:tcW w:w="1227"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工程装备</w:t>
            </w:r>
          </w:p>
        </w:tc>
        <w:tc>
          <w:tcPr>
            <w:tcW w:w="1291"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自装卸式抽水机</w:t>
            </w:r>
          </w:p>
        </w:tc>
        <w:tc>
          <w:tcPr>
            <w:tcW w:w="1773"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GMD6700</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局仓库一楼</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9</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电源装备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自装卸式发电机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SEPRI-DY01</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220kV朝阳变电站</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电源装备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自装卸式发电机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SEPRI-DY01</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220kV黄龙变电站</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11</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电源装备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自装卸式发电机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SEPRI-DY01</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220kV腾冲变电站</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12</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电源装备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自装卸式发电机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SEPRI-DY01</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220kV昌宁变电站</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13</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电源装备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自装卸式发电机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SEPRI-DY01</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220kV王家山变电站</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14</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电源装备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自装卸式发电机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GMD6400</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220kV施甸变电站</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15</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电源装备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自装卸式发电机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GMD6400</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500kV兰城变电站</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16</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电源装备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自装卸式发电机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GMD6400</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220kV保山变电站</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17</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电源装备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自装卸式发电机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GMD6400</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220kV大寨变电站</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18</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照明装备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高杆灯</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SFW6110B-2000W</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220kV朝阳变电站</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19</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照明装备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高杆灯</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SFW6110B-2000W</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220kV黄龙变电站</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照明装备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高杆灯</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EAHC-1166676-2000W</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220kV腾冲变电站</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21</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照明装备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高杆灯</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SFW6110B-2000W</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220kV昌宁变电站</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22</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照明装备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高杆灯</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SFW6110B-2000W</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220kV施甸变电站</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台</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1"/>
                <w:szCs w:val="21"/>
                <w:highlight w:val="none"/>
                <w:u w:val="none"/>
              </w:rPr>
            </w:pPr>
          </w:p>
        </w:tc>
      </w:tr>
    </w:tbl>
    <w:p>
      <w:pPr>
        <w:rPr>
          <w:rFonts w:hint="eastAsia"/>
          <w:highlight w:val="none"/>
          <w:lang w:val="en-US" w:eastAsia="zh-CN"/>
        </w:rPr>
      </w:pPr>
    </w:p>
    <w:p>
      <w:pPr>
        <w:bidi w:val="0"/>
        <w:outlineLvl w:val="1"/>
        <w:rPr>
          <w:rFonts w:hint="eastAsia" w:ascii="楷体" w:hAnsi="楷体" w:eastAsia="楷体" w:cs="楷体"/>
          <w:b/>
          <w:bCs/>
          <w:kern w:val="2"/>
          <w:sz w:val="32"/>
          <w:szCs w:val="32"/>
          <w:highlight w:val="none"/>
          <w:lang w:val="en-US" w:eastAsia="zh-CN" w:bidi="ar-SA"/>
        </w:rPr>
      </w:pPr>
      <w:bookmarkStart w:id="33" w:name="_Toc1177"/>
      <w:r>
        <w:rPr>
          <w:rFonts w:hint="eastAsia" w:ascii="楷体" w:hAnsi="楷体" w:eastAsia="楷体" w:cs="楷体"/>
          <w:b/>
          <w:bCs/>
          <w:sz w:val="32"/>
          <w:szCs w:val="32"/>
          <w:highlight w:val="none"/>
        </w:rPr>
        <w:t>1.</w:t>
      </w:r>
      <w:r>
        <w:rPr>
          <w:rFonts w:hint="eastAsia" w:ascii="楷体" w:hAnsi="楷体" w:eastAsia="楷体" w:cs="楷体"/>
          <w:b/>
          <w:bCs/>
          <w:sz w:val="32"/>
          <w:szCs w:val="32"/>
          <w:highlight w:val="none"/>
          <w:lang w:val="en-US" w:eastAsia="zh-CN"/>
        </w:rPr>
        <w:t>3</w:t>
      </w:r>
      <w:r>
        <w:rPr>
          <w:rFonts w:hint="eastAsia" w:ascii="楷体" w:hAnsi="楷体" w:eastAsia="楷体" w:cs="楷体"/>
          <w:b/>
          <w:bCs/>
          <w:kern w:val="2"/>
          <w:sz w:val="32"/>
          <w:szCs w:val="32"/>
          <w:highlight w:val="none"/>
          <w:lang w:val="en-US" w:eastAsia="zh-CN" w:bidi="ar-SA"/>
        </w:rPr>
        <w:t>服务地点</w:t>
      </w:r>
      <w:bookmarkEnd w:id="32"/>
      <w:bookmarkEnd w:id="33"/>
    </w:p>
    <w:p>
      <w:pPr>
        <w:spacing w:line="36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云南省</w:t>
      </w:r>
      <w:r>
        <w:rPr>
          <w:rFonts w:hint="eastAsia" w:ascii="仿宋_GB2312" w:hAnsi="仿宋_GB2312" w:eastAsia="仿宋_GB2312" w:cs="仿宋_GB2312"/>
          <w:sz w:val="32"/>
          <w:szCs w:val="32"/>
          <w:highlight w:val="none"/>
          <w:lang w:val="en-US" w:eastAsia="zh-CN"/>
        </w:rPr>
        <w:t>保山</w:t>
      </w:r>
      <w:r>
        <w:rPr>
          <w:rFonts w:hint="eastAsia" w:ascii="仿宋_GB2312" w:hAnsi="仿宋_GB2312" w:eastAsia="仿宋_GB2312" w:cs="仿宋_GB2312"/>
          <w:sz w:val="32"/>
          <w:szCs w:val="32"/>
          <w:highlight w:val="none"/>
        </w:rPr>
        <w:t>市。</w:t>
      </w:r>
    </w:p>
    <w:p>
      <w:pPr>
        <w:pStyle w:val="4"/>
        <w:spacing w:before="0" w:after="0" w:line="360" w:lineRule="auto"/>
        <w:ind w:left="567" w:hanging="567"/>
        <w:outlineLvl w:val="1"/>
        <w:rPr>
          <w:rFonts w:hint="eastAsia" w:ascii="楷体" w:hAnsi="楷体" w:eastAsia="楷体" w:cs="楷体"/>
          <w:b/>
          <w:bCs/>
          <w:kern w:val="2"/>
          <w:sz w:val="32"/>
          <w:szCs w:val="32"/>
          <w:highlight w:val="none"/>
          <w:lang w:val="en-US" w:eastAsia="zh-CN" w:bidi="ar-SA"/>
        </w:rPr>
      </w:pPr>
      <w:bookmarkStart w:id="34" w:name="_Toc27712_WPSOffice_Level2"/>
      <w:bookmarkStart w:id="35" w:name="_Toc1700"/>
      <w:r>
        <w:rPr>
          <w:rFonts w:hint="eastAsia" w:ascii="楷体" w:hAnsi="楷体" w:eastAsia="楷体" w:cs="楷体"/>
          <w:b/>
          <w:bCs/>
          <w:kern w:val="2"/>
          <w:sz w:val="32"/>
          <w:szCs w:val="32"/>
          <w:highlight w:val="none"/>
          <w:lang w:val="en-US" w:eastAsia="zh-CN" w:bidi="ar-SA"/>
        </w:rPr>
        <w:t>1.4服务工期</w:t>
      </w:r>
      <w:bookmarkEnd w:id="34"/>
      <w:bookmarkEnd w:id="35"/>
    </w:p>
    <w:p>
      <w:pPr>
        <w:spacing w:line="360" w:lineRule="auto"/>
        <w:ind w:firstLine="640" w:firstLineChars="20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自合同签订之日起至</w:t>
      </w:r>
      <w:r>
        <w:rPr>
          <w:rFonts w:hint="eastAsia" w:ascii="仿宋_GB2312" w:hAnsi="仿宋_GB2312" w:eastAsia="仿宋_GB2312" w:cs="仿宋_GB2312"/>
          <w:sz w:val="32"/>
          <w:szCs w:val="32"/>
          <w:highlight w:val="none"/>
        </w:rPr>
        <w:t>202</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年1</w:t>
      </w:r>
      <w:r>
        <w:rPr>
          <w:rFonts w:hint="eastAsia" w:ascii="仿宋_GB2312" w:hAnsi="仿宋_GB2312" w:eastAsia="仿宋_GB2312" w:cs="仿宋_GB2312"/>
          <w:sz w:val="32"/>
          <w:szCs w:val="32"/>
          <w:highlight w:val="none"/>
          <w:lang w:val="en-US" w:eastAsia="zh-CN"/>
        </w:rPr>
        <w:t>0</w:t>
      </w:r>
      <w:r>
        <w:rPr>
          <w:rFonts w:hint="eastAsia" w:ascii="仿宋_GB2312" w:hAnsi="仿宋_GB2312" w:eastAsia="仿宋_GB2312" w:cs="仿宋_GB2312"/>
          <w:sz w:val="32"/>
          <w:szCs w:val="32"/>
          <w:highlight w:val="none"/>
        </w:rPr>
        <w:t>月31日</w:t>
      </w:r>
      <w:r>
        <w:rPr>
          <w:rFonts w:hint="eastAsia" w:ascii="仿宋_GB2312" w:hAnsi="仿宋_GB2312" w:eastAsia="仿宋_GB2312" w:cs="仿宋_GB2312"/>
          <w:sz w:val="32"/>
          <w:szCs w:val="32"/>
          <w:highlight w:val="none"/>
          <w:lang w:eastAsia="zh-CN"/>
        </w:rPr>
        <w:t>。</w:t>
      </w:r>
    </w:p>
    <w:p>
      <w:pPr>
        <w:pStyle w:val="4"/>
        <w:spacing w:before="0" w:after="0" w:line="360" w:lineRule="auto"/>
        <w:ind w:left="567" w:hanging="567"/>
        <w:outlineLvl w:val="1"/>
        <w:rPr>
          <w:rFonts w:hint="eastAsia" w:ascii="楷体" w:hAnsi="楷体" w:eastAsia="楷体" w:cs="楷体"/>
          <w:b/>
          <w:bCs/>
          <w:kern w:val="2"/>
          <w:sz w:val="32"/>
          <w:szCs w:val="32"/>
          <w:highlight w:val="none"/>
          <w:lang w:val="en-US" w:eastAsia="zh-CN" w:bidi="ar-SA"/>
        </w:rPr>
      </w:pPr>
      <w:bookmarkStart w:id="36" w:name="_Toc65"/>
      <w:bookmarkStart w:id="37" w:name="_Toc10079_WPSOffice_Level2"/>
      <w:r>
        <w:rPr>
          <w:rFonts w:hint="eastAsia" w:ascii="楷体" w:hAnsi="楷体" w:eastAsia="楷体" w:cs="楷体"/>
          <w:b/>
          <w:bCs/>
          <w:kern w:val="2"/>
          <w:sz w:val="32"/>
          <w:szCs w:val="32"/>
          <w:highlight w:val="none"/>
          <w:lang w:val="en-US" w:eastAsia="zh-CN" w:bidi="ar-SA"/>
        </w:rPr>
        <w:t>1.5技术服务内容</w:t>
      </w:r>
      <w:bookmarkEnd w:id="36"/>
      <w:bookmarkEnd w:id="37"/>
    </w:p>
    <w:p>
      <w:pPr>
        <w:rPr>
          <w:rFonts w:hint="eastAsia" w:ascii="楷体" w:hAnsi="楷体" w:eastAsia="楷体" w:cs="楷体"/>
          <w:b/>
          <w:bCs/>
          <w:kern w:val="2"/>
          <w:sz w:val="32"/>
          <w:szCs w:val="32"/>
          <w:highlight w:val="none"/>
          <w:lang w:val="en-US" w:eastAsia="zh-CN" w:bidi="ar-SA"/>
        </w:rPr>
      </w:pPr>
    </w:p>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bl>
      <w:tblPr>
        <w:tblStyle w:val="14"/>
        <w:tblW w:w="8463" w:type="dxa"/>
        <w:tblInd w:w="-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
        <w:gridCol w:w="662"/>
        <w:gridCol w:w="947"/>
        <w:gridCol w:w="1663"/>
        <w:gridCol w:w="1591"/>
        <w:gridCol w:w="1573"/>
        <w:gridCol w:w="14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564" w:type="dxa"/>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序号</w:t>
            </w:r>
          </w:p>
        </w:tc>
        <w:tc>
          <w:tcPr>
            <w:tcW w:w="662" w:type="dxa"/>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检查项目</w:t>
            </w:r>
          </w:p>
        </w:tc>
        <w:tc>
          <w:tcPr>
            <w:tcW w:w="7237" w:type="dxa"/>
            <w:gridSpan w:val="5"/>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564" w:type="dxa"/>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1</w:t>
            </w:r>
          </w:p>
        </w:tc>
        <w:tc>
          <w:tcPr>
            <w:tcW w:w="662" w:type="dxa"/>
            <w:vMerge w:val="restart"/>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一般检查</w:t>
            </w:r>
          </w:p>
        </w:tc>
        <w:tc>
          <w:tcPr>
            <w:tcW w:w="7237" w:type="dxa"/>
            <w:gridSpan w:val="5"/>
          </w:tcPr>
          <w:p>
            <w:pPr>
              <w:jc w:val="left"/>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外观应有防腐、防锈处理。涂漆部分漆膜均匀，无明显裂纹、脱落、划伤等现象</w:t>
            </w:r>
            <w:r>
              <w:rPr>
                <w:rFonts w:hint="eastAsia" w:asciiTheme="minorEastAsia" w:hAnsiTheme="minorEastAsia" w:cstheme="minorEastAsia"/>
                <w:b w:val="0"/>
                <w:bCs w:val="0"/>
                <w:sz w:val="21"/>
                <w:szCs w:val="21"/>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64" w:type="dxa"/>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2</w:t>
            </w:r>
          </w:p>
        </w:tc>
        <w:tc>
          <w:tcPr>
            <w:tcW w:w="662" w:type="dxa"/>
            <w:vMerge w:val="continue"/>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7237" w:type="dxa"/>
            <w:gridSpan w:val="5"/>
          </w:tcPr>
          <w:p>
            <w:pPr>
              <w:jc w:val="left"/>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焊缝均匀，无焊穿、咬边、夹渣、气孔等缺陷</w:t>
            </w:r>
            <w:r>
              <w:rPr>
                <w:rFonts w:hint="eastAsia" w:asciiTheme="minorEastAsia" w:hAnsiTheme="minorEastAsia" w:cstheme="minorEastAsia"/>
                <w:b w:val="0"/>
                <w:bCs w:val="0"/>
                <w:sz w:val="21"/>
                <w:szCs w:val="21"/>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dxa"/>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3</w:t>
            </w:r>
          </w:p>
        </w:tc>
        <w:tc>
          <w:tcPr>
            <w:tcW w:w="662" w:type="dxa"/>
            <w:vMerge w:val="continue"/>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7237" w:type="dxa"/>
            <w:gridSpan w:val="5"/>
          </w:tcPr>
          <w:p>
            <w:pPr>
              <w:jc w:val="left"/>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紧固件应无松动，并标记迟缓线，铆接应牢固</w:t>
            </w:r>
            <w:r>
              <w:rPr>
                <w:rFonts w:hint="eastAsia" w:asciiTheme="minorEastAsia" w:hAnsiTheme="minorEastAsia" w:cstheme="minorEastAsia"/>
                <w:b w:val="0"/>
                <w:bCs w:val="0"/>
                <w:sz w:val="21"/>
                <w:szCs w:val="21"/>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dxa"/>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4</w:t>
            </w:r>
          </w:p>
        </w:tc>
        <w:tc>
          <w:tcPr>
            <w:tcW w:w="662" w:type="dxa"/>
            <w:vMerge w:val="continue"/>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7237" w:type="dxa"/>
            <w:gridSpan w:val="5"/>
          </w:tcPr>
          <w:p>
            <w:pPr>
              <w:jc w:val="left"/>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门锁应灵活可靠，不得自动脱落或开启</w:t>
            </w:r>
            <w:r>
              <w:rPr>
                <w:rFonts w:hint="eastAsia" w:asciiTheme="minorEastAsia" w:hAnsiTheme="minorEastAsia" w:cstheme="minorEastAsia"/>
                <w:b w:val="0"/>
                <w:bCs w:val="0"/>
                <w:sz w:val="21"/>
                <w:szCs w:val="21"/>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dxa"/>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5</w:t>
            </w:r>
          </w:p>
        </w:tc>
        <w:tc>
          <w:tcPr>
            <w:tcW w:w="662" w:type="dxa"/>
            <w:vMerge w:val="continue"/>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7237" w:type="dxa"/>
            <w:gridSpan w:val="5"/>
          </w:tcPr>
          <w:p>
            <w:pPr>
              <w:jc w:val="left"/>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运动件布置及防护应确保正常使用时不对人员造成伤害，防护罩、防护屏等应有足够的强度，且只有用工具才能拆除</w:t>
            </w:r>
            <w:r>
              <w:rPr>
                <w:rFonts w:hint="eastAsia" w:asciiTheme="minorEastAsia" w:hAnsiTheme="minorEastAsia" w:cstheme="minorEastAsia"/>
                <w:b w:val="0"/>
                <w:bCs w:val="0"/>
                <w:sz w:val="21"/>
                <w:szCs w:val="21"/>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dxa"/>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6</w:t>
            </w:r>
          </w:p>
        </w:tc>
        <w:tc>
          <w:tcPr>
            <w:tcW w:w="662" w:type="dxa"/>
            <w:vMerge w:val="continue"/>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7237" w:type="dxa"/>
            <w:gridSpan w:val="5"/>
          </w:tcPr>
          <w:p>
            <w:pPr>
              <w:jc w:val="left"/>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排烟系统应做绝热处理，其余正常操作时易触碰的高温部件应安装防护装置</w:t>
            </w:r>
            <w:r>
              <w:rPr>
                <w:rFonts w:hint="eastAsia" w:asciiTheme="minorEastAsia" w:hAnsiTheme="minorEastAsia" w:cstheme="minorEastAsia"/>
                <w:b w:val="0"/>
                <w:bCs w:val="0"/>
                <w:sz w:val="21"/>
                <w:szCs w:val="21"/>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dxa"/>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7</w:t>
            </w:r>
          </w:p>
        </w:tc>
        <w:tc>
          <w:tcPr>
            <w:tcW w:w="662" w:type="dxa"/>
            <w:vMerge w:val="continue"/>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7237" w:type="dxa"/>
            <w:gridSpan w:val="5"/>
          </w:tcPr>
          <w:p>
            <w:pPr>
              <w:jc w:val="left"/>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发电机组裸露在外的排烟管,应采取必要的防雨装置</w:t>
            </w:r>
            <w:r>
              <w:rPr>
                <w:rFonts w:hint="eastAsia" w:asciiTheme="minorEastAsia" w:hAnsiTheme="minorEastAsia" w:cstheme="minorEastAsia"/>
                <w:b w:val="0"/>
                <w:bCs w:val="0"/>
                <w:sz w:val="21"/>
                <w:szCs w:val="21"/>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dxa"/>
            <w:tcBorders>
              <w:bottom w:val="single" w:color="auto" w:sz="4" w:space="0"/>
            </w:tcBorders>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8</w:t>
            </w:r>
          </w:p>
        </w:tc>
        <w:tc>
          <w:tcPr>
            <w:tcW w:w="662" w:type="dxa"/>
            <w:vMerge w:val="continue"/>
            <w:tcBorders>
              <w:bottom w:val="single" w:color="auto" w:sz="4" w:space="0"/>
            </w:tcBorders>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7237" w:type="dxa"/>
            <w:gridSpan w:val="5"/>
            <w:tcBorders>
              <w:bottom w:val="single" w:color="auto" w:sz="4" w:space="0"/>
            </w:tcBorders>
          </w:tcPr>
          <w:p>
            <w:pPr>
              <w:jc w:val="left"/>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 xml:space="preserve">固定式装备应采用螺栓、焊接等固定安装方式，安装时应采取减震措施 </w:t>
            </w:r>
            <w:r>
              <w:rPr>
                <w:rFonts w:hint="eastAsia" w:asciiTheme="minorEastAsia" w:hAnsiTheme="minorEastAsia" w:cstheme="minorEastAsia"/>
                <w:b w:val="0"/>
                <w:bCs w:val="0"/>
                <w:sz w:val="21"/>
                <w:szCs w:val="21"/>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trPr>
        <w:tc>
          <w:tcPr>
            <w:tcW w:w="564" w:type="dxa"/>
            <w:vMerge w:val="restart"/>
            <w:tcBorders>
              <w:top w:val="single" w:color="auto" w:sz="4" w:space="0"/>
              <w:left w:val="single" w:color="auto" w:sz="4" w:space="0"/>
              <w:bottom w:val="single" w:color="auto" w:sz="4" w:space="0"/>
            </w:tcBorders>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cstheme="minorEastAsia"/>
                <w:b w:val="0"/>
                <w:bCs w:val="0"/>
                <w:sz w:val="21"/>
                <w:szCs w:val="21"/>
                <w:highlight w:val="none"/>
                <w:vertAlign w:val="baseline"/>
                <w:lang w:val="en-US" w:eastAsia="zh-CN"/>
              </w:rPr>
              <w:t>9</w:t>
            </w:r>
          </w:p>
        </w:tc>
        <w:tc>
          <w:tcPr>
            <w:tcW w:w="662" w:type="dxa"/>
            <w:vMerge w:val="restart"/>
            <w:tcBorders>
              <w:top w:val="single" w:color="auto" w:sz="4" w:space="0"/>
            </w:tcBorders>
            <w:vAlign w:val="center"/>
          </w:tcPr>
          <w:p>
            <w:pPr>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bCs w:val="0"/>
                <w:sz w:val="21"/>
                <w:szCs w:val="21"/>
                <w:highlight w:val="none"/>
                <w:vertAlign w:val="baseline"/>
                <w:lang w:val="en-US" w:eastAsia="zh-CN"/>
              </w:rPr>
              <w:t>试验</w:t>
            </w:r>
            <w:r>
              <w:rPr>
                <w:rFonts w:hint="eastAsia" w:asciiTheme="minorEastAsia" w:hAnsiTheme="minorEastAsia" w:cstheme="minorEastAsia"/>
                <w:b w:val="0"/>
                <w:bCs w:val="0"/>
                <w:sz w:val="21"/>
                <w:szCs w:val="21"/>
                <w:highlight w:val="none"/>
                <w:vertAlign w:val="baseline"/>
                <w:lang w:val="en-US" w:eastAsia="zh-CN"/>
              </w:rPr>
              <w:t>内容</w:t>
            </w:r>
          </w:p>
        </w:tc>
        <w:tc>
          <w:tcPr>
            <w:tcW w:w="947" w:type="dxa"/>
            <w:tcBorders>
              <w:top w:val="single" w:color="auto" w:sz="4" w:space="0"/>
              <w:bottom w:val="single" w:color="auto" w:sz="4" w:space="0"/>
            </w:tcBorders>
            <w:vAlign w:val="center"/>
          </w:tcPr>
          <w:p>
            <w:pPr>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lang w:val="en-US" w:eastAsia="zh-CN"/>
              </w:rPr>
              <w:t>绝缘电阻</w:t>
            </w:r>
          </w:p>
        </w:tc>
        <w:tc>
          <w:tcPr>
            <w:tcW w:w="6290" w:type="dxa"/>
            <w:gridSpan w:val="4"/>
            <w:tcBorders>
              <w:top w:val="single" w:color="auto" w:sz="4" w:space="0"/>
              <w:bottom w:val="single" w:color="auto" w:sz="4" w:space="0"/>
              <w:right w:val="single" w:color="auto" w:sz="4" w:space="0"/>
            </w:tcBorders>
          </w:tcPr>
          <w:p>
            <w:pPr>
              <w:jc w:val="left"/>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应急电源装备电力供电设备各独立电气回路对地及回路间的绝缘电阻应符合表2的要求, 试验电压应按表</w:t>
            </w:r>
            <w:r>
              <w:rPr>
                <w:rFonts w:hint="eastAsia" w:asciiTheme="minorEastAsia" w:hAnsiTheme="minorEastAsia" w:cstheme="minorEastAsia"/>
                <w:color w:val="000000"/>
                <w:sz w:val="21"/>
                <w:szCs w:val="21"/>
                <w:highlight w:val="none"/>
                <w:lang w:val="en-US" w:eastAsia="zh-CN"/>
              </w:rPr>
              <w:t>1</w:t>
            </w:r>
            <w:r>
              <w:rPr>
                <w:rFonts w:hint="eastAsia" w:asciiTheme="minorEastAsia" w:hAnsiTheme="minorEastAsia" w:eastAsiaTheme="minorEastAsia" w:cstheme="minorEastAsia"/>
                <w:color w:val="000000"/>
                <w:sz w:val="21"/>
                <w:szCs w:val="21"/>
                <w:highlight w:val="none"/>
                <w:lang w:val="en-US" w:eastAsia="zh-CN"/>
              </w:rPr>
              <w:t>规定，试验时间不小于10s。</w:t>
            </w:r>
          </w:p>
          <w:p>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表</w:t>
            </w:r>
            <w:r>
              <w:rPr>
                <w:rFonts w:hint="eastAsia" w:asciiTheme="minorEastAsia" w:hAnsiTheme="minorEastAsia" w:cstheme="minorEastAsia"/>
                <w:color w:val="000000"/>
                <w:sz w:val="21"/>
                <w:szCs w:val="21"/>
                <w:highlight w:val="none"/>
                <w:lang w:val="en-US" w:eastAsia="zh-CN"/>
              </w:rPr>
              <w:t>1</w:t>
            </w:r>
            <w:r>
              <w:rPr>
                <w:rFonts w:hint="eastAsia" w:asciiTheme="minorEastAsia" w:hAnsiTheme="minorEastAsia" w:eastAsiaTheme="minorEastAsia" w:cstheme="minorEastAsia"/>
                <w:color w:val="000000"/>
                <w:sz w:val="21"/>
                <w:szCs w:val="21"/>
                <w:highlight w:val="none"/>
                <w:lang w:val="en-US" w:eastAsia="zh-CN"/>
              </w:rPr>
              <w:t>绝缘电阻</w:t>
            </w:r>
          </w:p>
          <w:tbl>
            <w:tblPr>
              <w:tblStyle w:val="13"/>
              <w:tblpPr w:leftFromText="180" w:rightFromText="180" w:vertAnchor="text" w:horzAnchor="page" w:tblpX="243" w:tblpY="221"/>
              <w:tblOverlap w:val="never"/>
              <w:tblW w:w="5983"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1636"/>
              <w:gridCol w:w="1420"/>
              <w:gridCol w:w="1522"/>
              <w:gridCol w:w="14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458" w:hRule="atLeast"/>
                <w:tblCellSpacing w:w="0" w:type="dxa"/>
              </w:trPr>
              <w:tc>
                <w:tcPr>
                  <w:tcW w:w="1636" w:type="dxa"/>
                  <w:vMerge w:val="restart"/>
                  <w:tcBorders>
                    <w:tl2br w:val="nil"/>
                    <w:tr2bl w:val="nil"/>
                  </w:tcBorders>
                  <w:shd w:val="clear" w:color="auto" w:fill="auto"/>
                  <w:tcMar>
                    <w:left w:w="108" w:type="dxa"/>
                    <w:right w:w="108" w:type="dxa"/>
                  </w:tcMar>
                  <w:vAlign w:val="center"/>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被测回路额定电压Ue（V）</w:t>
                  </w:r>
                </w:p>
              </w:tc>
              <w:tc>
                <w:tcPr>
                  <w:tcW w:w="1420" w:type="dxa"/>
                  <w:vMerge w:val="restart"/>
                  <w:tcBorders>
                    <w:tl2br w:val="nil"/>
                    <w:tr2bl w:val="nil"/>
                  </w:tcBorders>
                  <w:shd w:val="clear" w:color="auto" w:fill="auto"/>
                  <w:tcMar>
                    <w:left w:w="108" w:type="dxa"/>
                    <w:right w:w="108" w:type="dxa"/>
                  </w:tcMar>
                  <w:vAlign w:val="center"/>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试验电压（V）</w:t>
                  </w:r>
                </w:p>
              </w:tc>
              <w:tc>
                <w:tcPr>
                  <w:tcW w:w="2927" w:type="dxa"/>
                  <w:gridSpan w:val="2"/>
                  <w:tcBorders>
                    <w:tl2br w:val="nil"/>
                    <w:tr2bl w:val="nil"/>
                  </w:tcBorders>
                  <w:shd w:val="clear" w:color="auto" w:fill="auto"/>
                  <w:tcMar>
                    <w:left w:w="108" w:type="dxa"/>
                    <w:right w:w="108" w:type="dxa"/>
                  </w:tcMar>
                  <w:vAlign w:val="center"/>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绝缘电阻（MΩ）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35" w:hRule="atLeast"/>
                <w:tblCellSpacing w:w="0" w:type="dxa"/>
              </w:trPr>
              <w:tc>
                <w:tcPr>
                  <w:tcW w:w="1636" w:type="dxa"/>
                  <w:vMerge w:val="continue"/>
                  <w:tcBorders>
                    <w:tl2br w:val="nil"/>
                    <w:tr2bl w:val="nil"/>
                  </w:tcBorders>
                  <w:shd w:val="clear" w:color="auto" w:fill="auto"/>
                  <w:tcMar>
                    <w:left w:w="108" w:type="dxa"/>
                    <w:right w:w="108" w:type="dxa"/>
                  </w:tcMar>
                  <w:vAlign w:val="center"/>
                </w:tcPr>
                <w:p>
                  <w:pPr>
                    <w:rPr>
                      <w:rFonts w:hint="eastAsia" w:asciiTheme="minorEastAsia" w:hAnsiTheme="minorEastAsia" w:eastAsiaTheme="minorEastAsia" w:cstheme="minorEastAsia"/>
                      <w:b w:val="0"/>
                      <w:bCs w:val="0"/>
                      <w:sz w:val="21"/>
                      <w:szCs w:val="21"/>
                      <w:highlight w:val="none"/>
                    </w:rPr>
                  </w:pPr>
                </w:p>
              </w:tc>
              <w:tc>
                <w:tcPr>
                  <w:tcW w:w="1420" w:type="dxa"/>
                  <w:vMerge w:val="continue"/>
                  <w:tcBorders>
                    <w:tl2br w:val="nil"/>
                    <w:tr2bl w:val="nil"/>
                  </w:tcBorders>
                  <w:shd w:val="clear" w:color="auto" w:fill="auto"/>
                  <w:tcMar>
                    <w:left w:w="108" w:type="dxa"/>
                    <w:right w:w="108" w:type="dxa"/>
                  </w:tcMar>
                  <w:vAlign w:val="center"/>
                </w:tcPr>
                <w:p>
                  <w:pPr>
                    <w:rPr>
                      <w:rFonts w:hint="eastAsia" w:asciiTheme="minorEastAsia" w:hAnsiTheme="minorEastAsia" w:eastAsiaTheme="minorEastAsia" w:cstheme="minorEastAsia"/>
                      <w:b w:val="0"/>
                      <w:bCs w:val="0"/>
                      <w:sz w:val="21"/>
                      <w:szCs w:val="21"/>
                      <w:highlight w:val="none"/>
                    </w:rPr>
                  </w:pPr>
                </w:p>
              </w:tc>
              <w:tc>
                <w:tcPr>
                  <w:tcW w:w="1522" w:type="dxa"/>
                  <w:tcBorders>
                    <w:tl2br w:val="nil"/>
                    <w:tr2bl w:val="nil"/>
                  </w:tcBorders>
                  <w:shd w:val="clear" w:color="auto" w:fill="auto"/>
                  <w:tcMar>
                    <w:left w:w="108" w:type="dxa"/>
                    <w:right w:w="108" w:type="dxa"/>
                  </w:tcMar>
                  <w:vAlign w:val="center"/>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冷态a</w:t>
                  </w:r>
                </w:p>
              </w:tc>
              <w:tc>
                <w:tcPr>
                  <w:tcW w:w="1405" w:type="dxa"/>
                  <w:tcBorders>
                    <w:tl2br w:val="nil"/>
                    <w:tr2bl w:val="nil"/>
                  </w:tcBorders>
                  <w:shd w:val="clear" w:color="auto" w:fill="auto"/>
                  <w:tcMar>
                    <w:left w:w="108" w:type="dxa"/>
                    <w:right w:w="108" w:type="dxa"/>
                  </w:tcMar>
                  <w:vAlign w:val="center"/>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热态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67" w:hRule="atLeast"/>
                <w:tblCellSpacing w:w="0" w:type="dxa"/>
              </w:trPr>
              <w:tc>
                <w:tcPr>
                  <w:tcW w:w="1636" w:type="dxa"/>
                  <w:tcBorders>
                    <w:tl2br w:val="nil"/>
                    <w:tr2bl w:val="nil"/>
                  </w:tcBorders>
                  <w:shd w:val="clear" w:color="auto" w:fill="auto"/>
                  <w:tcMar>
                    <w:left w:w="108" w:type="dxa"/>
                    <w:right w:w="108" w:type="dxa"/>
                  </w:tcMar>
                  <w:vAlign w:val="center"/>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Ur＜100</w:t>
                  </w:r>
                </w:p>
              </w:tc>
              <w:tc>
                <w:tcPr>
                  <w:tcW w:w="1420" w:type="dxa"/>
                  <w:tcBorders>
                    <w:tl2br w:val="nil"/>
                    <w:tr2bl w:val="nil"/>
                  </w:tcBorders>
                  <w:shd w:val="clear" w:color="auto" w:fill="auto"/>
                  <w:tcMar>
                    <w:left w:w="108" w:type="dxa"/>
                    <w:right w:w="108" w:type="dxa"/>
                  </w:tcMar>
                  <w:vAlign w:val="center"/>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250</w:t>
                  </w:r>
                </w:p>
              </w:tc>
              <w:tc>
                <w:tcPr>
                  <w:tcW w:w="1522" w:type="dxa"/>
                  <w:vMerge w:val="restart"/>
                  <w:tcBorders>
                    <w:tl2br w:val="nil"/>
                    <w:tr2bl w:val="nil"/>
                  </w:tcBorders>
                  <w:shd w:val="clear" w:color="auto" w:fill="auto"/>
                  <w:tcMar>
                    <w:left w:w="108" w:type="dxa"/>
                    <w:right w:w="108" w:type="dxa"/>
                  </w:tcMar>
                  <w:vAlign w:val="center"/>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≥10</w:t>
                  </w:r>
                </w:p>
              </w:tc>
              <w:tc>
                <w:tcPr>
                  <w:tcW w:w="1405" w:type="dxa"/>
                  <w:vMerge w:val="restart"/>
                  <w:tcBorders>
                    <w:tl2br w:val="nil"/>
                    <w:tr2bl w:val="nil"/>
                  </w:tcBorders>
                  <w:shd w:val="clear" w:color="auto" w:fill="auto"/>
                  <w:tcMar>
                    <w:left w:w="108" w:type="dxa"/>
                    <w:right w:w="108" w:type="dxa"/>
                  </w:tcMar>
                  <w:vAlign w:val="center"/>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67" w:hRule="atLeast"/>
                <w:tblCellSpacing w:w="0" w:type="dxa"/>
              </w:trPr>
              <w:tc>
                <w:tcPr>
                  <w:tcW w:w="1636" w:type="dxa"/>
                  <w:tcBorders>
                    <w:tl2br w:val="nil"/>
                    <w:tr2bl w:val="nil"/>
                  </w:tcBorders>
                  <w:shd w:val="clear" w:color="auto" w:fill="auto"/>
                  <w:tcMar>
                    <w:left w:w="108" w:type="dxa"/>
                    <w:right w:w="108" w:type="dxa"/>
                  </w:tcMar>
                  <w:vAlign w:val="center"/>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100≤Ur＜500</w:t>
                  </w:r>
                </w:p>
              </w:tc>
              <w:tc>
                <w:tcPr>
                  <w:tcW w:w="1420" w:type="dxa"/>
                  <w:tcBorders>
                    <w:tl2br w:val="nil"/>
                    <w:tr2bl w:val="nil"/>
                  </w:tcBorders>
                  <w:shd w:val="clear" w:color="auto" w:fill="auto"/>
                  <w:tcMar>
                    <w:left w:w="108" w:type="dxa"/>
                    <w:right w:w="108" w:type="dxa"/>
                  </w:tcMar>
                  <w:vAlign w:val="center"/>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500</w:t>
                  </w:r>
                </w:p>
              </w:tc>
              <w:tc>
                <w:tcPr>
                  <w:tcW w:w="1522" w:type="dxa"/>
                  <w:vMerge w:val="continue"/>
                  <w:tcBorders>
                    <w:tl2br w:val="nil"/>
                    <w:tr2bl w:val="nil"/>
                  </w:tcBorders>
                  <w:shd w:val="clear" w:color="auto" w:fill="auto"/>
                  <w:tcMar>
                    <w:left w:w="108" w:type="dxa"/>
                    <w:right w:w="108" w:type="dxa"/>
                  </w:tcMar>
                  <w:vAlign w:val="center"/>
                </w:tcPr>
                <w:p>
                  <w:pPr>
                    <w:rPr>
                      <w:rFonts w:hint="eastAsia" w:asciiTheme="minorEastAsia" w:hAnsiTheme="minorEastAsia" w:eastAsiaTheme="minorEastAsia" w:cstheme="minorEastAsia"/>
                      <w:b w:val="0"/>
                      <w:bCs w:val="0"/>
                      <w:sz w:val="21"/>
                      <w:szCs w:val="21"/>
                      <w:highlight w:val="none"/>
                    </w:rPr>
                  </w:pPr>
                </w:p>
              </w:tc>
              <w:tc>
                <w:tcPr>
                  <w:tcW w:w="1405" w:type="dxa"/>
                  <w:vMerge w:val="continue"/>
                  <w:tcBorders>
                    <w:tl2br w:val="nil"/>
                    <w:tr2bl w:val="nil"/>
                  </w:tcBorders>
                  <w:shd w:val="clear" w:color="auto" w:fill="auto"/>
                  <w:tcMar>
                    <w:left w:w="108" w:type="dxa"/>
                    <w:right w:w="108" w:type="dxa"/>
                  </w:tcMar>
                  <w:vAlign w:val="center"/>
                </w:tcPr>
                <w:p>
                  <w:pPr>
                    <w:rPr>
                      <w:rFonts w:hint="eastAsia" w:asciiTheme="minorEastAsia" w:hAnsiTheme="minorEastAsia" w:eastAsiaTheme="minorEastAsia" w:cstheme="minorEastAsia"/>
                      <w:b w:val="0"/>
                      <w:bCs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5" w:hRule="atLeast"/>
                <w:tblCellSpacing w:w="0" w:type="dxa"/>
              </w:trPr>
              <w:tc>
                <w:tcPr>
                  <w:tcW w:w="5983" w:type="dxa"/>
                  <w:gridSpan w:val="4"/>
                  <w:tcBorders>
                    <w:tl2br w:val="nil"/>
                    <w:tr2bl w:val="nil"/>
                  </w:tcBorders>
                  <w:shd w:val="clear" w:color="auto" w:fill="auto"/>
                  <w:tcMar>
                    <w:left w:w="108" w:type="dxa"/>
                    <w:right w:w="108" w:type="dxa"/>
                  </w:tcMar>
                  <w:vAlign w:val="top"/>
                </w:tcPr>
                <w:p>
                  <w:pPr>
                    <w:pStyle w:val="11"/>
                    <w:keepNext w:val="0"/>
                    <w:keepLines w:val="0"/>
                    <w:widowControl/>
                    <w:suppressLineNumbers w:val="0"/>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a环境温度为15℃~35℃、空气相对湿度为45%~75%。</w:t>
                  </w:r>
                </w:p>
              </w:tc>
            </w:tr>
          </w:tbl>
          <w:p>
            <w:pPr>
              <w:spacing w:line="360" w:lineRule="auto"/>
              <w:jc w:val="both"/>
              <w:rPr>
                <w:rFonts w:hint="eastAsia" w:asciiTheme="minorEastAsia" w:hAnsiTheme="minorEastAsia" w:eastAsiaTheme="minorEastAsia" w:cstheme="minorEastAsia"/>
                <w:color w:val="00000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dxa"/>
            <w:vMerge w:val="continue"/>
            <w:tcBorders>
              <w:top w:val="single" w:color="auto" w:sz="4" w:space="0"/>
              <w:left w:val="single" w:color="auto" w:sz="4" w:space="0"/>
            </w:tcBorders>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662" w:type="dxa"/>
            <w:vMerge w:val="continue"/>
            <w:tcBorders>
              <w:top w:val="single" w:color="auto" w:sz="4" w:space="0"/>
            </w:tcBorders>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947" w:type="dxa"/>
            <w:tcBorders>
              <w:top w:val="single" w:color="auto" w:sz="4" w:space="0"/>
            </w:tcBorders>
            <w:vAlign w:val="center"/>
          </w:tcPr>
          <w:p>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介电强度</w:t>
            </w:r>
          </w:p>
        </w:tc>
        <w:tc>
          <w:tcPr>
            <w:tcW w:w="6290" w:type="dxa"/>
            <w:gridSpan w:val="4"/>
            <w:tcBorders>
              <w:top w:val="single" w:color="auto" w:sz="4" w:space="0"/>
              <w:right w:val="single" w:color="auto" w:sz="4" w:space="0"/>
            </w:tcBorders>
            <w:vAlign w:val="center"/>
          </w:tcPr>
          <w:p>
            <w:pPr>
              <w:jc w:val="left"/>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应急电源装备电力供电设备各独立电气回路对地应承受表</w:t>
            </w:r>
            <w:r>
              <w:rPr>
                <w:rFonts w:hint="eastAsia" w:asciiTheme="minorEastAsia" w:hAnsiTheme="minorEastAsia" w:cstheme="minorEastAsia"/>
                <w:color w:val="000000"/>
                <w:sz w:val="21"/>
                <w:szCs w:val="21"/>
                <w:highlight w:val="none"/>
                <w:lang w:val="en-US" w:eastAsia="zh-CN"/>
              </w:rPr>
              <w:t>2</w:t>
            </w:r>
            <w:r>
              <w:rPr>
                <w:rFonts w:hint="eastAsia" w:asciiTheme="minorEastAsia" w:hAnsiTheme="minorEastAsia" w:eastAsiaTheme="minorEastAsia" w:cstheme="minorEastAsia"/>
                <w:color w:val="000000"/>
                <w:sz w:val="21"/>
                <w:szCs w:val="21"/>
                <w:highlight w:val="none"/>
                <w:lang w:val="en-US" w:eastAsia="zh-CN"/>
              </w:rPr>
              <w:t>规定的试验电压，历时1min；试验时，应急电源装备泄漏电流值不应大于100mA，试验过程中不应出现绝缘击穿或闪络现象。</w:t>
            </w:r>
          </w:p>
          <w:p>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表</w:t>
            </w:r>
            <w:r>
              <w:rPr>
                <w:rFonts w:hint="eastAsia" w:asciiTheme="minorEastAsia" w:hAnsiTheme="minorEastAsia" w:cstheme="minorEastAsia"/>
                <w:color w:val="000000"/>
                <w:sz w:val="21"/>
                <w:szCs w:val="21"/>
                <w:highlight w:val="none"/>
                <w:lang w:val="en-US" w:eastAsia="zh-CN"/>
              </w:rPr>
              <w:t>2</w:t>
            </w:r>
            <w:r>
              <w:rPr>
                <w:rFonts w:hint="eastAsia" w:asciiTheme="minorEastAsia" w:hAnsiTheme="minorEastAsia" w:eastAsiaTheme="minorEastAsia" w:cstheme="minorEastAsia"/>
                <w:color w:val="000000"/>
                <w:sz w:val="21"/>
                <w:szCs w:val="21"/>
                <w:highlight w:val="none"/>
                <w:lang w:val="en-US" w:eastAsia="zh-CN"/>
              </w:rPr>
              <w:t>介电强度</w:t>
            </w:r>
          </w:p>
          <w:tbl>
            <w:tblPr>
              <w:tblStyle w:val="13"/>
              <w:tblpPr w:leftFromText="180" w:rightFromText="180" w:vertAnchor="text" w:horzAnchor="page" w:tblpX="60" w:tblpY="95"/>
              <w:tblOverlap w:val="never"/>
              <w:tblW w:w="6191"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2111"/>
              <w:gridCol w:w="1998"/>
              <w:gridCol w:w="2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76" w:hRule="atLeast"/>
                <w:tblCellSpacing w:w="0" w:type="dxa"/>
              </w:trPr>
              <w:tc>
                <w:tcPr>
                  <w:tcW w:w="2111" w:type="dxa"/>
                  <w:shd w:val="clear" w:color="auto" w:fill="auto"/>
                  <w:tcMar>
                    <w:left w:w="108" w:type="dxa"/>
                    <w:right w:w="108" w:type="dxa"/>
                  </w:tcMar>
                  <w:vAlign w:val="center"/>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被测回路额定电压</w:t>
                  </w:r>
                  <w:r>
                    <w:rPr>
                      <w:rFonts w:hint="eastAsia" w:asciiTheme="minorEastAsia" w:hAnsiTheme="minorEastAsia" w:eastAsiaTheme="minorEastAsia" w:cstheme="minorEastAsia"/>
                      <w:b w:val="0"/>
                      <w:bCs w:val="0"/>
                      <w:i/>
                      <w:iCs/>
                      <w:color w:val="000000"/>
                      <w:sz w:val="21"/>
                      <w:szCs w:val="21"/>
                      <w:highlight w:val="none"/>
                    </w:rPr>
                    <w:t>Ue</w:t>
                  </w:r>
                  <w:r>
                    <w:rPr>
                      <w:rFonts w:hint="eastAsia" w:asciiTheme="minorEastAsia" w:hAnsiTheme="minorEastAsia" w:eastAsiaTheme="minorEastAsia" w:cstheme="minorEastAsia"/>
                      <w:b w:val="0"/>
                      <w:bCs w:val="0"/>
                      <w:color w:val="000000"/>
                      <w:sz w:val="21"/>
                      <w:szCs w:val="21"/>
                      <w:highlight w:val="none"/>
                    </w:rPr>
                    <w:t>（V）</w:t>
                  </w:r>
                </w:p>
              </w:tc>
              <w:tc>
                <w:tcPr>
                  <w:tcW w:w="1998" w:type="dxa"/>
                  <w:shd w:val="clear" w:color="auto" w:fill="auto"/>
                  <w:tcMar>
                    <w:left w:w="108" w:type="dxa"/>
                    <w:right w:w="108" w:type="dxa"/>
                  </w:tcMar>
                  <w:vAlign w:val="center"/>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交流试验电压（V）</w:t>
                  </w:r>
                </w:p>
              </w:tc>
              <w:tc>
                <w:tcPr>
                  <w:tcW w:w="2082" w:type="dxa"/>
                  <w:shd w:val="clear" w:color="auto" w:fill="auto"/>
                  <w:tcMar>
                    <w:left w:w="108" w:type="dxa"/>
                    <w:right w:w="108" w:type="dxa"/>
                  </w:tcMar>
                  <w:vAlign w:val="center"/>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直流试验电压（V）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95" w:hRule="atLeast"/>
                <w:tblCellSpacing w:w="0" w:type="dxa"/>
              </w:trPr>
              <w:tc>
                <w:tcPr>
                  <w:tcW w:w="2111" w:type="dxa"/>
                  <w:shd w:val="clear" w:color="auto" w:fill="auto"/>
                  <w:tcMar>
                    <w:left w:w="108" w:type="dxa"/>
                    <w:right w:w="108" w:type="dxa"/>
                  </w:tcMar>
                  <w:vAlign w:val="center"/>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≥100</w:t>
                  </w:r>
                </w:p>
              </w:tc>
              <w:tc>
                <w:tcPr>
                  <w:tcW w:w="1998" w:type="dxa"/>
                  <w:shd w:val="clear" w:color="auto" w:fill="auto"/>
                  <w:tcMar>
                    <w:left w:w="108" w:type="dxa"/>
                    <w:right w:w="108" w:type="dxa"/>
                  </w:tcMar>
                  <w:vAlign w:val="center"/>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1500</w:t>
                  </w:r>
                </w:p>
              </w:tc>
              <w:tc>
                <w:tcPr>
                  <w:tcW w:w="2082" w:type="dxa"/>
                  <w:shd w:val="clear" w:color="auto" w:fill="auto"/>
                  <w:tcMar>
                    <w:left w:w="108" w:type="dxa"/>
                    <w:right w:w="108" w:type="dxa"/>
                  </w:tcMar>
                  <w:vAlign w:val="top"/>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2120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95" w:hRule="atLeast"/>
                <w:tblCellSpacing w:w="0" w:type="dxa"/>
              </w:trPr>
              <w:tc>
                <w:tcPr>
                  <w:tcW w:w="2111" w:type="dxa"/>
                  <w:shd w:val="clear" w:color="auto" w:fill="auto"/>
                  <w:tcMar>
                    <w:left w:w="108" w:type="dxa"/>
                    <w:right w:w="108" w:type="dxa"/>
                  </w:tcMar>
                  <w:vAlign w:val="center"/>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＜100</w:t>
                  </w:r>
                </w:p>
              </w:tc>
              <w:tc>
                <w:tcPr>
                  <w:tcW w:w="1998" w:type="dxa"/>
                  <w:shd w:val="clear" w:color="auto" w:fill="auto"/>
                  <w:tcMar>
                    <w:left w:w="108" w:type="dxa"/>
                    <w:right w:w="108" w:type="dxa"/>
                  </w:tcMar>
                  <w:vAlign w:val="center"/>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750</w:t>
                  </w:r>
                </w:p>
              </w:tc>
              <w:tc>
                <w:tcPr>
                  <w:tcW w:w="2082" w:type="dxa"/>
                  <w:shd w:val="clear" w:color="auto" w:fill="auto"/>
                  <w:tcMar>
                    <w:left w:w="108" w:type="dxa"/>
                    <w:right w:w="108" w:type="dxa"/>
                  </w:tcMar>
                  <w:vAlign w:val="top"/>
                </w:tcPr>
                <w:p>
                  <w:pPr>
                    <w:pStyle w:val="11"/>
                    <w:keepNext w:val="0"/>
                    <w:keepLines w:val="0"/>
                    <w:widowControl/>
                    <w:suppressLineNumbers w:val="0"/>
                    <w:jc w:val="center"/>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rPr>
                    <w:t>1060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1068" w:hRule="atLeast"/>
                <w:tblCellSpacing w:w="0" w:type="dxa"/>
              </w:trPr>
              <w:tc>
                <w:tcPr>
                  <w:tcW w:w="6191" w:type="dxa"/>
                  <w:gridSpan w:val="3"/>
                  <w:shd w:val="clear" w:color="auto" w:fill="auto"/>
                  <w:tcMar>
                    <w:left w:w="108" w:type="dxa"/>
                    <w:right w:w="108" w:type="dxa"/>
                  </w:tcMar>
                  <w:vAlign w:val="top"/>
                </w:tcPr>
                <w:p>
                  <w:pPr>
                    <w:jc w:val="left"/>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注1：发电机组发动机的电气部分，半导体器件及电容器等不做此项试验。</w:t>
                  </w:r>
                </w:p>
                <w:p>
                  <w:pPr>
                    <w:jc w:val="left"/>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注2：直流试验电压仅交流试验电压不适用时使用。</w:t>
                  </w:r>
                </w:p>
              </w:tc>
            </w:tr>
          </w:tbl>
          <w:p>
            <w:pPr>
              <w:jc w:val="both"/>
              <w:rPr>
                <w:rFonts w:hint="eastAsia" w:asciiTheme="minorEastAsia" w:hAnsiTheme="minorEastAsia" w:eastAsiaTheme="minorEastAsia" w:cstheme="minorEastAsia"/>
                <w:color w:val="00000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564" w:type="dxa"/>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1</w:t>
            </w:r>
            <w:r>
              <w:rPr>
                <w:rFonts w:hint="eastAsia" w:asciiTheme="minorEastAsia" w:hAnsiTheme="minorEastAsia" w:cstheme="minorEastAsia"/>
                <w:b w:val="0"/>
                <w:bCs w:val="0"/>
                <w:sz w:val="21"/>
                <w:szCs w:val="21"/>
                <w:highlight w:val="none"/>
                <w:vertAlign w:val="baseline"/>
                <w:lang w:val="en-US" w:eastAsia="zh-CN"/>
              </w:rPr>
              <w:t>0</w:t>
            </w:r>
          </w:p>
        </w:tc>
        <w:tc>
          <w:tcPr>
            <w:tcW w:w="662" w:type="dxa"/>
            <w:vMerge w:val="continue"/>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947" w:type="dxa"/>
            <w:vMerge w:val="restart"/>
            <w:vAlign w:val="center"/>
          </w:tcPr>
          <w:p>
            <w:pPr>
              <w:jc w:val="both"/>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稳态输出性能</w:t>
            </w:r>
          </w:p>
        </w:tc>
        <w:tc>
          <w:tcPr>
            <w:tcW w:w="1663" w:type="dxa"/>
            <w:vAlign w:val="center"/>
          </w:tcPr>
          <w:p>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稳态电压偏差</w:t>
            </w:r>
          </w:p>
        </w:tc>
        <w:tc>
          <w:tcPr>
            <w:tcW w:w="4627" w:type="dxa"/>
            <w:gridSpan w:val="3"/>
            <w:vAlign w:val="center"/>
          </w:tcPr>
          <w:p>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dxa"/>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1</w:t>
            </w:r>
            <w:r>
              <w:rPr>
                <w:rFonts w:hint="eastAsia" w:asciiTheme="minorEastAsia" w:hAnsiTheme="minorEastAsia" w:cstheme="minorEastAsia"/>
                <w:b w:val="0"/>
                <w:bCs w:val="0"/>
                <w:sz w:val="21"/>
                <w:szCs w:val="21"/>
                <w:highlight w:val="none"/>
                <w:vertAlign w:val="baseline"/>
                <w:lang w:val="en-US" w:eastAsia="zh-CN"/>
              </w:rPr>
              <w:t>1</w:t>
            </w:r>
          </w:p>
        </w:tc>
        <w:tc>
          <w:tcPr>
            <w:tcW w:w="662" w:type="dxa"/>
            <w:vMerge w:val="continue"/>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947" w:type="dxa"/>
            <w:vMerge w:val="continue"/>
            <w:vAlign w:val="center"/>
          </w:tcPr>
          <w:p>
            <w:pPr>
              <w:jc w:val="both"/>
              <w:rPr>
                <w:rFonts w:hint="eastAsia" w:asciiTheme="minorEastAsia" w:hAnsiTheme="minorEastAsia" w:eastAsiaTheme="minorEastAsia" w:cstheme="minorEastAsia"/>
                <w:color w:val="000000"/>
                <w:sz w:val="21"/>
                <w:szCs w:val="21"/>
                <w:highlight w:val="none"/>
                <w:lang w:val="en-US" w:eastAsia="zh-CN"/>
              </w:rPr>
            </w:pPr>
          </w:p>
        </w:tc>
        <w:tc>
          <w:tcPr>
            <w:tcW w:w="1663" w:type="dxa"/>
            <w:vAlign w:val="center"/>
          </w:tcPr>
          <w:p>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输出频率偏差（稳态频率带）</w:t>
            </w:r>
          </w:p>
        </w:tc>
        <w:tc>
          <w:tcPr>
            <w:tcW w:w="4627" w:type="dxa"/>
            <w:gridSpan w:val="3"/>
            <w:vAlign w:val="center"/>
          </w:tcPr>
          <w:p>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≤±0.5%（0.5%）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dxa"/>
            <w:vMerge w:val="restart"/>
            <w:vAlign w:val="center"/>
          </w:tcPr>
          <w:p>
            <w:pPr>
              <w:jc w:val="center"/>
              <w:rPr>
                <w:rFonts w:hint="default"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b w:val="0"/>
                <w:bCs w:val="0"/>
                <w:sz w:val="21"/>
                <w:szCs w:val="21"/>
                <w:highlight w:val="none"/>
                <w:vertAlign w:val="baseline"/>
                <w:lang w:val="en-US" w:eastAsia="zh-CN"/>
              </w:rPr>
              <w:t>1</w:t>
            </w:r>
            <w:r>
              <w:rPr>
                <w:rFonts w:hint="eastAsia" w:asciiTheme="minorEastAsia" w:hAnsiTheme="minorEastAsia" w:cstheme="minorEastAsia"/>
                <w:b w:val="0"/>
                <w:bCs w:val="0"/>
                <w:sz w:val="21"/>
                <w:szCs w:val="21"/>
                <w:highlight w:val="none"/>
                <w:vertAlign w:val="baseline"/>
                <w:lang w:val="en-US" w:eastAsia="zh-CN"/>
              </w:rPr>
              <w:t>2</w:t>
            </w:r>
          </w:p>
        </w:tc>
        <w:tc>
          <w:tcPr>
            <w:tcW w:w="662" w:type="dxa"/>
            <w:vMerge w:val="continue"/>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947" w:type="dxa"/>
            <w:vMerge w:val="continue"/>
          </w:tcPr>
          <w:p>
            <w:pPr>
              <w:jc w:val="center"/>
              <w:rPr>
                <w:rFonts w:hint="eastAsia" w:asciiTheme="minorEastAsia" w:hAnsiTheme="minorEastAsia" w:eastAsiaTheme="minorEastAsia" w:cstheme="minorEastAsia"/>
                <w:color w:val="000000"/>
                <w:sz w:val="21"/>
                <w:szCs w:val="21"/>
                <w:highlight w:val="none"/>
                <w:lang w:val="en-US" w:eastAsia="zh-CN"/>
              </w:rPr>
            </w:pPr>
          </w:p>
        </w:tc>
        <w:tc>
          <w:tcPr>
            <w:tcW w:w="1663" w:type="dxa"/>
            <w:vMerge w:val="restart"/>
            <w:vAlign w:val="center"/>
          </w:tcPr>
          <w:p>
            <w:pPr>
              <w:jc w:val="both"/>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输出电压不平衡度</w:t>
            </w:r>
          </w:p>
        </w:tc>
        <w:tc>
          <w:tcPr>
            <w:tcW w:w="1591" w:type="dxa"/>
            <w:vAlign w:val="center"/>
          </w:tcPr>
          <w:p>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发电机组应急电源装备</w:t>
            </w:r>
          </w:p>
        </w:tc>
        <w:tc>
          <w:tcPr>
            <w:tcW w:w="3036" w:type="dxa"/>
            <w:gridSpan w:val="2"/>
            <w:vAlign w:val="center"/>
          </w:tcPr>
          <w:p>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564" w:type="dxa"/>
            <w:vMerge w:val="continue"/>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662" w:type="dxa"/>
            <w:vMerge w:val="continue"/>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947" w:type="dxa"/>
            <w:vMerge w:val="continue"/>
          </w:tcPr>
          <w:p>
            <w:pPr>
              <w:jc w:val="center"/>
              <w:rPr>
                <w:rFonts w:hint="eastAsia" w:asciiTheme="minorEastAsia" w:hAnsiTheme="minorEastAsia" w:eastAsiaTheme="minorEastAsia" w:cstheme="minorEastAsia"/>
                <w:color w:val="000000"/>
                <w:sz w:val="21"/>
                <w:szCs w:val="21"/>
                <w:highlight w:val="none"/>
                <w:lang w:val="en-US" w:eastAsia="zh-CN"/>
              </w:rPr>
            </w:pPr>
          </w:p>
        </w:tc>
        <w:tc>
          <w:tcPr>
            <w:tcW w:w="1663" w:type="dxa"/>
            <w:vMerge w:val="continue"/>
          </w:tcPr>
          <w:p>
            <w:pPr>
              <w:jc w:val="center"/>
              <w:rPr>
                <w:rFonts w:hint="eastAsia" w:asciiTheme="minorEastAsia" w:hAnsiTheme="minorEastAsia" w:eastAsiaTheme="minorEastAsia" w:cstheme="minorEastAsia"/>
                <w:color w:val="000000"/>
                <w:sz w:val="21"/>
                <w:szCs w:val="21"/>
                <w:highlight w:val="none"/>
              </w:rPr>
            </w:pPr>
          </w:p>
        </w:tc>
        <w:tc>
          <w:tcPr>
            <w:tcW w:w="1591" w:type="dxa"/>
            <w:vAlign w:val="center"/>
          </w:tcPr>
          <w:p>
            <w:pPr>
              <w:pStyle w:val="11"/>
              <w:keepNext w:val="0"/>
              <w:keepLines w:val="0"/>
              <w:widowControl/>
              <w:suppressLineNumbers w:val="0"/>
              <w:ind w:left="0" w:leftChars="0" w:right="0" w:rightChars="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电压总谐波畸变率</w:t>
            </w:r>
          </w:p>
        </w:tc>
        <w:tc>
          <w:tcPr>
            <w:tcW w:w="3036" w:type="dxa"/>
            <w:gridSpan w:val="2"/>
            <w:vAlign w:val="center"/>
          </w:tcPr>
          <w:p>
            <w:pPr>
              <w:pStyle w:val="11"/>
              <w:keepNext w:val="0"/>
              <w:keepLines w:val="0"/>
              <w:widowControl/>
              <w:suppressLineNumbers w:val="0"/>
              <w:ind w:left="0" w:leftChars="0" w:right="0" w:rightChars="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各次谐波电压含有率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dxa"/>
            <w:vMerge w:val="continue"/>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662" w:type="dxa"/>
            <w:vMerge w:val="continue"/>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947" w:type="dxa"/>
            <w:vMerge w:val="continue"/>
          </w:tcPr>
          <w:p>
            <w:pPr>
              <w:jc w:val="center"/>
              <w:rPr>
                <w:rFonts w:hint="eastAsia" w:asciiTheme="minorEastAsia" w:hAnsiTheme="minorEastAsia" w:eastAsiaTheme="minorEastAsia" w:cstheme="minorEastAsia"/>
                <w:color w:val="000000"/>
                <w:sz w:val="21"/>
                <w:szCs w:val="21"/>
                <w:highlight w:val="none"/>
                <w:lang w:val="en-US" w:eastAsia="zh-CN"/>
              </w:rPr>
            </w:pPr>
          </w:p>
        </w:tc>
        <w:tc>
          <w:tcPr>
            <w:tcW w:w="1663" w:type="dxa"/>
            <w:vMerge w:val="continue"/>
          </w:tcPr>
          <w:p>
            <w:pPr>
              <w:jc w:val="center"/>
              <w:rPr>
                <w:rFonts w:hint="eastAsia" w:asciiTheme="minorEastAsia" w:hAnsiTheme="minorEastAsia" w:eastAsiaTheme="minorEastAsia" w:cstheme="minorEastAsia"/>
                <w:color w:val="000000"/>
                <w:sz w:val="21"/>
                <w:szCs w:val="21"/>
                <w:highlight w:val="none"/>
              </w:rPr>
            </w:pPr>
          </w:p>
        </w:tc>
        <w:tc>
          <w:tcPr>
            <w:tcW w:w="1591" w:type="dxa"/>
            <w:vMerge w:val="restart"/>
            <w:vAlign w:val="center"/>
          </w:tcPr>
          <w:p>
            <w:pPr>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≤5.0%</w:t>
            </w:r>
            <w:r>
              <w:rPr>
                <w:rFonts w:hint="eastAsia" w:asciiTheme="minorEastAsia" w:hAnsiTheme="minorEastAsia" w:eastAsiaTheme="minorEastAsia" w:cstheme="minorEastAsia"/>
                <w:color w:val="000000"/>
                <w:sz w:val="21"/>
                <w:szCs w:val="21"/>
                <w:highlight w:val="none"/>
                <w:lang w:val="en-US" w:eastAsia="zh-CN"/>
              </w:rPr>
              <w:t xml:space="preserve"> </w:t>
            </w:r>
            <w:r>
              <w:rPr>
                <w:rFonts w:hint="eastAsia" w:asciiTheme="minorEastAsia" w:hAnsiTheme="minorEastAsia" w:eastAsiaTheme="minorEastAsia" w:cstheme="minorEastAsia"/>
                <w:b/>
                <w:bCs/>
                <w:color w:val="000000"/>
                <w:sz w:val="21"/>
                <w:szCs w:val="21"/>
                <w:highlight w:val="none"/>
              </w:rPr>
              <w:t>a</w:t>
            </w:r>
          </w:p>
        </w:tc>
        <w:tc>
          <w:tcPr>
            <w:tcW w:w="1573" w:type="dxa"/>
            <w:vAlign w:val="top"/>
          </w:tcPr>
          <w:p>
            <w:pPr>
              <w:pStyle w:val="11"/>
              <w:keepNext w:val="0"/>
              <w:keepLines w:val="0"/>
              <w:widowControl/>
              <w:suppressLineNumbers w:val="0"/>
              <w:ind w:left="0" w:leftChars="0" w:right="0" w:rightChars="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奇次</w:t>
            </w:r>
          </w:p>
        </w:tc>
        <w:tc>
          <w:tcPr>
            <w:tcW w:w="1463" w:type="dxa"/>
            <w:vAlign w:val="top"/>
          </w:tcPr>
          <w:p>
            <w:pPr>
              <w:pStyle w:val="11"/>
              <w:keepNext w:val="0"/>
              <w:keepLines w:val="0"/>
              <w:widowControl/>
              <w:suppressLineNumbers w:val="0"/>
              <w:ind w:left="0" w:leftChars="0" w:right="0" w:rightChars="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偶次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dxa"/>
            <w:vMerge w:val="continue"/>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662" w:type="dxa"/>
            <w:vMerge w:val="continue"/>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947" w:type="dxa"/>
            <w:vMerge w:val="continue"/>
          </w:tcPr>
          <w:p>
            <w:pPr>
              <w:jc w:val="center"/>
              <w:rPr>
                <w:rFonts w:hint="eastAsia" w:asciiTheme="minorEastAsia" w:hAnsiTheme="minorEastAsia" w:eastAsiaTheme="minorEastAsia" w:cstheme="minorEastAsia"/>
                <w:color w:val="000000"/>
                <w:sz w:val="21"/>
                <w:szCs w:val="21"/>
                <w:highlight w:val="none"/>
                <w:lang w:val="en-US" w:eastAsia="zh-CN"/>
              </w:rPr>
            </w:pPr>
          </w:p>
        </w:tc>
        <w:tc>
          <w:tcPr>
            <w:tcW w:w="1663" w:type="dxa"/>
            <w:vMerge w:val="continue"/>
          </w:tcPr>
          <w:p>
            <w:pPr>
              <w:jc w:val="center"/>
              <w:rPr>
                <w:rFonts w:hint="eastAsia" w:asciiTheme="minorEastAsia" w:hAnsiTheme="minorEastAsia" w:eastAsiaTheme="minorEastAsia" w:cstheme="minorEastAsia"/>
                <w:color w:val="000000"/>
                <w:sz w:val="21"/>
                <w:szCs w:val="21"/>
                <w:highlight w:val="none"/>
              </w:rPr>
            </w:pPr>
          </w:p>
        </w:tc>
        <w:tc>
          <w:tcPr>
            <w:tcW w:w="1591" w:type="dxa"/>
            <w:vMerge w:val="continue"/>
          </w:tcPr>
          <w:p>
            <w:pPr>
              <w:jc w:val="center"/>
              <w:rPr>
                <w:rFonts w:hint="eastAsia" w:asciiTheme="minorEastAsia" w:hAnsiTheme="minorEastAsia" w:eastAsiaTheme="minorEastAsia" w:cstheme="minorEastAsia"/>
                <w:color w:val="000000"/>
                <w:sz w:val="21"/>
                <w:szCs w:val="21"/>
                <w:highlight w:val="none"/>
              </w:rPr>
            </w:pPr>
          </w:p>
        </w:tc>
        <w:tc>
          <w:tcPr>
            <w:tcW w:w="1573" w:type="dxa"/>
            <w:vAlign w:val="top"/>
          </w:tcPr>
          <w:p>
            <w:pPr>
              <w:pStyle w:val="11"/>
              <w:keepNext w:val="0"/>
              <w:keepLines w:val="0"/>
              <w:widowControl/>
              <w:suppressLineNumbers w:val="0"/>
              <w:ind w:left="0" w:leftChars="0" w:right="0" w:rightChars="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≤4%</w:t>
            </w:r>
          </w:p>
        </w:tc>
        <w:tc>
          <w:tcPr>
            <w:tcW w:w="1463" w:type="dxa"/>
            <w:vAlign w:val="top"/>
          </w:tcPr>
          <w:p>
            <w:pPr>
              <w:pStyle w:val="11"/>
              <w:keepNext w:val="0"/>
              <w:keepLines w:val="0"/>
              <w:widowControl/>
              <w:suppressLineNumbers w:val="0"/>
              <w:ind w:left="0" w:leftChars="0" w:right="0" w:rightChars="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dxa"/>
            <w:vMerge w:val="continue"/>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662" w:type="dxa"/>
            <w:vMerge w:val="continue"/>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947" w:type="dxa"/>
            <w:vMerge w:val="continue"/>
          </w:tcPr>
          <w:p>
            <w:pPr>
              <w:jc w:val="center"/>
              <w:rPr>
                <w:rFonts w:hint="eastAsia" w:asciiTheme="minorEastAsia" w:hAnsiTheme="minorEastAsia" w:eastAsiaTheme="minorEastAsia" w:cstheme="minorEastAsia"/>
                <w:color w:val="000000"/>
                <w:sz w:val="21"/>
                <w:szCs w:val="21"/>
                <w:highlight w:val="none"/>
                <w:lang w:val="en-US" w:eastAsia="zh-CN"/>
              </w:rPr>
            </w:pPr>
          </w:p>
        </w:tc>
        <w:tc>
          <w:tcPr>
            <w:tcW w:w="1663" w:type="dxa"/>
            <w:vMerge w:val="continue"/>
          </w:tcPr>
          <w:p>
            <w:pPr>
              <w:jc w:val="center"/>
              <w:rPr>
                <w:rFonts w:hint="eastAsia" w:asciiTheme="minorEastAsia" w:hAnsiTheme="minorEastAsia" w:eastAsiaTheme="minorEastAsia" w:cstheme="minorEastAsia"/>
                <w:color w:val="000000"/>
                <w:sz w:val="21"/>
                <w:szCs w:val="21"/>
                <w:highlight w:val="none"/>
              </w:rPr>
            </w:pPr>
          </w:p>
        </w:tc>
        <w:tc>
          <w:tcPr>
            <w:tcW w:w="4627" w:type="dxa"/>
            <w:gridSpan w:val="3"/>
          </w:tcPr>
          <w:p>
            <w:pPr>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a</w:t>
            </w:r>
            <w:r>
              <w:rPr>
                <w:rFonts w:hint="eastAsia" w:asciiTheme="minorEastAsia" w:hAnsiTheme="minorEastAsia" w:eastAsiaTheme="minorEastAsia" w:cstheme="minorEastAsia"/>
                <w:color w:val="000000"/>
                <w:sz w:val="21"/>
                <w:szCs w:val="21"/>
                <w:highlight w:val="none"/>
              </w:rPr>
              <w:t>单相机组和额定功率小于3kW的三相机组为10%。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64" w:type="dxa"/>
            <w:vAlign w:val="center"/>
          </w:tcPr>
          <w:p>
            <w:pPr>
              <w:jc w:val="center"/>
              <w:rPr>
                <w:rFonts w:hint="default"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cstheme="minorEastAsia"/>
                <w:b w:val="0"/>
                <w:bCs w:val="0"/>
                <w:sz w:val="21"/>
                <w:szCs w:val="21"/>
                <w:highlight w:val="none"/>
                <w:vertAlign w:val="baseline"/>
                <w:lang w:val="en-US" w:eastAsia="zh-CN"/>
              </w:rPr>
              <w:t>13</w:t>
            </w:r>
          </w:p>
        </w:tc>
        <w:tc>
          <w:tcPr>
            <w:tcW w:w="662" w:type="dxa"/>
            <w:vMerge w:val="continue"/>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947" w:type="dxa"/>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宋体" w:hAnsi="宋体" w:eastAsia="宋体" w:cs="宋体"/>
                <w:color w:val="000000"/>
                <w:sz w:val="21"/>
                <w:szCs w:val="21"/>
                <w:highlight w:val="none"/>
              </w:rPr>
              <w:t>瞬态电压偏差</w:t>
            </w:r>
          </w:p>
        </w:tc>
        <w:tc>
          <w:tcPr>
            <w:tcW w:w="3254" w:type="dxa"/>
            <w:gridSpan w:val="2"/>
            <w:vAlign w:val="center"/>
          </w:tcPr>
          <w:p>
            <w:pPr>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≤+20%（100%突减功率）</w:t>
            </w:r>
          </w:p>
        </w:tc>
        <w:tc>
          <w:tcPr>
            <w:tcW w:w="3036" w:type="dxa"/>
            <w:gridSpan w:val="2"/>
            <w:vAlign w:val="center"/>
          </w:tcPr>
          <w:p>
            <w:pPr>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≤−15%（突加额定功率）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564" w:type="dxa"/>
            <w:vAlign w:val="center"/>
          </w:tcPr>
          <w:p>
            <w:pPr>
              <w:jc w:val="center"/>
              <w:rPr>
                <w:rFonts w:hint="default"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cstheme="minorEastAsia"/>
                <w:b w:val="0"/>
                <w:bCs w:val="0"/>
                <w:sz w:val="21"/>
                <w:szCs w:val="21"/>
                <w:highlight w:val="none"/>
                <w:vertAlign w:val="baseline"/>
                <w:lang w:val="en-US" w:eastAsia="zh-CN"/>
              </w:rPr>
              <w:t>14</w:t>
            </w:r>
          </w:p>
        </w:tc>
        <w:tc>
          <w:tcPr>
            <w:tcW w:w="662" w:type="dxa"/>
            <w:vMerge w:val="continue"/>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947" w:type="dxa"/>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宋体" w:hAnsi="宋体" w:eastAsia="宋体" w:cs="宋体"/>
                <w:color w:val="000000"/>
                <w:sz w:val="21"/>
                <w:szCs w:val="21"/>
                <w:highlight w:val="none"/>
              </w:rPr>
              <w:t>瞬态电压恢复时间</w:t>
            </w:r>
          </w:p>
        </w:tc>
        <w:tc>
          <w:tcPr>
            <w:tcW w:w="6290" w:type="dxa"/>
            <w:gridSpan w:val="4"/>
            <w:vAlign w:val="center"/>
          </w:tcPr>
          <w:p>
            <w:pPr>
              <w:pStyle w:val="11"/>
              <w:keepNext w:val="0"/>
              <w:keepLines w:val="0"/>
              <w:widowControl/>
              <w:suppressLineNumbers w:val="0"/>
              <w:ind w:left="0" w:leftChars="0" w:right="0" w:rightChars="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≤4s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dxa"/>
            <w:vAlign w:val="center"/>
          </w:tcPr>
          <w:p>
            <w:pPr>
              <w:jc w:val="center"/>
              <w:rPr>
                <w:rFonts w:hint="default"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cstheme="minorEastAsia"/>
                <w:b w:val="0"/>
                <w:bCs w:val="0"/>
                <w:sz w:val="21"/>
                <w:szCs w:val="21"/>
                <w:highlight w:val="none"/>
                <w:vertAlign w:val="baseline"/>
                <w:lang w:val="en-US" w:eastAsia="zh-CN"/>
              </w:rPr>
              <w:t>15</w:t>
            </w:r>
          </w:p>
        </w:tc>
        <w:tc>
          <w:tcPr>
            <w:tcW w:w="662" w:type="dxa"/>
            <w:vMerge w:val="continue"/>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947" w:type="dxa"/>
            <w:vAlign w:val="center"/>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eastAsiaTheme="minorEastAsia" w:cstheme="minorEastAsia"/>
                <w:color w:val="000000"/>
                <w:sz w:val="21"/>
                <w:szCs w:val="21"/>
                <w:highlight w:val="none"/>
              </w:rPr>
              <w:t>瞬态频率偏差</w:t>
            </w:r>
          </w:p>
        </w:tc>
        <w:tc>
          <w:tcPr>
            <w:tcW w:w="3254" w:type="dxa"/>
            <w:gridSpan w:val="2"/>
            <w:vAlign w:val="center"/>
          </w:tcPr>
          <w:p>
            <w:pPr>
              <w:pStyle w:val="11"/>
              <w:keepNext w:val="0"/>
              <w:keepLines w:val="0"/>
              <w:widowControl/>
              <w:suppressLineNumbers w:val="0"/>
              <w:ind w:left="0" w:leftChars="0" w:right="0" w:rightChars="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≤+10%（100%突减功率）</w:t>
            </w:r>
          </w:p>
        </w:tc>
        <w:tc>
          <w:tcPr>
            <w:tcW w:w="3036" w:type="dxa"/>
            <w:gridSpan w:val="2"/>
            <w:vAlign w:val="center"/>
          </w:tcPr>
          <w:p>
            <w:pPr>
              <w:pStyle w:val="11"/>
              <w:keepNext w:val="0"/>
              <w:keepLines w:val="0"/>
              <w:widowControl/>
              <w:suppressLineNumbers w:val="0"/>
              <w:ind w:left="0" w:leftChars="0" w:right="0" w:rightChars="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≤-7%（突加额定功率）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564" w:type="dxa"/>
            <w:vAlign w:val="center"/>
          </w:tcPr>
          <w:p>
            <w:pPr>
              <w:jc w:val="center"/>
              <w:rPr>
                <w:rFonts w:hint="default" w:asciiTheme="minorEastAsia" w:hAnsiTheme="minorEastAsia" w:eastAsiaTheme="minorEastAsia" w:cstheme="minorEastAsia"/>
                <w:b w:val="0"/>
                <w:bCs w:val="0"/>
                <w:sz w:val="21"/>
                <w:szCs w:val="21"/>
                <w:highlight w:val="none"/>
                <w:vertAlign w:val="baseline"/>
                <w:lang w:val="en-US" w:eastAsia="zh-CN"/>
              </w:rPr>
            </w:pPr>
            <w:r>
              <w:rPr>
                <w:rFonts w:hint="eastAsia" w:asciiTheme="minorEastAsia" w:hAnsiTheme="minorEastAsia" w:cstheme="minorEastAsia"/>
                <w:b w:val="0"/>
                <w:bCs w:val="0"/>
                <w:sz w:val="21"/>
                <w:szCs w:val="21"/>
                <w:highlight w:val="none"/>
                <w:vertAlign w:val="baseline"/>
                <w:lang w:val="en-US" w:eastAsia="zh-CN"/>
              </w:rPr>
              <w:t>16</w:t>
            </w:r>
          </w:p>
        </w:tc>
        <w:tc>
          <w:tcPr>
            <w:tcW w:w="662" w:type="dxa"/>
            <w:vMerge w:val="continue"/>
          </w:tcPr>
          <w:p>
            <w:pPr>
              <w:jc w:val="center"/>
              <w:rPr>
                <w:rFonts w:hint="eastAsia" w:asciiTheme="minorEastAsia" w:hAnsiTheme="minorEastAsia" w:eastAsiaTheme="minorEastAsia" w:cstheme="minorEastAsia"/>
                <w:b w:val="0"/>
                <w:bCs w:val="0"/>
                <w:sz w:val="21"/>
                <w:szCs w:val="21"/>
                <w:highlight w:val="none"/>
                <w:vertAlign w:val="baseline"/>
                <w:lang w:val="en-US" w:eastAsia="zh-CN"/>
              </w:rPr>
            </w:pPr>
          </w:p>
        </w:tc>
        <w:tc>
          <w:tcPr>
            <w:tcW w:w="947" w:type="dxa"/>
            <w:vAlign w:val="center"/>
          </w:tcPr>
          <w:p>
            <w:pPr>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频率恢复时间</w:t>
            </w:r>
          </w:p>
        </w:tc>
        <w:tc>
          <w:tcPr>
            <w:tcW w:w="6290" w:type="dxa"/>
            <w:gridSpan w:val="4"/>
            <w:vAlign w:val="center"/>
          </w:tcPr>
          <w:p>
            <w:pPr>
              <w:pStyle w:val="11"/>
              <w:keepNext w:val="0"/>
              <w:keepLines w:val="0"/>
              <w:widowControl/>
              <w:suppressLineNumbers w:val="0"/>
              <w:ind w:left="0" w:leftChars="0" w:right="0" w:rightChars="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≤3s</w:t>
            </w:r>
          </w:p>
        </w:tc>
      </w:tr>
    </w:tbl>
    <w:p>
      <w:pPr>
        <w:rPr>
          <w:rFonts w:hint="eastAsia"/>
          <w:highlight w:val="none"/>
          <w:lang w:val="en-US" w:eastAsia="zh-CN"/>
        </w:rPr>
      </w:pPr>
    </w:p>
    <w:p>
      <w:pPr>
        <w:pStyle w:val="4"/>
        <w:spacing w:before="0" w:after="0" w:line="360" w:lineRule="auto"/>
        <w:ind w:left="567" w:hanging="567"/>
        <w:outlineLvl w:val="1"/>
        <w:rPr>
          <w:rFonts w:hint="eastAsia" w:ascii="楷体" w:hAnsi="楷体" w:eastAsia="楷体" w:cs="楷体"/>
          <w:b/>
          <w:bCs/>
          <w:kern w:val="2"/>
          <w:sz w:val="32"/>
          <w:szCs w:val="32"/>
          <w:highlight w:val="none"/>
          <w:lang w:val="en-US" w:eastAsia="zh-CN" w:bidi="ar-SA"/>
        </w:rPr>
      </w:pPr>
      <w:bookmarkStart w:id="38" w:name="_Toc29857"/>
      <w:r>
        <w:rPr>
          <w:rFonts w:hint="eastAsia" w:ascii="楷体" w:hAnsi="楷体" w:eastAsia="楷体" w:cs="楷体"/>
          <w:b/>
          <w:bCs/>
          <w:kern w:val="2"/>
          <w:sz w:val="32"/>
          <w:szCs w:val="32"/>
          <w:highlight w:val="none"/>
          <w:lang w:val="en-US" w:eastAsia="zh-CN" w:bidi="ar-SA"/>
        </w:rPr>
        <w:t>1.6 项目实施要求</w:t>
      </w:r>
      <w:bookmarkEnd w:id="38"/>
      <w:bookmarkStart w:id="39" w:name="_Toc451693408"/>
      <w:bookmarkEnd w:id="39"/>
    </w:p>
    <w:p>
      <w:pPr>
        <w:spacing w:line="360" w:lineRule="auto"/>
        <w:ind w:firstLine="640" w:firstLineChars="200"/>
        <w:outlineLvl w:val="2"/>
        <w:rPr>
          <w:rFonts w:hint="eastAsia" w:ascii="仿宋_GB2312" w:hAnsi="仿宋_GB2312" w:eastAsia="仿宋_GB2312" w:cs="仿宋_GB2312"/>
          <w:sz w:val="32"/>
          <w:szCs w:val="32"/>
          <w:highlight w:val="none"/>
        </w:rPr>
      </w:pPr>
      <w:bookmarkStart w:id="40" w:name="_Toc4744"/>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.1项目准备</w:t>
      </w:r>
      <w:bookmarkEnd w:id="40"/>
    </w:p>
    <w:p>
      <w:pPr>
        <w:spacing w:line="36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项目负责人应当在项目准备阶段对项目需求进行充分了解，对项目实施技术程序有充分的预估，对项目过程中可能出现的问题、实施的难点、重点等内容提出解决办法，制订详细、可行的项目实施计划、人员职责分工等。</w:t>
      </w:r>
      <w:bookmarkStart w:id="41" w:name="_Toc390762758"/>
      <w:bookmarkStart w:id="42" w:name="_Toc390164120"/>
    </w:p>
    <w:p>
      <w:pPr>
        <w:spacing w:line="360" w:lineRule="auto"/>
        <w:ind w:firstLine="640" w:firstLineChars="200"/>
        <w:outlineLvl w:val="2"/>
        <w:rPr>
          <w:rFonts w:hint="eastAsia" w:ascii="仿宋_GB2312" w:hAnsi="仿宋_GB2312" w:eastAsia="仿宋_GB2312" w:cs="仿宋_GB2312"/>
          <w:sz w:val="32"/>
          <w:szCs w:val="32"/>
          <w:highlight w:val="none"/>
        </w:rPr>
      </w:pPr>
      <w:bookmarkStart w:id="43" w:name="_Toc11178"/>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项目方案设计</w:t>
      </w:r>
      <w:bookmarkEnd w:id="41"/>
      <w:bookmarkEnd w:id="42"/>
      <w:bookmarkEnd w:id="43"/>
    </w:p>
    <w:p>
      <w:pPr>
        <w:spacing w:line="36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w:t>
      </w:r>
      <w:r>
        <w:rPr>
          <w:rFonts w:hint="eastAsia" w:ascii="仿宋_GB2312" w:hAnsi="仿宋_GB2312" w:eastAsia="仿宋_GB2312" w:cs="仿宋_GB2312"/>
          <w:sz w:val="32"/>
          <w:szCs w:val="32"/>
          <w:highlight w:val="none"/>
        </w:rPr>
        <w:t>项目详细设计方案应经过充分的调研、论证并结合</w:t>
      </w:r>
      <w:r>
        <w:rPr>
          <w:rFonts w:hint="eastAsia" w:ascii="仿宋_GB2312" w:hAnsi="仿宋_GB2312" w:eastAsia="仿宋_GB2312" w:cs="仿宋_GB2312"/>
          <w:sz w:val="32"/>
          <w:szCs w:val="32"/>
          <w:highlight w:val="none"/>
          <w:lang w:val="en-US" w:eastAsia="zh-CN"/>
        </w:rPr>
        <w:t>保山</w:t>
      </w:r>
      <w:r>
        <w:rPr>
          <w:rFonts w:hint="eastAsia" w:ascii="仿宋_GB2312" w:hAnsi="仿宋_GB2312" w:eastAsia="仿宋_GB2312" w:cs="仿宋_GB2312"/>
          <w:sz w:val="32"/>
          <w:szCs w:val="32"/>
          <w:highlight w:val="none"/>
          <w:lang w:eastAsia="zh-CN"/>
        </w:rPr>
        <w:t>供电局</w:t>
      </w:r>
      <w:r>
        <w:rPr>
          <w:rFonts w:hint="eastAsia" w:ascii="仿宋_GB2312" w:hAnsi="仿宋_GB2312" w:eastAsia="仿宋_GB2312" w:cs="仿宋_GB2312"/>
          <w:sz w:val="32"/>
          <w:szCs w:val="32"/>
          <w:highlight w:val="none"/>
        </w:rPr>
        <w:t>的实际情况进行个性化的设计，符合科学、系统、易用等基本原则要求。</w:t>
      </w:r>
      <w:bookmarkStart w:id="44" w:name="_Toc390762759"/>
      <w:bookmarkStart w:id="45" w:name="_Toc390164121"/>
    </w:p>
    <w:p>
      <w:pPr>
        <w:spacing w:line="360" w:lineRule="auto"/>
        <w:ind w:firstLine="640" w:firstLineChars="200"/>
        <w:outlineLvl w:val="2"/>
        <w:rPr>
          <w:rFonts w:hint="eastAsia" w:ascii="仿宋_GB2312" w:hAnsi="仿宋_GB2312" w:eastAsia="仿宋_GB2312" w:cs="仿宋_GB2312"/>
          <w:sz w:val="32"/>
          <w:szCs w:val="32"/>
          <w:highlight w:val="none"/>
        </w:rPr>
      </w:pPr>
      <w:bookmarkStart w:id="46" w:name="_Toc7152"/>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项目实施</w:t>
      </w:r>
      <w:bookmarkEnd w:id="44"/>
      <w:bookmarkEnd w:id="45"/>
      <w:bookmarkEnd w:id="46"/>
    </w:p>
    <w:p>
      <w:pPr>
        <w:spacing w:line="36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项目组人员数量不少于3人，其中</w:t>
      </w:r>
      <w:r>
        <w:rPr>
          <w:rFonts w:hint="eastAsia" w:ascii="仿宋_GB2312" w:hAnsi="仿宋_GB2312" w:eastAsia="仿宋_GB2312" w:cs="仿宋_GB2312"/>
          <w:sz w:val="32"/>
          <w:szCs w:val="32"/>
          <w:highlight w:val="none"/>
          <w:lang w:val="en-US" w:eastAsia="zh-CN"/>
        </w:rPr>
        <w:t>要明确项目负责人</w:t>
      </w:r>
      <w:r>
        <w:rPr>
          <w:rFonts w:hint="eastAsia" w:ascii="仿宋_GB2312" w:hAnsi="仿宋_GB2312" w:eastAsia="仿宋_GB2312" w:cs="仿宋_GB2312"/>
          <w:sz w:val="32"/>
          <w:szCs w:val="32"/>
          <w:highlight w:val="none"/>
        </w:rPr>
        <w:t>1人，</w:t>
      </w:r>
      <w:r>
        <w:rPr>
          <w:rFonts w:hint="eastAsia" w:ascii="仿宋_GB2312" w:hAnsi="仿宋_GB2312" w:eastAsia="仿宋_GB2312" w:cs="仿宋_GB2312"/>
          <w:sz w:val="32"/>
          <w:szCs w:val="32"/>
          <w:highlight w:val="none"/>
          <w:lang w:val="en-US" w:eastAsia="zh-CN"/>
        </w:rPr>
        <w:t>同时</w:t>
      </w:r>
      <w:r>
        <w:rPr>
          <w:rFonts w:hint="eastAsia" w:ascii="仿宋_GB2312" w:hAnsi="仿宋_GB2312" w:eastAsia="仿宋_GB2312" w:cs="仿宋_GB2312"/>
          <w:sz w:val="32"/>
          <w:szCs w:val="32"/>
          <w:highlight w:val="none"/>
        </w:rPr>
        <w:t>责任</w:t>
      </w:r>
      <w:r>
        <w:rPr>
          <w:rFonts w:hint="eastAsia" w:ascii="仿宋_GB2312" w:hAnsi="仿宋_GB2312" w:eastAsia="仿宋_GB2312" w:cs="仿宋_GB2312"/>
          <w:sz w:val="32"/>
          <w:szCs w:val="32"/>
          <w:highlight w:val="none"/>
          <w:lang w:val="en-US" w:eastAsia="zh-CN"/>
        </w:rPr>
        <w:t>应</w:t>
      </w:r>
      <w:r>
        <w:rPr>
          <w:rFonts w:hint="eastAsia" w:ascii="仿宋_GB2312" w:hAnsi="仿宋_GB2312" w:eastAsia="仿宋_GB2312" w:cs="仿宋_GB2312"/>
          <w:sz w:val="32"/>
          <w:szCs w:val="32"/>
          <w:highlight w:val="none"/>
        </w:rPr>
        <w:t>落实到项目组每个人。针对项目相关要求，组织项目人员研读有关的制度、文件、报告等资料，在整个项目开展过程中，积极与招标方相关负责人联系，充分沟通，确定</w:t>
      </w:r>
      <w:r>
        <w:rPr>
          <w:rFonts w:hint="eastAsia" w:ascii="仿宋_GB2312" w:hAnsi="仿宋_GB2312" w:eastAsia="仿宋_GB2312" w:cs="仿宋_GB2312"/>
          <w:sz w:val="32"/>
          <w:szCs w:val="32"/>
          <w:highlight w:val="none"/>
          <w:lang w:val="en-US" w:eastAsia="zh-CN"/>
        </w:rPr>
        <w:t>检测</w:t>
      </w:r>
      <w:r>
        <w:rPr>
          <w:rFonts w:hint="eastAsia" w:ascii="仿宋_GB2312" w:hAnsi="仿宋_GB2312" w:eastAsia="仿宋_GB2312" w:cs="仿宋_GB2312"/>
          <w:sz w:val="32"/>
          <w:szCs w:val="32"/>
          <w:highlight w:val="none"/>
        </w:rPr>
        <w:t>方法。</w:t>
      </w:r>
    </w:p>
    <w:p>
      <w:pPr>
        <w:spacing w:line="360" w:lineRule="auto"/>
        <w:ind w:firstLine="640" w:firstLineChars="200"/>
        <w:outlineLvl w:val="2"/>
        <w:rPr>
          <w:rFonts w:hint="eastAsia" w:ascii="仿宋_GB2312" w:hAnsi="仿宋_GB2312" w:eastAsia="仿宋_GB2312" w:cs="仿宋_GB2312"/>
          <w:sz w:val="32"/>
          <w:szCs w:val="32"/>
          <w:highlight w:val="none"/>
        </w:rPr>
      </w:pPr>
      <w:bookmarkStart w:id="47" w:name="_Toc7055"/>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实施步骤</w:t>
      </w:r>
      <w:bookmarkEnd w:id="47"/>
    </w:p>
    <w:p>
      <w:pPr>
        <w:numPr>
          <w:ilvl w:val="0"/>
          <w:numId w:val="1"/>
        </w:numPr>
        <w:spacing w:line="36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制订详细项目实施方案、进度计划，提交从合同签订之日起的工作进度安排。</w:t>
      </w:r>
    </w:p>
    <w:p>
      <w:pPr>
        <w:numPr>
          <w:ilvl w:val="0"/>
          <w:numId w:val="1"/>
        </w:numPr>
        <w:spacing w:line="36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建立项目质量保证机制，保证项目实施质量可控。</w:t>
      </w:r>
    </w:p>
    <w:p>
      <w:pPr>
        <w:numPr>
          <w:ilvl w:val="0"/>
          <w:numId w:val="1"/>
        </w:numPr>
        <w:spacing w:line="36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项目周期自合同签订期起，在</w:t>
      </w:r>
      <w:r>
        <w:rPr>
          <w:rFonts w:hint="eastAsia" w:ascii="仿宋_GB2312" w:hAnsi="仿宋_GB2312" w:eastAsia="仿宋_GB2312" w:cs="仿宋_GB2312"/>
          <w:sz w:val="32"/>
          <w:szCs w:val="32"/>
          <w:highlight w:val="none"/>
        </w:rPr>
        <w:t>202</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年1</w:t>
      </w:r>
      <w:r>
        <w:rPr>
          <w:rFonts w:hint="eastAsia" w:ascii="仿宋_GB2312" w:hAnsi="仿宋_GB2312" w:eastAsia="仿宋_GB2312" w:cs="仿宋_GB2312"/>
          <w:sz w:val="32"/>
          <w:szCs w:val="32"/>
          <w:highlight w:val="none"/>
          <w:lang w:val="en-US" w:eastAsia="zh-CN"/>
        </w:rPr>
        <w:t>0</w:t>
      </w:r>
      <w:r>
        <w:rPr>
          <w:rFonts w:hint="eastAsia" w:ascii="仿宋_GB2312" w:hAnsi="仿宋_GB2312" w:eastAsia="仿宋_GB2312" w:cs="仿宋_GB2312"/>
          <w:sz w:val="32"/>
          <w:szCs w:val="32"/>
          <w:highlight w:val="none"/>
        </w:rPr>
        <w:t>月31日前完成。</w:t>
      </w:r>
    </w:p>
    <w:p>
      <w:pPr>
        <w:spacing w:line="360" w:lineRule="auto"/>
        <w:ind w:firstLine="640" w:firstLineChars="200"/>
        <w:outlineLvl w:val="2"/>
        <w:rPr>
          <w:rFonts w:hint="eastAsia" w:ascii="仿宋_GB2312" w:hAnsi="仿宋_GB2312" w:eastAsia="仿宋_GB2312" w:cs="仿宋_GB2312"/>
          <w:sz w:val="32"/>
          <w:szCs w:val="32"/>
          <w:highlight w:val="none"/>
          <w:lang w:val="en-US" w:eastAsia="zh-CN"/>
        </w:rPr>
      </w:pPr>
      <w:bookmarkStart w:id="48" w:name="_Toc24845"/>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5质量保证要求</w:t>
      </w:r>
      <w:bookmarkEnd w:id="48"/>
    </w:p>
    <w:p>
      <w:pPr>
        <w:numPr>
          <w:ilvl w:val="0"/>
          <w:numId w:val="0"/>
        </w:numPr>
        <w:spacing w:line="36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中标方必须严格按照技术规范书的技术要求，规范开展</w:t>
      </w:r>
      <w:r>
        <w:rPr>
          <w:rFonts w:hint="eastAsia" w:ascii="仿宋_GB2312" w:hAnsi="仿宋_GB2312" w:eastAsia="仿宋_GB2312" w:cs="仿宋_GB2312"/>
          <w:b w:val="0"/>
          <w:bCs w:val="0"/>
          <w:kern w:val="2"/>
          <w:sz w:val="32"/>
          <w:szCs w:val="32"/>
          <w:highlight w:val="none"/>
          <w:lang w:val="en-US" w:eastAsia="zh-CN" w:bidi="ar-SA"/>
        </w:rPr>
        <w:t>保山供电局2024年26台应急发电机检测工作。</w:t>
      </w:r>
    </w:p>
    <w:p>
      <w:pPr>
        <w:spacing w:line="360" w:lineRule="auto"/>
        <w:ind w:firstLine="640" w:firstLineChars="200"/>
        <w:outlineLvl w:val="2"/>
        <w:rPr>
          <w:rFonts w:hint="eastAsia" w:ascii="仿宋_GB2312" w:hAnsi="仿宋_GB2312" w:eastAsia="仿宋_GB2312" w:cs="仿宋_GB2312"/>
          <w:sz w:val="32"/>
          <w:szCs w:val="32"/>
          <w:highlight w:val="none"/>
          <w:lang w:val="en-US" w:eastAsia="zh-CN"/>
        </w:rPr>
      </w:pPr>
      <w:bookmarkStart w:id="49" w:name="_Toc25202"/>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6进度保证要求</w:t>
      </w:r>
      <w:bookmarkEnd w:id="49"/>
    </w:p>
    <w:p>
      <w:pPr>
        <w:numPr>
          <w:ilvl w:val="0"/>
          <w:numId w:val="0"/>
        </w:numPr>
        <w:spacing w:line="36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（1）合同签订后，中标方须严格按照项目进度要求开展项目工作，若由于中标方自身原因导致进度滞后，招标方可根据合同要求追究中标方责任。</w:t>
      </w:r>
    </w:p>
    <w:p>
      <w:pPr>
        <w:numPr>
          <w:ilvl w:val="0"/>
          <w:numId w:val="0"/>
        </w:numPr>
        <w:spacing w:line="36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（2）中标方在项目服务周期内，必须按照招标方指定的服务范围完成相关工作，并按照招标方的要求提供工作总结。</w:t>
      </w:r>
    </w:p>
    <w:p>
      <w:pPr>
        <w:spacing w:line="360" w:lineRule="auto"/>
        <w:ind w:firstLine="640" w:firstLineChars="200"/>
        <w:outlineLvl w:val="2"/>
        <w:rPr>
          <w:rFonts w:hint="eastAsia" w:ascii="仿宋_GB2312" w:hAnsi="仿宋_GB2312" w:eastAsia="仿宋_GB2312" w:cs="仿宋_GB2312"/>
          <w:sz w:val="32"/>
          <w:szCs w:val="32"/>
          <w:highlight w:val="none"/>
          <w:lang w:val="en-US" w:eastAsia="zh-CN"/>
        </w:rPr>
      </w:pPr>
      <w:bookmarkStart w:id="50" w:name="_Toc19413"/>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7保密要求</w:t>
      </w:r>
      <w:bookmarkEnd w:id="50"/>
    </w:p>
    <w:p>
      <w:pPr>
        <w:numPr>
          <w:ilvl w:val="0"/>
          <w:numId w:val="0"/>
        </w:numPr>
        <w:spacing w:line="36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（1）投标方一旦中标，须与招标方签署保密协议。投标方承担永久性保密义务，保密义务在双方合作期间以及合作结束后均为有效。</w:t>
      </w:r>
    </w:p>
    <w:p>
      <w:pPr>
        <w:numPr>
          <w:ilvl w:val="0"/>
          <w:numId w:val="0"/>
        </w:numPr>
        <w:spacing w:line="36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（2）投标方技术人员在项目结束后，应归还并删除在项目期间接触所涉及的招标方信息资料。</w:t>
      </w:r>
    </w:p>
    <w:p>
      <w:pPr>
        <w:numPr>
          <w:ilvl w:val="0"/>
          <w:numId w:val="0"/>
        </w:numPr>
        <w:spacing w:line="36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（3）投标方提供的技术服务，不得侵犯任何第三方的合法权益，由此而引起的纠纷或者给第三方以及招标方造成的损失，应由投标方承担全部责任。</w:t>
      </w:r>
    </w:p>
    <w:p>
      <w:pPr>
        <w:numPr>
          <w:ilvl w:val="0"/>
          <w:numId w:val="0"/>
        </w:numPr>
        <w:spacing w:line="36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（4）中标方在项目实施过程中，负有保护所持有、接触的属于或涉及企业商业秘密的义务和责任。</w:t>
      </w:r>
    </w:p>
    <w:p>
      <w:pPr>
        <w:spacing w:line="360" w:lineRule="auto"/>
        <w:ind w:firstLine="640" w:firstLineChars="200"/>
        <w:outlineLvl w:val="2"/>
        <w:rPr>
          <w:rFonts w:hint="eastAsia" w:ascii="仿宋_GB2312" w:hAnsi="仿宋_GB2312" w:eastAsia="仿宋_GB2312" w:cs="仿宋_GB2312"/>
          <w:sz w:val="32"/>
          <w:szCs w:val="32"/>
          <w:highlight w:val="none"/>
          <w:lang w:val="en-US" w:eastAsia="zh-CN"/>
        </w:rPr>
      </w:pPr>
      <w:bookmarkStart w:id="51" w:name="_Toc23907"/>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8安全要求</w:t>
      </w:r>
      <w:bookmarkEnd w:id="51"/>
    </w:p>
    <w:p>
      <w:pPr>
        <w:spacing w:line="36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招标方及投标方须认真贯彻执行中华人民共和国、中国南方电网有限责任公司、云南电网有限责任公司、地方安全生产主管部门颁发的有关安全生产的方针、政策和规章、制度，严格执行有关劳动保护的法律、法规、条例以及南方电网公司《安全生产工作规定》等制度、规定。</w:t>
      </w:r>
    </w:p>
    <w:p>
      <w:pPr>
        <w:spacing w:line="360" w:lineRule="auto"/>
        <w:rPr>
          <w:rFonts w:hint="eastAsia" w:ascii="仿宋_GB2312" w:hAnsi="仿宋_GB2312" w:eastAsia="仿宋_GB2312" w:cs="仿宋_GB2312"/>
          <w:sz w:val="32"/>
          <w:szCs w:val="32"/>
          <w:highlight w:val="none"/>
        </w:rPr>
      </w:pPr>
    </w:p>
    <w:p>
      <w:pPr>
        <w:spacing w:line="360" w:lineRule="auto"/>
        <w:ind w:firstLine="640" w:firstLineChars="200"/>
        <w:rPr>
          <w:rFonts w:hint="eastAsia" w:ascii="仿宋_GB2312" w:hAnsi="仿宋_GB2312" w:eastAsia="仿宋_GB2312" w:cs="仿宋_GB2312"/>
          <w:sz w:val="32"/>
          <w:szCs w:val="32"/>
          <w:highlight w:val="none"/>
        </w:rPr>
      </w:pPr>
    </w:p>
    <w:p>
      <w:pPr>
        <w:rPr>
          <w:rFonts w:hint="eastAsia" w:ascii="宋体" w:hAnsi="宋体" w:eastAsia="宋体" w:cs="宋体"/>
          <w:b/>
          <w:bCs/>
          <w:sz w:val="30"/>
          <w:szCs w:val="30"/>
          <w:highlight w:val="none"/>
        </w:rPr>
      </w:pPr>
    </w:p>
    <w:p>
      <w:pPr>
        <w:pStyle w:val="3"/>
        <w:outlineLvl w:val="9"/>
        <w:rPr>
          <w:rFonts w:hint="eastAsia" w:ascii="宋体" w:hAnsi="宋体" w:eastAsia="宋体" w:cs="宋体"/>
          <w:b/>
          <w:bCs/>
          <w:sz w:val="30"/>
          <w:szCs w:val="30"/>
          <w:highlight w:val="none"/>
        </w:rPr>
      </w:pPr>
    </w:p>
    <w:p>
      <w:pPr>
        <w:rPr>
          <w:rFonts w:hint="eastAsia" w:ascii="宋体" w:hAnsi="宋体" w:eastAsia="宋体" w:cs="宋体"/>
          <w:b/>
          <w:bCs/>
          <w:sz w:val="30"/>
          <w:szCs w:val="30"/>
          <w:highlight w:val="none"/>
        </w:rPr>
      </w:pPr>
    </w:p>
    <w:p>
      <w:pPr>
        <w:pStyle w:val="3"/>
        <w:outlineLvl w:val="9"/>
        <w:rPr>
          <w:rFonts w:hint="eastAsia" w:ascii="宋体" w:hAnsi="宋体" w:eastAsia="宋体" w:cs="宋体"/>
          <w:b/>
          <w:bCs/>
          <w:sz w:val="30"/>
          <w:szCs w:val="30"/>
          <w:highlight w:val="none"/>
        </w:rPr>
      </w:pPr>
    </w:p>
    <w:p>
      <w:pPr>
        <w:rPr>
          <w:rFonts w:hint="eastAsia"/>
          <w:highlight w:val="none"/>
        </w:rPr>
      </w:pPr>
    </w:p>
    <w:bookmarkEnd w:id="52"/>
    <w:sectPr>
      <w:footerReference r:id="rId5"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简体">
    <w:altName w:val="宋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F8AED9"/>
    <w:multiLevelType w:val="singleLevel"/>
    <w:tmpl w:val="08F8AED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NlMjk4ZjY5ODQxN2FmODEwNGJhMzMyODg4YmM2MmQifQ=="/>
  </w:docVars>
  <w:rsids>
    <w:rsidRoot w:val="2D5459B3"/>
    <w:rsid w:val="011E3621"/>
    <w:rsid w:val="02EA2E71"/>
    <w:rsid w:val="04E70FED"/>
    <w:rsid w:val="07C33755"/>
    <w:rsid w:val="0BA122BA"/>
    <w:rsid w:val="0BF46647"/>
    <w:rsid w:val="0DBF4D2D"/>
    <w:rsid w:val="0DF50931"/>
    <w:rsid w:val="0F4075C9"/>
    <w:rsid w:val="123219AB"/>
    <w:rsid w:val="12812335"/>
    <w:rsid w:val="147A0106"/>
    <w:rsid w:val="164C0992"/>
    <w:rsid w:val="18896D9C"/>
    <w:rsid w:val="1C63521D"/>
    <w:rsid w:val="1F1D1CBF"/>
    <w:rsid w:val="20A748E8"/>
    <w:rsid w:val="215668D1"/>
    <w:rsid w:val="253944C2"/>
    <w:rsid w:val="28F747BD"/>
    <w:rsid w:val="2A911405"/>
    <w:rsid w:val="2D392D05"/>
    <w:rsid w:val="2D5459B3"/>
    <w:rsid w:val="2FFD223F"/>
    <w:rsid w:val="34AA53B3"/>
    <w:rsid w:val="350D43FA"/>
    <w:rsid w:val="387B3A44"/>
    <w:rsid w:val="39266D37"/>
    <w:rsid w:val="3CAB3AE2"/>
    <w:rsid w:val="3CF93078"/>
    <w:rsid w:val="3EFB6B2D"/>
    <w:rsid w:val="44541CA5"/>
    <w:rsid w:val="45C77406"/>
    <w:rsid w:val="47523000"/>
    <w:rsid w:val="48A065DA"/>
    <w:rsid w:val="49EA1FEC"/>
    <w:rsid w:val="4D187DC4"/>
    <w:rsid w:val="4D2D31C8"/>
    <w:rsid w:val="4D713FBC"/>
    <w:rsid w:val="4DD1746B"/>
    <w:rsid w:val="4E074BBC"/>
    <w:rsid w:val="4E4E4156"/>
    <w:rsid w:val="53637777"/>
    <w:rsid w:val="54A91E01"/>
    <w:rsid w:val="578009E1"/>
    <w:rsid w:val="59EF15D3"/>
    <w:rsid w:val="5FA42829"/>
    <w:rsid w:val="60E5739C"/>
    <w:rsid w:val="620C0D32"/>
    <w:rsid w:val="6A064A6F"/>
    <w:rsid w:val="6A3F4A1A"/>
    <w:rsid w:val="6BF43F62"/>
    <w:rsid w:val="6CDC482D"/>
    <w:rsid w:val="6F84025C"/>
    <w:rsid w:val="73DA5D4D"/>
    <w:rsid w:val="75F9320B"/>
    <w:rsid w:val="763402FE"/>
    <w:rsid w:val="768A6306"/>
    <w:rsid w:val="77727E69"/>
    <w:rsid w:val="78BC433E"/>
    <w:rsid w:val="78C60BC2"/>
    <w:rsid w:val="793531BF"/>
    <w:rsid w:val="7E8C38FC"/>
    <w:rsid w:val="7EF33B33"/>
    <w:rsid w:val="7F6F159E"/>
    <w:rsid w:val="7FE07F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340" w:after="330" w:line="576" w:lineRule="auto"/>
      <w:outlineLvl w:val="0"/>
    </w:pPr>
    <w:rPr>
      <w:rFonts w:ascii="Times New Roman" w:hAnsi="Times New Roman" w:eastAsia="宋体" w:cs="Times New Roman"/>
      <w:b/>
      <w:bCs/>
      <w:kern w:val="44"/>
      <w:sz w:val="44"/>
      <w:szCs w:val="44"/>
    </w:rPr>
  </w:style>
  <w:style w:type="paragraph" w:styleId="3">
    <w:name w:val="heading 2"/>
    <w:basedOn w:val="1"/>
    <w:next w:val="1"/>
    <w:qFormat/>
    <w:uiPriority w:val="0"/>
    <w:pPr>
      <w:keepNext/>
      <w:keepLines/>
      <w:spacing w:before="50" w:beforeLines="50" w:line="360" w:lineRule="auto"/>
      <w:ind w:firstLine="0" w:firstLineChars="0"/>
      <w:jc w:val="left"/>
      <w:outlineLvl w:val="1"/>
    </w:pPr>
    <w:rPr>
      <w:rFonts w:ascii="Arial" w:hAnsi="Arial" w:eastAsia="黑体"/>
      <w:bCs/>
      <w:kern w:val="0"/>
      <w:sz w:val="28"/>
      <w:szCs w:val="32"/>
    </w:rPr>
  </w:style>
  <w:style w:type="paragraph" w:styleId="4">
    <w:name w:val="heading 3"/>
    <w:basedOn w:val="1"/>
    <w:next w:val="1"/>
    <w:qFormat/>
    <w:uiPriority w:val="0"/>
    <w:pPr>
      <w:keepNext/>
      <w:keepLines/>
      <w:spacing w:before="260" w:after="260" w:line="416" w:lineRule="auto"/>
      <w:outlineLvl w:val="2"/>
    </w:pPr>
    <w:rPr>
      <w:rFonts w:ascii="Times New Roman" w:hAnsi="Times New Roman" w:eastAsia="宋体" w:cs="Times New Roman"/>
      <w:b/>
      <w:bCs/>
      <w:sz w:val="30"/>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spacing w:beforeLines="50" w:afterLines="50"/>
    </w:pPr>
    <w:rPr>
      <w:rFonts w:ascii="宋体" w:hAnsi="宋体"/>
      <w:color w:val="000000"/>
      <w:kern w:val="0"/>
      <w:sz w:val="24"/>
    </w:rPr>
  </w:style>
  <w:style w:type="paragraph" w:styleId="7">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8">
    <w:name w:val="Body Text Indent"/>
    <w:basedOn w:val="1"/>
    <w:qFormat/>
    <w:uiPriority w:val="0"/>
    <w:pPr>
      <w:spacing w:line="460" w:lineRule="exact"/>
      <w:ind w:firstLine="510"/>
    </w:pPr>
    <w:rPr>
      <w:kern w:val="0"/>
      <w:sz w:val="20"/>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Body Text First Indent 2"/>
    <w:basedOn w:val="8"/>
    <w:unhideWhenUsed/>
    <w:qFormat/>
    <w:uiPriority w:val="99"/>
    <w:pPr>
      <w:adjustRightInd/>
      <w:spacing w:line="240" w:lineRule="auto"/>
      <w:ind w:firstLine="420" w:firstLineChars="200"/>
      <w:jc w:val="both"/>
    </w:pPr>
    <w:rPr>
      <w:kern w:val="2"/>
      <w:sz w:val="24"/>
    </w:rPr>
  </w:style>
  <w:style w:type="table" w:styleId="14">
    <w:name w:val="Table Grid"/>
    <w:basedOn w:val="1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table" w:customStyle="1" w:styleId="18">
    <w:name w:val="Table Normal"/>
    <w:semiHidden/>
    <w:unhideWhenUsed/>
    <w:qFormat/>
    <w:uiPriority w:val="0"/>
    <w:tblPr>
      <w:tblCellMar>
        <w:top w:w="0" w:type="dxa"/>
        <w:left w:w="0" w:type="dxa"/>
        <w:bottom w:w="0" w:type="dxa"/>
        <w:right w:w="0" w:type="dxa"/>
      </w:tblCellMar>
    </w:tblPr>
  </w:style>
  <w:style w:type="character" w:customStyle="1" w:styleId="19">
    <w:name w:val="标书正文 Char Char"/>
    <w:link w:val="20"/>
    <w:qFormat/>
    <w:uiPriority w:val="0"/>
    <w:rPr>
      <w:rFonts w:ascii="Calibri" w:cs="Times New Roman"/>
    </w:rPr>
  </w:style>
  <w:style w:type="paragraph" w:customStyle="1" w:styleId="20">
    <w:name w:val="标书正文"/>
    <w:basedOn w:val="1"/>
    <w:link w:val="19"/>
    <w:qFormat/>
    <w:uiPriority w:val="0"/>
    <w:rPr>
      <w:rFonts w:ascii="Calibri" w:cs="Times New Roman"/>
    </w:rPr>
  </w:style>
  <w:style w:type="paragraph" w:customStyle="1" w:styleId="21">
    <w:name w:val="首行缩进"/>
    <w:basedOn w:val="1"/>
    <w:qFormat/>
    <w:uiPriority w:val="0"/>
    <w:pPr>
      <w:spacing w:line="300" w:lineRule="auto"/>
      <w:ind w:firstLine="420" w:firstLineChars="200"/>
    </w:pPr>
    <w:rPr>
      <w:rFonts w:eastAsia="方正书宋简体" w:cs="宋体"/>
      <w:szCs w:val="20"/>
    </w:rPr>
  </w:style>
  <w:style w:type="paragraph" w:customStyle="1" w:styleId="22">
    <w:name w:val="Normal_1"/>
    <w:qFormat/>
    <w:uiPriority w:val="0"/>
    <w:pPr>
      <w:spacing w:before="120" w:after="240"/>
      <w:jc w:val="both"/>
    </w:pPr>
    <w:rPr>
      <w:rFonts w:ascii="Calibri" w:hAnsi="Calibri" w:eastAsia="Calibri" w:cs="Times New Roman"/>
      <w:sz w:val="22"/>
      <w:szCs w:val="22"/>
      <w:lang w:val="en-US" w:eastAsia="en-US" w:bidi="ar-SA"/>
    </w:rPr>
  </w:style>
  <w:style w:type="paragraph" w:customStyle="1" w:styleId="23">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2865</Words>
  <Characters>3374</Characters>
  <Lines>0</Lines>
  <Paragraphs>0</Paragraphs>
  <TotalTime>5</TotalTime>
  <ScaleCrop>false</ScaleCrop>
  <LinksUpToDate>false</LinksUpToDate>
  <CharactersWithSpaces>3421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2021-09-18T06:29:00Z</dcterms:created>
  <dc:creator>雷万科技</dc:creator>
  <cp:lastModifiedBy>林范强</cp:lastModifiedBy>
  <dcterms:modified xsi:type="dcterms:W3CDTF">2024-08-01T02:46:38Z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494666BB09EE4D5186A7DE85670F7DA0_13</vt:lpwstr>
  </property>
</Properties>
</file>