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ind w:left="-1" w:leftChars="0" w:firstLine="0" w:firstLineChars="0"/>
        <w:jc w:val="center"/>
        <w:rPr>
          <w:rFonts w:hint="eastAsia" w:ascii="黑体" w:hAnsi="黑体" w:eastAsia="黑体"/>
          <w:b/>
          <w:color w:val="000000"/>
          <w:sz w:val="36"/>
          <w:szCs w:val="36"/>
          <w:u w:val="single"/>
          <w:lang w:val="en-US" w:eastAsia="zh-CN"/>
        </w:rPr>
        <w:sectPr>
          <w:pgSz w:w="11906" w:h="16838"/>
          <w:pgMar w:top="1440" w:right="0" w:bottom="1440" w:left="0" w:header="851" w:footer="992" w:gutter="0"/>
          <w:pgNumType w:fmt="decimal"/>
          <w:cols w:space="425" w:num="1"/>
          <w:docGrid w:type="lines" w:linePitch="312" w:charSpace="0"/>
        </w:sectPr>
      </w:pPr>
      <w:bookmarkStart w:id="0" w:name="XmInfoEntity_XMMC_0_2"/>
      <w:r>
        <w:rPr>
          <w:highlight w:val="none"/>
        </w:rPr>
        <mc:AlternateContent>
          <mc:Choice Requires="wps">
            <w:drawing>
              <wp:anchor distT="0" distB="0" distL="114300" distR="114300" simplePos="0" relativeHeight="251660288" behindDoc="0" locked="0" layoutInCell="1" allowOverlap="1">
                <wp:simplePos x="0" y="0"/>
                <wp:positionH relativeFrom="margin">
                  <wp:posOffset>478155</wp:posOffset>
                </wp:positionH>
                <wp:positionV relativeFrom="paragraph">
                  <wp:posOffset>3138805</wp:posOffset>
                </wp:positionV>
                <wp:extent cx="6160135" cy="1669415"/>
                <wp:effectExtent l="0" t="0" r="0" b="0"/>
                <wp:wrapNone/>
                <wp:docPr id="8" name="矩形 8"/>
                <wp:cNvGraphicFramePr/>
                <a:graphic xmlns:a="http://schemas.openxmlformats.org/drawingml/2006/main">
                  <a:graphicData uri="http://schemas.microsoft.com/office/word/2010/wordprocessingShape">
                    <wps:wsp>
                      <wps:cNvSpPr/>
                      <wps:spPr>
                        <a:xfrm>
                          <a:off x="0" y="0"/>
                          <a:ext cx="6160135" cy="1669415"/>
                        </a:xfrm>
                        <a:prstGeom prst="rect">
                          <a:avLst/>
                        </a:prstGeom>
                        <a:noFill/>
                        <a:ln>
                          <a:noFill/>
                        </a:ln>
                      </wps:spPr>
                      <wps:txbx>
                        <w:txbxContent>
                          <w:p>
                            <w:pPr>
                              <w:spacing w:before="156"/>
                              <w:jc w:val="right"/>
                              <w:rPr>
                                <w:rFonts w:hint="eastAsia" w:ascii="黑体" w:hAnsi="黑体" w:eastAsia="黑体"/>
                                <w:b/>
                                <w:bCs/>
                                <w:sz w:val="44"/>
                                <w:szCs w:val="44"/>
                                <w:u w:val="single"/>
                                <w:lang w:val="en-US" w:eastAsia="zh-CN"/>
                              </w:rPr>
                            </w:pPr>
                            <w:r>
                              <w:rPr>
                                <w:rFonts w:hint="eastAsia" w:ascii="黑体" w:hAnsi="黑体" w:eastAsia="黑体"/>
                                <w:b/>
                                <w:bCs/>
                                <w:sz w:val="44"/>
                                <w:szCs w:val="44"/>
                                <w:u w:val="single"/>
                                <w:lang w:val="en-US" w:eastAsia="zh-CN"/>
                              </w:rPr>
                              <w:t>南方电网</w:t>
                            </w:r>
                            <w:r>
                              <w:rPr>
                                <w:rFonts w:hint="eastAsia" w:ascii="黑体" w:hAnsi="黑体" w:eastAsia="黑体"/>
                                <w:b/>
                                <w:bCs/>
                                <w:sz w:val="44"/>
                                <w:szCs w:val="44"/>
                                <w:u w:val="single"/>
                                <w:lang w:eastAsia="zh-CN"/>
                              </w:rPr>
                              <w:t>公司</w:t>
                            </w:r>
                            <w:r>
                              <w:rPr>
                                <w:rFonts w:hint="eastAsia" w:ascii="黑体" w:hAnsi="黑体" w:eastAsia="黑体"/>
                                <w:b/>
                                <w:bCs/>
                                <w:sz w:val="44"/>
                                <w:szCs w:val="44"/>
                                <w:u w:val="single"/>
                                <w:lang w:val="en-US" w:eastAsia="zh-CN"/>
                              </w:rPr>
                              <w:t>综合基地6号楼首层改造项目</w:t>
                            </w:r>
                          </w:p>
                          <w:p>
                            <w:pPr>
                              <w:spacing w:before="156"/>
                              <w:jc w:val="right"/>
                              <w:rPr>
                                <w:rFonts w:ascii="黑体" w:hAnsi="黑体" w:eastAsia="黑体"/>
                                <w:b/>
                                <w:bCs/>
                                <w:sz w:val="40"/>
                                <w:szCs w:val="40"/>
                                <w:u w:val="single"/>
                              </w:rPr>
                            </w:pPr>
                            <w:r>
                              <w:rPr>
                                <w:rFonts w:hint="eastAsia" w:ascii="黑体" w:hAnsi="黑体" w:eastAsia="黑体"/>
                                <w:b/>
                                <w:bCs/>
                                <w:sz w:val="44"/>
                                <w:szCs w:val="44"/>
                                <w:u w:val="single"/>
                                <w:lang w:val="en-US" w:eastAsia="zh-CN"/>
                              </w:rPr>
                              <w:t>可研咨询</w:t>
                            </w:r>
                            <w:r>
                              <w:rPr>
                                <w:rFonts w:hint="eastAsia" w:ascii="黑体" w:hAnsi="黑体" w:eastAsia="黑体"/>
                                <w:b/>
                                <w:bCs/>
                                <w:sz w:val="44"/>
                                <w:szCs w:val="44"/>
                                <w:u w:val="single"/>
                                <w:lang w:eastAsia="zh-CN"/>
                              </w:rPr>
                              <w:t>服务零星采购</w:t>
                            </w:r>
                          </w:p>
                          <w:p/>
                        </w:txbxContent>
                      </wps:txbx>
                      <wps:bodyPr upright="1"/>
                    </wps:wsp>
                  </a:graphicData>
                </a:graphic>
              </wp:anchor>
            </w:drawing>
          </mc:Choice>
          <mc:Fallback>
            <w:pict>
              <v:rect id="_x0000_s1026" o:spid="_x0000_s1026" o:spt="1" style="position:absolute;left:0pt;margin-left:37.65pt;margin-top:247.15pt;height:131.45pt;width:485.05pt;mso-position-horizontal-relative:margin;z-index:251660288;mso-width-relative:page;mso-height-relative:page;" filled="f" stroked="f" coordsize="21600,21600" o:gfxdata="UEsDBAoAAAAAAIdO4kAAAAAAAAAAAAAAAAAEAAAAZHJzL1BLAwQUAAAACACHTuJAh2274dsAAAAL&#10;AQAADwAAAGRycy9kb3ducmV2LnhtbE2PwW7CMAyG75P2DpGRdpkggRXYSlMOSNPQNAlRGOfQeG21&#10;xilNaNnbLz1tN1v/p9+fk/XN1KzD1lWWJEwnAhhSbnVFhYTj4XX8DMx5RVrVllDCDzpYp/d3iYq1&#10;7WmPXeYLFkrIxUpC6X0Tc+7yEo1yE9sghezLtkb5sLYF163qQ7mp+UyIBTeqonChVA1uSsy/s6uR&#10;0Oe77nT4eOO7x9PW0mV72WSf71I+jKZiBczjzf/BMOgHdUiD09leSTtWS1jOnwIpIXqJwjAAIppH&#10;wM5DtJwBTxP+/4f0F1BLAwQUAAAACACHTuJAS2rRm6MBAABCAwAADgAAAGRycy9lMm9Eb2MueG1s&#10;rVJLbtswEN0X6B0I7mtKaSOkguVsjHRTJAHSHoCmSIsAfxjSlnyaANn1ED1O0Wt0SKlOm26y6Iaa&#10;GY7evPeG6+vJGnKUELV3Ha1XFSXSCd9rt+/o1y83764oiYm7nhvvZEdPMtLrzds36zG08sIP3vQS&#10;CIK42I6ho0NKoWUsikFaHlc+SIeXyoPlCVPYsx74iOjWsIuqatjooQ/ghYwRq9v5ki6I8BpAr5QW&#10;cuvFwUqXZlSQhieUFAcdIt0UtkpJke6UijIR01FUmsqJQzDe5ZNt1rzdAw+DFgsF/hoKLzRZrh0O&#10;PUNteeLkAPofKKsF+OhVWglv2SykOIIq6uqFNw8DD7JoQatjOJse/x+suD3eA9F9R3Htjltc+M/H&#10;bz++P5Gr7M0YYostD+EeliximIVOCmz+ogQyFT9PZz/llIjAYlM3Vf3+khKBd3XTfPxQX2ZU9vx7&#10;gJg+SW9JDjoKuLDiIz9+jmlu/d2Spzl/o43BOm+N+6uAmLnCMuOZY47StJsW4jvfn1DqIYDeDziq&#10;LkxyE1pbOC3PIO/uz7yAPj/9zS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CHbbvh2wAAAAsBAAAP&#10;AAAAAAAAAAEAIAAAACIAAABkcnMvZG93bnJldi54bWxQSwECFAAUAAAACACHTuJAS2rRm6MBAABC&#10;AwAADgAAAAAAAAABACAAAAAqAQAAZHJzL2Uyb0RvYy54bWxQSwUGAAAAAAYABgBZAQAAPwUAAAAA&#10;">
                <v:fill on="f" focussize="0,0"/>
                <v:stroke on="f"/>
                <v:imagedata o:title=""/>
                <o:lock v:ext="edit" aspectratio="f"/>
                <v:textbox>
                  <w:txbxContent>
                    <w:p>
                      <w:pPr>
                        <w:spacing w:before="156"/>
                        <w:jc w:val="right"/>
                        <w:rPr>
                          <w:rFonts w:hint="eastAsia" w:ascii="黑体" w:hAnsi="黑体" w:eastAsia="黑体"/>
                          <w:b/>
                          <w:bCs/>
                          <w:sz w:val="44"/>
                          <w:szCs w:val="44"/>
                          <w:u w:val="single"/>
                          <w:lang w:val="en-US" w:eastAsia="zh-CN"/>
                        </w:rPr>
                      </w:pPr>
                      <w:r>
                        <w:rPr>
                          <w:rFonts w:hint="eastAsia" w:ascii="黑体" w:hAnsi="黑体" w:eastAsia="黑体"/>
                          <w:b/>
                          <w:bCs/>
                          <w:sz w:val="44"/>
                          <w:szCs w:val="44"/>
                          <w:u w:val="single"/>
                          <w:lang w:val="en-US" w:eastAsia="zh-CN"/>
                        </w:rPr>
                        <w:t>南方电网</w:t>
                      </w:r>
                      <w:r>
                        <w:rPr>
                          <w:rFonts w:hint="eastAsia" w:ascii="黑体" w:hAnsi="黑体" w:eastAsia="黑体"/>
                          <w:b/>
                          <w:bCs/>
                          <w:sz w:val="44"/>
                          <w:szCs w:val="44"/>
                          <w:u w:val="single"/>
                          <w:lang w:eastAsia="zh-CN"/>
                        </w:rPr>
                        <w:t>公司</w:t>
                      </w:r>
                      <w:r>
                        <w:rPr>
                          <w:rFonts w:hint="eastAsia" w:ascii="黑体" w:hAnsi="黑体" w:eastAsia="黑体"/>
                          <w:b/>
                          <w:bCs/>
                          <w:sz w:val="44"/>
                          <w:szCs w:val="44"/>
                          <w:u w:val="single"/>
                          <w:lang w:val="en-US" w:eastAsia="zh-CN"/>
                        </w:rPr>
                        <w:t>综合基地6号楼首层改造项目</w:t>
                      </w:r>
                    </w:p>
                    <w:p>
                      <w:pPr>
                        <w:spacing w:before="156"/>
                        <w:jc w:val="right"/>
                        <w:rPr>
                          <w:rFonts w:ascii="黑体" w:hAnsi="黑体" w:eastAsia="黑体"/>
                          <w:b/>
                          <w:bCs/>
                          <w:sz w:val="40"/>
                          <w:szCs w:val="40"/>
                          <w:u w:val="single"/>
                        </w:rPr>
                      </w:pPr>
                      <w:r>
                        <w:rPr>
                          <w:rFonts w:hint="eastAsia" w:ascii="黑体" w:hAnsi="黑体" w:eastAsia="黑体"/>
                          <w:b/>
                          <w:bCs/>
                          <w:sz w:val="44"/>
                          <w:szCs w:val="44"/>
                          <w:u w:val="single"/>
                          <w:lang w:val="en-US" w:eastAsia="zh-CN"/>
                        </w:rPr>
                        <w:t>可研咨询</w:t>
                      </w:r>
                      <w:r>
                        <w:rPr>
                          <w:rFonts w:hint="eastAsia" w:ascii="黑体" w:hAnsi="黑体" w:eastAsia="黑体"/>
                          <w:b/>
                          <w:bCs/>
                          <w:sz w:val="44"/>
                          <w:szCs w:val="44"/>
                          <w:u w:val="single"/>
                          <w:lang w:eastAsia="zh-CN"/>
                        </w:rPr>
                        <w:t>服务零星采购</w:t>
                      </w:r>
                    </w:p>
                    <w:p/>
                  </w:txbxContent>
                </v:textbox>
              </v:rect>
            </w:pict>
          </mc:Fallback>
        </mc:AlternateContent>
      </w:r>
      <w:r>
        <w:rPr>
          <w:highlight w:val="none"/>
        </w:rPr>
        <w:drawing>
          <wp:anchor distT="0" distB="0" distL="114300" distR="114300" simplePos="0" relativeHeight="251663360" behindDoc="1" locked="0" layoutInCell="1" allowOverlap="1">
            <wp:simplePos x="0" y="0"/>
            <wp:positionH relativeFrom="page">
              <wp:posOffset>6350</wp:posOffset>
            </wp:positionH>
            <wp:positionV relativeFrom="paragraph">
              <wp:posOffset>-942975</wp:posOffset>
            </wp:positionV>
            <wp:extent cx="7569835" cy="7791450"/>
            <wp:effectExtent l="0" t="0" r="12065" b="0"/>
            <wp:wrapNone/>
            <wp:docPr id="9" name="图片 10"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说明: 未命名"/>
                    <pic:cNvPicPr>
                      <a:picLocks noChangeAspect="1"/>
                    </pic:cNvPicPr>
                  </pic:nvPicPr>
                  <pic:blipFill>
                    <a:blip r:embed="rId6"/>
                    <a:stretch>
                      <a:fillRect/>
                    </a:stretch>
                  </pic:blipFill>
                  <pic:spPr>
                    <a:xfrm>
                      <a:off x="0" y="0"/>
                      <a:ext cx="7569835" cy="7791450"/>
                    </a:xfrm>
                    <a:prstGeom prst="rect">
                      <a:avLst/>
                    </a:prstGeom>
                    <a:noFill/>
                    <a:ln>
                      <a:noFill/>
                    </a:ln>
                  </pic:spPr>
                </pic:pic>
              </a:graphicData>
            </a:graphic>
          </wp:anchor>
        </w:drawing>
      </w:r>
      <w:r>
        <w:rPr>
          <w:highlight w:val="none"/>
        </w:rPr>
        <w:drawing>
          <wp:anchor distT="0" distB="0" distL="114300" distR="114300" simplePos="0" relativeHeight="251664384" behindDoc="0" locked="0" layoutInCell="1" allowOverlap="1">
            <wp:simplePos x="0" y="0"/>
            <wp:positionH relativeFrom="page">
              <wp:posOffset>386080</wp:posOffset>
            </wp:positionH>
            <wp:positionV relativeFrom="paragraph">
              <wp:posOffset>887730</wp:posOffset>
            </wp:positionV>
            <wp:extent cx="3459480" cy="813435"/>
            <wp:effectExtent l="0" t="0" r="7620" b="5715"/>
            <wp:wrapNone/>
            <wp:docPr id="10" name="图片 11"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说明: 中国南方电网公司---横向标准组合"/>
                    <pic:cNvPicPr>
                      <a:picLocks noChangeAspect="1"/>
                    </pic:cNvPicPr>
                  </pic:nvPicPr>
                  <pic:blipFill>
                    <a:blip r:embed="rId7"/>
                    <a:stretch>
                      <a:fillRect/>
                    </a:stretch>
                  </pic:blipFill>
                  <pic:spPr>
                    <a:xfrm>
                      <a:off x="0" y="0"/>
                      <a:ext cx="3459480" cy="813435"/>
                    </a:xfrm>
                    <a:prstGeom prst="rect">
                      <a:avLst/>
                    </a:prstGeom>
                    <a:noFill/>
                    <a:ln>
                      <a:noFill/>
                    </a:ln>
                  </pic:spPr>
                </pic:pic>
              </a:graphicData>
            </a:graphic>
          </wp:anchor>
        </w:drawing>
      </w:r>
      <w:r>
        <w:rPr>
          <w:highlight w:val="none"/>
        </w:rPr>
        <mc:AlternateContent>
          <mc:Choice Requires="wps">
            <w:drawing>
              <wp:anchor distT="0" distB="0" distL="114300" distR="114300" simplePos="0" relativeHeight="251661312" behindDoc="0" locked="0" layoutInCell="1" allowOverlap="1">
                <wp:simplePos x="0" y="0"/>
                <wp:positionH relativeFrom="column">
                  <wp:posOffset>1929130</wp:posOffset>
                </wp:positionH>
                <wp:positionV relativeFrom="paragraph">
                  <wp:posOffset>8201025</wp:posOffset>
                </wp:positionV>
                <wp:extent cx="3639185" cy="1762760"/>
                <wp:effectExtent l="4445" t="4445" r="13970" b="23495"/>
                <wp:wrapNone/>
                <wp:docPr id="6" name="文本框 6"/>
                <wp:cNvGraphicFramePr/>
                <a:graphic xmlns:a="http://schemas.openxmlformats.org/drawingml/2006/main">
                  <a:graphicData uri="http://schemas.microsoft.com/office/word/2010/wordprocessingShape">
                    <wps:wsp>
                      <wps:cNvSpPr txBox="1"/>
                      <wps:spPr>
                        <a:xfrm>
                          <a:off x="0" y="0"/>
                          <a:ext cx="3639185" cy="176276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jc w:val="center"/>
                              <w:rPr>
                                <w:rFonts w:ascii="黑体" w:hAnsi="黑体" w:eastAsia="黑体"/>
                                <w:b/>
                                <w:sz w:val="30"/>
                                <w:szCs w:val="30"/>
                                <w:u w:val="single"/>
                              </w:rPr>
                            </w:pPr>
                            <w:bookmarkStart w:id="3" w:name="XmInfoEntity_DATE_0_3"/>
                            <w:r>
                              <w:rPr>
                                <w:rFonts w:hint="eastAsia" w:ascii="黑体" w:hAnsi="黑体" w:eastAsia="黑体"/>
                                <w:b/>
                                <w:sz w:val="30"/>
                                <w:szCs w:val="30"/>
                                <w:u w:val="single"/>
                              </w:rPr>
                              <w:t>202</w:t>
                            </w:r>
                            <w:r>
                              <w:rPr>
                                <w:rFonts w:hint="eastAsia" w:ascii="黑体" w:hAnsi="黑体" w:eastAsia="黑体"/>
                                <w:b/>
                                <w:sz w:val="30"/>
                                <w:szCs w:val="30"/>
                                <w:u w:val="single"/>
                                <w:lang w:val="en-US" w:eastAsia="zh-CN"/>
                              </w:rPr>
                              <w:t>4</w:t>
                            </w:r>
                            <w:r>
                              <w:rPr>
                                <w:rFonts w:hint="eastAsia" w:ascii="黑体" w:hAnsi="黑体" w:eastAsia="黑体"/>
                                <w:b/>
                                <w:sz w:val="30"/>
                                <w:szCs w:val="30"/>
                                <w:u w:val="single"/>
                              </w:rPr>
                              <w:t>年</w:t>
                            </w:r>
                            <w:r>
                              <w:rPr>
                                <w:rFonts w:hint="eastAsia" w:ascii="黑体" w:hAnsi="黑体" w:eastAsia="黑体"/>
                                <w:b/>
                                <w:sz w:val="30"/>
                                <w:szCs w:val="30"/>
                                <w:u w:val="single"/>
                                <w:lang w:val="en-US" w:eastAsia="zh-CN"/>
                              </w:rPr>
                              <w:t>8</w:t>
                            </w:r>
                            <w:r>
                              <w:rPr>
                                <w:rFonts w:hint="eastAsia" w:ascii="黑体" w:hAnsi="黑体" w:eastAsia="黑体"/>
                                <w:b/>
                                <w:sz w:val="30"/>
                                <w:szCs w:val="30"/>
                                <w:u w:val="single"/>
                              </w:rPr>
                              <w:t>月</w:t>
                            </w:r>
                            <w:bookmarkEnd w:id="3"/>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_x0000_s1026" o:spid="_x0000_s1026" o:spt="202" type="#_x0000_t202" style="position:absolute;left:0pt;margin-left:151.9pt;margin-top:645.75pt;height:138.8pt;width:286.55pt;z-index:251661312;mso-width-relative:page;mso-height-relative:margin;mso-height-percent:200;" fillcolor="#FFFFFF" filled="t" stroked="t" coordsize="21600,21600" o:gfxdata="UEsDBAoAAAAAAIdO4kAAAAAAAAAAAAAAAAAEAAAAZHJzL1BLAwQUAAAACACHTuJA1i1XQd0AAAAN&#10;AQAADwAAAGRycy9kb3ducmV2LnhtbE2PzU7DMBCE70i8g7VI3KidVg1NiNMDAgkOVdVCVXFz7SVJ&#10;8U8UO215e5YTHGdnNPNttbw4y044xC54CdlEAEOvg+l8I+H97fluASwm5Y2ywaOEb4ywrK+vKlWa&#10;cPYbPG1Tw6jEx1JJaFPqS86jbtGpOAk9evI+w+BUIjk03AzqTOXO8qkQOXeq87TQqh4fW9Rf29FJ&#10;eNL9S7H+sMf9Wu9EPorV6zGspLy9ycQDsISX9BeGX3xCh5qYDmH0JjIrYSZmhJ7ImBbZHBhFFvd5&#10;AexAp3leZMDriv//ov4BUEsDBBQAAAAIAIdO4kDrq0HhFQIAAFEEAAAOAAAAZHJzL2Uyb0RvYy54&#10;bWytVE2O0zAU3iNxB8t7mqajycxUTUdAKRsESAMHcG0nseQ/+blNegG4ASs27DlXz8Gz02mZYdMF&#10;WSTP9ufP7/vecxb3g9FkJwMoZ2taTqaUSMudULat6dcv61e3lEBkVjDtrKzpXgK9X758sej9XM5c&#10;57SQgSCJhXnva9rF6OdFAbyThsHEeWlxsXHBsIjD0BYisB7ZjS5m02lV9C4IHxyXADi7GhfpkTFc&#10;QuiaRnG5cnxrpI0ja5CaRZQEnfJAlznbppE8fmoakJHomqLSmN94CMab9C6WCzZvA/Od4scU2CUp&#10;PNNkmLJ46IlqxSIj26D+oTKKBweuiRPuTDEKyY6ginL6zJuHjnmZtaDV4E+mw/+j5R93nwNRoqYV&#10;JZYZLPjhx/fDz9+HX99IlezpPcwR9eARF4c3bsCmeZwHnEyqhyaY9EU9BNfR3P3JXDlEwnHyqrq6&#10;K2+vKeG4Vt5Us5sq21+ct/sA8b10hqSgpgGrl01luw8QMRWEPkLSaeC0EmuldR6EdvNWB7JjWOl1&#10;flKWuOUJTFvS1/TuepYSYdi+DbYNhsajBWDbfN6THXAZcUpsxaAbE8gMY3MZFWXIbdZJJt5ZQeLe&#10;o80WbxdNyRgpKNESL2OKMjIypS9BojptUWSq0ViLFMVhMyBNCjdO7LFuWx9U26Gl5ajPv95Gt1bZ&#10;0zPsSISdln073orUyn+PM+r8J1j+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NYtV0HdAAAADQEA&#10;AA8AAAAAAAAAAQAgAAAAIgAAAGRycy9kb3ducmV2LnhtbFBLAQIUABQAAAAIAIdO4kDrq0HhFQIA&#10;AFEEAAAOAAAAAAAAAAEAIAAAACwBAABkcnMvZTJvRG9jLnhtbFBLBQYAAAAABgAGAFkBAACzBQAA&#10;AAA=&#10;">
                <v:fill on="t" focussize="0,0"/>
                <v:stroke color="#FFFFFF" joinstyle="miter"/>
                <v:imagedata o:title=""/>
                <o:lock v:ext="edit" aspectratio="f"/>
                <v:textbox style="mso-fit-shape-to-text:t;">
                  <w:txbxContent>
                    <w:p>
                      <w:pPr>
                        <w:jc w:val="center"/>
                        <w:rPr>
                          <w:rFonts w:ascii="黑体" w:hAnsi="黑体" w:eastAsia="黑体"/>
                          <w:b/>
                          <w:sz w:val="30"/>
                          <w:szCs w:val="30"/>
                          <w:u w:val="single"/>
                        </w:rPr>
                      </w:pPr>
                      <w:bookmarkStart w:id="3" w:name="XmInfoEntity_DATE_0_3"/>
                      <w:r>
                        <w:rPr>
                          <w:rFonts w:hint="eastAsia" w:ascii="黑体" w:hAnsi="黑体" w:eastAsia="黑体"/>
                          <w:b/>
                          <w:sz w:val="30"/>
                          <w:szCs w:val="30"/>
                          <w:u w:val="single"/>
                        </w:rPr>
                        <w:t>202</w:t>
                      </w:r>
                      <w:r>
                        <w:rPr>
                          <w:rFonts w:hint="eastAsia" w:ascii="黑体" w:hAnsi="黑体" w:eastAsia="黑体"/>
                          <w:b/>
                          <w:sz w:val="30"/>
                          <w:szCs w:val="30"/>
                          <w:u w:val="single"/>
                          <w:lang w:val="en-US" w:eastAsia="zh-CN"/>
                        </w:rPr>
                        <w:t>4</w:t>
                      </w:r>
                      <w:r>
                        <w:rPr>
                          <w:rFonts w:hint="eastAsia" w:ascii="黑体" w:hAnsi="黑体" w:eastAsia="黑体"/>
                          <w:b/>
                          <w:sz w:val="30"/>
                          <w:szCs w:val="30"/>
                          <w:u w:val="single"/>
                        </w:rPr>
                        <w:t>年</w:t>
                      </w:r>
                      <w:r>
                        <w:rPr>
                          <w:rFonts w:hint="eastAsia" w:ascii="黑体" w:hAnsi="黑体" w:eastAsia="黑体"/>
                          <w:b/>
                          <w:sz w:val="30"/>
                          <w:szCs w:val="30"/>
                          <w:u w:val="single"/>
                          <w:lang w:val="en-US" w:eastAsia="zh-CN"/>
                        </w:rPr>
                        <w:t>8</w:t>
                      </w:r>
                      <w:r>
                        <w:rPr>
                          <w:rFonts w:hint="eastAsia" w:ascii="黑体" w:hAnsi="黑体" w:eastAsia="黑体"/>
                          <w:b/>
                          <w:sz w:val="30"/>
                          <w:szCs w:val="30"/>
                          <w:u w:val="single"/>
                        </w:rPr>
                        <w:t>月</w:t>
                      </w:r>
                      <w:bookmarkEnd w:id="3"/>
                    </w:p>
                  </w:txbxContent>
                </v:textbox>
              </v:shape>
            </w:pict>
          </mc:Fallback>
        </mc:AlternateContent>
      </w:r>
      <w:r>
        <w:rPr>
          <w:highlight w:val="none"/>
        </w:rPr>
        <mc:AlternateContent>
          <mc:Choice Requires="wps">
            <w:drawing>
              <wp:anchor distT="0" distB="0" distL="114300" distR="114300" simplePos="0" relativeHeight="251662336" behindDoc="0" locked="0" layoutInCell="1" allowOverlap="1">
                <wp:simplePos x="0" y="0"/>
                <wp:positionH relativeFrom="margin">
                  <wp:posOffset>4067810</wp:posOffset>
                </wp:positionH>
                <wp:positionV relativeFrom="paragraph">
                  <wp:posOffset>4297680</wp:posOffset>
                </wp:positionV>
                <wp:extent cx="2428875" cy="1246505"/>
                <wp:effectExtent l="0" t="0" r="0" b="0"/>
                <wp:wrapNone/>
                <wp:docPr id="5" name="文本框 5"/>
                <wp:cNvGraphicFramePr/>
                <a:graphic xmlns:a="http://schemas.openxmlformats.org/drawingml/2006/main">
                  <a:graphicData uri="http://schemas.microsoft.com/office/word/2010/wordprocessingShape">
                    <wps:wsp>
                      <wps:cNvSpPr txBox="1"/>
                      <wps:spPr>
                        <a:xfrm>
                          <a:off x="0" y="0"/>
                          <a:ext cx="2428875" cy="1246505"/>
                        </a:xfrm>
                        <a:prstGeom prst="rect">
                          <a:avLst/>
                        </a:prstGeom>
                        <a:noFill/>
                        <a:ln>
                          <a:noFill/>
                        </a:ln>
                      </wps:spPr>
                      <wps:txbx>
                        <w:txbxContent>
                          <w:p>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wps:txbx>
                      <wps:bodyPr upright="1"/>
                    </wps:wsp>
                  </a:graphicData>
                </a:graphic>
              </wp:anchor>
            </w:drawing>
          </mc:Choice>
          <mc:Fallback>
            <w:pict>
              <v:shape id="_x0000_s1026" o:spid="_x0000_s1026" o:spt="202" type="#_x0000_t202" style="position:absolute;left:0pt;margin-left:320.3pt;margin-top:338.4pt;height:98.15pt;width:191.25pt;mso-position-horizontal-relative:margin;z-index:251662336;mso-width-relative:page;mso-height-relative:page;" filled="f" stroked="f" coordsize="21600,21600" o:gfxdata="UEsDBAoAAAAAAIdO4kAAAAAAAAAAAAAAAAAEAAAAZHJzL1BLAwQUAAAACACHTuJA7PYpP9gAAAAM&#10;AQAADwAAAGRycy9kb3ducmV2LnhtbE2PzW7CMBCE75V4B2uReit2KA0Q4nBo1Wur0h+Jm4mXJCJe&#10;R7Eh6dt3OZXbjPbT7Ey+HV0rLtiHxpOGZKZAIJXeNlRp+Pp8fViBCNGQNa0n1PCLAbbF5C43mfUD&#10;feBlFyvBIRQyo6GOscukDGWNzoSZ75D4dvS9M5FtX0nbm4HDXSvnSqXSmYb4Q206fK6xPO3OTsP3&#10;23H/s1Dv1Yt76gY/KkluLbW+nyZqAyLiGP9huNbn6lBwp4M/kw2i1ZAuVMooi2XKG66Emj8mIA4a&#10;VksWssjl7YjiD1BLAwQUAAAACACHTuJAHmMW/q4BAABPAwAADgAAAGRycy9lMm9Eb2MueG1srVNL&#10;btswEN0X6B0I7mvKQpwaguUAgZFuiqZA2gPQFGkR4A8c2pIv0Nygq26677l8jg5px/ltssiGImee&#10;3sx7Qy6uRmvITkbQ3rV0OqkokU74TrtNS3/+uPk0pwQSdx033smW7iXQq+XHD4shNLL2vTedjARJ&#10;HDRDaGmfUmgYA9FLy2Hig3SYVD5anvAYN6yLfEB2a1hdVZds8LEL0QsJgNHVMUlPjPEthF4pLeTK&#10;i62VLh1ZozQ8oSTodQC6LN0qJUW6VQpkIqalqDSVFYvgfp1XtlzwZhN56LU4tcDf0sILTZZrh0XP&#10;VCueONlG/YrKahE9eJUmwlt2FFIcQRXT6oU3dz0PsmhBqyGcTYf3oxXfdt8j0V1LZ5Q4bnHgh9/3&#10;hz//Dn9/kVm2ZwjQIOouIC6N137ES/MQBwxm1aOKNn9RD8E8mrs/myvHRAQG64t6Pv+MVQTmpvXF&#10;5awq/Ozx9xAhfZHekrxpacTpFVP57iskbAWhD5BczfkbbUyZoHHPAgjMEZZ7P/aYd2lcjydBa9/t&#10;Uc82RL3psVRRVODocyl0uhN5kE/PhfTxHSz/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Oz2KT/Y&#10;AAAADAEAAA8AAAAAAAAAAQAgAAAAIgAAAGRycy9kb3ducmV2LnhtbFBLAQIUABQAAAAIAIdO4kAe&#10;Yxb+rgEAAE8DAAAOAAAAAAAAAAEAIAAAACcBAABkcnMvZTJvRG9jLnhtbFBLBQYAAAAABgAGAFkB&#10;AABHBQAAAAA=&#10;">
                <v:fill on="f" focussize="0,0"/>
                <v:stroke on="f"/>
                <v:imagedata o:title=""/>
                <o:lock v:ext="edit" aspectratio="f"/>
                <v:textbox>
                  <w:txbxContent>
                    <w:p>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v:textbox>
              </v:shape>
            </w:pict>
          </mc:Fallback>
        </mc:AlternateContent>
      </w:r>
    </w:p>
    <w:p>
      <w:pPr>
        <w:shd w:val="clear" w:color="auto" w:fill="auto"/>
        <w:spacing w:before="156"/>
        <w:jc w:val="center"/>
        <w:rPr>
          <w:rFonts w:hint="eastAsia" w:ascii="黑体" w:hAnsi="黑体" w:eastAsia="黑体"/>
          <w:b/>
          <w:color w:val="000000"/>
          <w:sz w:val="36"/>
          <w:szCs w:val="36"/>
          <w:u w:val="none"/>
          <w:lang w:val="en-US" w:eastAsia="zh-CN"/>
        </w:rPr>
      </w:pPr>
      <w:r>
        <w:rPr>
          <w:rFonts w:hint="eastAsia" w:ascii="黑体" w:hAnsi="黑体" w:eastAsia="黑体"/>
          <w:b/>
          <w:color w:val="000000"/>
          <w:sz w:val="36"/>
          <w:szCs w:val="36"/>
          <w:u w:val="none"/>
          <w:lang w:val="en-US" w:eastAsia="zh-CN"/>
        </w:rPr>
        <w:t>南</w:t>
      </w:r>
      <w:bookmarkEnd w:id="0"/>
      <w:r>
        <w:rPr>
          <w:rFonts w:hint="eastAsia" w:ascii="黑体" w:hAnsi="黑体" w:eastAsia="黑体"/>
          <w:b/>
          <w:color w:val="000000"/>
          <w:sz w:val="36"/>
          <w:szCs w:val="36"/>
          <w:u w:val="none"/>
          <w:lang w:val="en-US" w:eastAsia="zh-CN"/>
        </w:rPr>
        <w:t>方电网公司综合基地6号楼首层改造项目可研咨询服务零星采购</w:t>
      </w:r>
    </w:p>
    <w:p>
      <w:pPr>
        <w:adjustRightInd w:val="0"/>
        <w:snapToGrid w:val="0"/>
        <w:spacing w:before="156"/>
        <w:jc w:val="both"/>
        <w:rPr>
          <w:rFonts w:hint="eastAsia"/>
          <w:b/>
          <w:sz w:val="28"/>
          <w:szCs w:val="28"/>
        </w:rPr>
      </w:pPr>
      <w:r>
        <w:rPr>
          <w:rFonts w:hint="eastAsia"/>
          <w:b/>
          <w:color w:val="000000"/>
          <w:kern w:val="0"/>
          <w:sz w:val="28"/>
          <w:szCs w:val="28"/>
          <w:lang w:val="en-US" w:eastAsia="zh-CN"/>
        </w:rPr>
        <w:t>一、采购范围</w:t>
      </w:r>
      <w:r>
        <w:rPr>
          <w:rFonts w:hint="eastAsia"/>
          <w:b/>
          <w:sz w:val="28"/>
          <w:szCs w:val="28"/>
        </w:rPr>
        <w:t xml:space="preserve"> </w:t>
      </w:r>
    </w:p>
    <w:p>
      <w:pPr>
        <w:ind w:firstLine="560" w:firstLineChars="200"/>
        <w:rPr>
          <w:rFonts w:hint="default" w:ascii="楷体_GB2312" w:hAnsi="宋体" w:eastAsia="楷体_GB2312"/>
          <w:b/>
          <w:sz w:val="32"/>
          <w:szCs w:val="32"/>
          <w:highlight w:val="yellow"/>
          <w:u w:val="single"/>
          <w:lang w:val="en-US" w:eastAsia="zh-CN"/>
        </w:rPr>
      </w:pPr>
      <w:r>
        <w:rPr>
          <w:rFonts w:hint="eastAsia"/>
          <w:sz w:val="28"/>
          <w:szCs w:val="28"/>
          <w:lang w:val="en-US" w:eastAsia="zh-CN"/>
        </w:rPr>
        <w:t>对南方电网公司综合基地6号楼首层改造项目（建设内容：</w:t>
      </w:r>
      <w:r>
        <w:rPr>
          <w:rFonts w:hint="eastAsia"/>
          <w:i w:val="0"/>
          <w:iCs w:val="0"/>
          <w:sz w:val="28"/>
          <w:szCs w:val="28"/>
          <w:highlight w:val="none"/>
          <w:lang w:val="en-US" w:eastAsia="zh-CN"/>
        </w:rPr>
        <w:t>对6号楼首层重新布局，并调整部分空间，重新规划送餐取餐流线和功能间等</w:t>
      </w:r>
      <w:r>
        <w:rPr>
          <w:rFonts w:hint="eastAsia"/>
          <w:sz w:val="28"/>
          <w:szCs w:val="28"/>
          <w:lang w:val="en-US" w:eastAsia="zh-CN"/>
        </w:rPr>
        <w:t>）提供可研咨询服务工作，包括前期可研报告编制与估算咨询服务、协助参与可研评审</w:t>
      </w:r>
      <w:bookmarkStart w:id="4" w:name="_GoBack"/>
      <w:bookmarkEnd w:id="4"/>
      <w:r>
        <w:rPr>
          <w:rFonts w:hint="eastAsia"/>
          <w:sz w:val="28"/>
          <w:szCs w:val="28"/>
          <w:lang w:val="en-US" w:eastAsia="zh-CN"/>
        </w:rPr>
        <w:t>等工作。</w:t>
      </w:r>
    </w:p>
    <w:p>
      <w:pPr>
        <w:shd w:val="clear" w:color="auto" w:fill="auto"/>
        <w:adjustRightInd w:val="0"/>
        <w:snapToGrid w:val="0"/>
        <w:spacing w:before="156"/>
        <w:jc w:val="both"/>
        <w:rPr>
          <w:rFonts w:hint="eastAsia" w:cs="Times New Roman"/>
          <w:b/>
          <w:color w:val="000000"/>
          <w:kern w:val="0"/>
          <w:sz w:val="28"/>
          <w:szCs w:val="28"/>
          <w:lang w:val="en-US" w:eastAsia="zh-CN"/>
        </w:rPr>
      </w:pPr>
      <w:r>
        <w:rPr>
          <w:rFonts w:hint="eastAsia" w:cs="Times New Roman"/>
          <w:b/>
          <w:color w:val="000000"/>
          <w:kern w:val="0"/>
          <w:sz w:val="28"/>
          <w:szCs w:val="28"/>
          <w:lang w:val="en-US" w:eastAsia="zh-CN"/>
        </w:rPr>
        <w:t>二、报价人资质要求</w:t>
      </w:r>
    </w:p>
    <w:p>
      <w:pPr>
        <w:spacing w:beforeLines="0" w:afterLines="0"/>
        <w:rPr>
          <w:rFonts w:hint="default"/>
          <w:sz w:val="24"/>
        </w:rPr>
      </w:pPr>
      <w:bookmarkStart w:id="1" w:name="XmInfoEntity_tyzgyqTable_1_1"/>
    </w:p>
    <w:tbl>
      <w:tblPr>
        <w:tblStyle w:val="9"/>
        <w:tblW w:w="85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22"/>
        <w:gridCol w:w="66"/>
        <w:gridCol w:w="7311"/>
        <w:gridCol w:w="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9" w:type="dxa"/>
          <w:trHeight w:val="420" w:hRule="atLeast"/>
          <w:jc w:val="center"/>
        </w:trPr>
        <w:tc>
          <w:tcPr>
            <w:tcW w:w="8499" w:type="dxa"/>
            <w:gridSpan w:val="3"/>
            <w:tcBorders>
              <w:top w:val="nil"/>
              <w:left w:val="nil"/>
              <w:bottom w:val="single" w:color="000000" w:sz="6" w:space="0"/>
              <w:right w:val="nil"/>
              <w:tl2br w:val="nil"/>
              <w:tr2bl w:val="nil"/>
            </w:tcBorders>
            <w:shd w:val="clear" w:color="auto" w:fill="FFFFFF"/>
            <w:noWrap w:val="0"/>
            <w:vAlign w:val="center"/>
          </w:tcPr>
          <w:p>
            <w:pPr>
              <w:spacing w:beforeLines="0" w:afterLines="0"/>
              <w:ind w:left="113"/>
              <w:rPr>
                <w:rFonts w:hint="eastAsia" w:ascii="宋体" w:hAnsi="宋体" w:eastAsia="宋体"/>
                <w:sz w:val="24"/>
              </w:rPr>
            </w:pPr>
            <w:r>
              <w:rPr>
                <w:rFonts w:hint="eastAsia" w:ascii="宋体" w:hAnsi="宋体" w:eastAsia="宋体"/>
                <w:b/>
                <w:sz w:val="24"/>
              </w:rPr>
              <w:t>通用资格：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9" w:type="dxa"/>
          <w:trHeight w:val="420" w:hRule="atLeast"/>
          <w:jc w:val="center"/>
        </w:trPr>
        <w:tc>
          <w:tcPr>
            <w:tcW w:w="8499"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通用资格要求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9" w:type="dxa"/>
          <w:trHeight w:val="420" w:hRule="atLeast"/>
          <w:jc w:val="center"/>
        </w:trPr>
        <w:tc>
          <w:tcPr>
            <w:tcW w:w="1188"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序号</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9" w:type="dxa"/>
          <w:trHeight w:val="960" w:hRule="atLeast"/>
          <w:jc w:val="center"/>
        </w:trPr>
        <w:tc>
          <w:tcPr>
            <w:tcW w:w="1188"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sz w:val="24"/>
              </w:rPr>
              <w:t>1</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eastAsia" w:ascii="宋体" w:hAnsi="宋体" w:eastAsia="宋体"/>
                <w:sz w:val="24"/>
              </w:rPr>
            </w:pPr>
            <w:r>
              <w:rPr>
                <w:rFonts w:hint="eastAsia" w:ascii="宋体" w:hAnsi="宋体" w:eastAsia="宋体"/>
                <w:sz w:val="24"/>
              </w:rPr>
              <w:t>中华人民共和国境内注册合法运作的企业法人或具有企业法人授权的其他组织，具有独立承担民事责任的能力、独立承担招标项目的能力和独立履行合同的能力。</w:t>
            </w:r>
          </w:p>
        </w:tc>
      </w:tr>
      <w:bookmarkEnd w:id="1"/>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8528" w:type="dxa"/>
            <w:gridSpan w:val="4"/>
            <w:tcBorders>
              <w:top w:val="nil"/>
              <w:left w:val="nil"/>
              <w:bottom w:val="single" w:color="000000" w:sz="6" w:space="0"/>
              <w:right w:val="nil"/>
              <w:tl2br w:val="nil"/>
              <w:tr2bl w:val="nil"/>
            </w:tcBorders>
            <w:shd w:val="clear" w:color="auto" w:fill="FFFFFF"/>
            <w:noWrap w:val="0"/>
            <w:vAlign w:val="center"/>
          </w:tcPr>
          <w:p>
            <w:pPr>
              <w:spacing w:beforeLines="0" w:afterLines="0"/>
              <w:ind w:left="113"/>
              <w:rPr>
                <w:rFonts w:hint="eastAsia" w:ascii="宋体" w:hAnsi="宋体" w:eastAsia="宋体"/>
                <w:sz w:val="24"/>
              </w:rPr>
            </w:pPr>
            <w:bookmarkStart w:id="2" w:name="XmInfoEntity_zyzgyqTable_1_1"/>
            <w:r>
              <w:rPr>
                <w:rFonts w:hint="eastAsia" w:ascii="宋体" w:hAnsi="宋体"/>
                <w:b/>
                <w:sz w:val="24"/>
                <w:lang w:val="en-US" w:eastAsia="zh-CN"/>
              </w:rPr>
              <w:t>业绩</w:t>
            </w:r>
            <w:r>
              <w:rPr>
                <w:rFonts w:hint="eastAsia" w:ascii="宋体" w:hAnsi="宋体" w:eastAsia="宋体"/>
                <w:b/>
                <w:sz w:val="24"/>
              </w:rPr>
              <w:t>资格：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8528" w:type="dxa"/>
            <w:gridSpan w:val="4"/>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b/>
                <w:sz w:val="24"/>
                <w:lang w:val="en-US" w:eastAsia="zh-CN"/>
              </w:rPr>
              <w:t>业绩</w:t>
            </w:r>
            <w:r>
              <w:rPr>
                <w:rFonts w:hint="eastAsia" w:ascii="宋体" w:hAnsi="宋体" w:eastAsia="宋体"/>
                <w:b/>
                <w:sz w:val="24"/>
              </w:rPr>
              <w:t>资格要求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12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序号</w:t>
            </w:r>
          </w:p>
        </w:tc>
        <w:tc>
          <w:tcPr>
            <w:tcW w:w="7406"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0" w:hRule="atLeast"/>
          <w:jc w:val="center"/>
        </w:trPr>
        <w:tc>
          <w:tcPr>
            <w:tcW w:w="112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lang w:val="en-US" w:eastAsia="zh-CN"/>
              </w:rPr>
            </w:pPr>
            <w:r>
              <w:rPr>
                <w:rFonts w:hint="eastAsia" w:ascii="宋体" w:hAnsi="宋体"/>
                <w:sz w:val="24"/>
                <w:lang w:val="en-US" w:eastAsia="zh-CN"/>
              </w:rPr>
              <w:t>1</w:t>
            </w:r>
          </w:p>
        </w:tc>
        <w:tc>
          <w:tcPr>
            <w:tcW w:w="7406"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eastAsia" w:ascii="宋体" w:hAnsi="宋体"/>
                <w:sz w:val="24"/>
                <w:lang w:val="en-US" w:eastAsia="zh-CN"/>
              </w:rPr>
            </w:pPr>
            <w:r>
              <w:rPr>
                <w:rFonts w:hint="eastAsia" w:ascii="宋体" w:hAnsi="宋体"/>
                <w:sz w:val="24"/>
                <w:lang w:val="en-US" w:eastAsia="zh-CN"/>
              </w:rPr>
              <w:t>具备有效期内的咨询资质证书，或已在全国投资项目在线审批监管平台完成咨询业务备案公示（专</w:t>
            </w:r>
            <w:r>
              <w:rPr>
                <w:rFonts w:hint="eastAsia" w:ascii="宋体" w:hAnsi="宋体" w:eastAsia="宋体"/>
                <w:sz w:val="24"/>
                <w:lang w:val="en-US" w:eastAsia="zh-CN"/>
              </w:rPr>
              <w:t>业须为建筑专业、服务</w:t>
            </w:r>
            <w:r>
              <w:rPr>
                <w:rFonts w:hint="eastAsia" w:ascii="宋体" w:hAnsi="宋体"/>
                <w:sz w:val="24"/>
                <w:lang w:val="en-US" w:eastAsia="zh-CN"/>
              </w:rPr>
              <w:t>范围包括编制项目可行性研究报告）</w:t>
            </w:r>
          </w:p>
        </w:tc>
      </w:tr>
      <w:bookmarkEnd w:id="2"/>
    </w:tbl>
    <w:p>
      <w:pPr>
        <w:adjustRightInd w:val="0"/>
        <w:snapToGrid w:val="0"/>
        <w:spacing w:before="156"/>
        <w:jc w:val="both"/>
        <w:rPr>
          <w:rFonts w:hint="eastAsia"/>
          <w:b/>
          <w:color w:val="000000"/>
          <w:kern w:val="0"/>
          <w:sz w:val="28"/>
          <w:szCs w:val="28"/>
          <w:lang w:val="en-US" w:eastAsia="zh-CN"/>
        </w:rPr>
      </w:pPr>
    </w:p>
    <w:p>
      <w:pPr>
        <w:rPr>
          <w:rFonts w:hint="default"/>
          <w:b/>
          <w:sz w:val="28"/>
          <w:szCs w:val="28"/>
          <w:lang w:val="en-US" w:eastAsia="zh-CN"/>
        </w:rPr>
      </w:pPr>
      <w:r>
        <w:rPr>
          <w:rFonts w:hint="eastAsia"/>
          <w:b/>
          <w:sz w:val="28"/>
          <w:szCs w:val="28"/>
          <w:lang w:val="en-US" w:eastAsia="zh-CN"/>
        </w:rPr>
        <w:t>三、报价要求</w:t>
      </w:r>
    </w:p>
    <w:p>
      <w:pPr>
        <w:pStyle w:val="8"/>
        <w:spacing w:line="240" w:lineRule="auto"/>
        <w:ind w:left="0" w:leftChars="0" w:firstLine="560" w:firstLineChars="200"/>
        <w:rPr>
          <w:rFonts w:hint="default"/>
          <w:b w:val="0"/>
          <w:bCs/>
          <w:sz w:val="28"/>
          <w:szCs w:val="28"/>
          <w:lang w:val="en-US" w:eastAsia="zh-CN"/>
        </w:rPr>
      </w:pPr>
      <w:r>
        <w:rPr>
          <w:rFonts w:hint="eastAsia"/>
          <w:b w:val="0"/>
          <w:bCs/>
          <w:sz w:val="28"/>
          <w:szCs w:val="28"/>
          <w:lang w:val="en-US" w:eastAsia="zh-CN"/>
        </w:rPr>
        <w:t>按下浮率报价，结果保留两位小数（如：8.88％），投标下浮率≥0%为有效报价。</w:t>
      </w:r>
    </w:p>
    <w:p>
      <w:pPr>
        <w:spacing w:line="240" w:lineRule="auto"/>
        <w:rPr>
          <w:rFonts w:hint="eastAsia"/>
          <w:b/>
          <w:sz w:val="28"/>
          <w:szCs w:val="28"/>
          <w:lang w:val="en-US" w:eastAsia="zh-CN"/>
        </w:rPr>
      </w:pPr>
      <w:r>
        <w:rPr>
          <w:rFonts w:hint="eastAsia"/>
          <w:b/>
          <w:sz w:val="28"/>
          <w:szCs w:val="28"/>
          <w:lang w:val="en-US" w:eastAsia="zh-CN"/>
        </w:rPr>
        <w:t>四、结算标准</w:t>
      </w:r>
    </w:p>
    <w:p>
      <w:pPr>
        <w:pStyle w:val="8"/>
        <w:spacing w:line="240" w:lineRule="auto"/>
        <w:ind w:left="0" w:leftChars="0" w:firstLine="560" w:firstLineChars="200"/>
        <w:rPr>
          <w:rFonts w:hint="eastAsia"/>
          <w:b w:val="0"/>
          <w:bCs/>
          <w:sz w:val="28"/>
          <w:szCs w:val="28"/>
          <w:lang w:val="en-US" w:eastAsia="zh-CN"/>
        </w:rPr>
      </w:pPr>
      <w:r>
        <w:rPr>
          <w:rFonts w:hint="eastAsia"/>
          <w:b w:val="0"/>
          <w:bCs/>
          <w:sz w:val="28"/>
          <w:szCs w:val="28"/>
          <w:lang w:val="en-US" w:eastAsia="zh-CN"/>
        </w:rPr>
        <w:t>可研咨询服务费=经批复的项目施工图预算（建筑工程费＋安装工程费）×3.05%×80%×（1-投标下浮率）（建筑工程费和安装工程费包含编制基准期价差）。</w:t>
      </w:r>
    </w:p>
    <w:p>
      <w:pPr>
        <w:pStyle w:val="8"/>
        <w:shd w:val="clear" w:color="auto" w:fill="auto"/>
        <w:spacing w:line="240" w:lineRule="auto"/>
        <w:ind w:left="0" w:leftChars="0" w:firstLine="0" w:firstLineChars="0"/>
        <w:rPr>
          <w:rFonts w:hint="eastAsia"/>
          <w:b/>
          <w:bCs w:val="0"/>
          <w:sz w:val="28"/>
          <w:szCs w:val="28"/>
          <w:lang w:val="en-US" w:eastAsia="zh-CN"/>
        </w:rPr>
      </w:pPr>
      <w:r>
        <w:rPr>
          <w:rFonts w:hint="eastAsia"/>
          <w:b/>
          <w:bCs w:val="0"/>
          <w:sz w:val="28"/>
          <w:szCs w:val="28"/>
          <w:lang w:val="en-US" w:eastAsia="zh-CN"/>
        </w:rPr>
        <w:t>备注：</w:t>
      </w:r>
    </w:p>
    <w:p>
      <w:pPr>
        <w:pStyle w:val="8"/>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leftChars="0" w:firstLine="0" w:firstLineChars="0"/>
        <w:textAlignment w:val="auto"/>
        <w:rPr>
          <w:rFonts w:hint="default"/>
          <w:b w:val="0"/>
          <w:bCs/>
          <w:sz w:val="28"/>
          <w:szCs w:val="28"/>
          <w:lang w:val="en-US" w:eastAsia="zh-CN"/>
        </w:rPr>
      </w:pPr>
      <w:r>
        <w:rPr>
          <w:rFonts w:hint="eastAsia"/>
          <w:b w:val="0"/>
          <w:bCs/>
          <w:sz w:val="28"/>
          <w:szCs w:val="28"/>
          <w:lang w:val="en-US" w:eastAsia="zh-CN"/>
        </w:rPr>
        <w:t>1）如本项目可研咨询服务费理论结算金额超过48000元，按48000元结算；</w:t>
      </w:r>
    </w:p>
    <w:p>
      <w:pPr>
        <w:pStyle w:val="8"/>
        <w:shd w:val="clear" w:color="auto" w:fill="auto"/>
        <w:spacing w:line="240" w:lineRule="auto"/>
        <w:ind w:left="0" w:leftChars="0" w:firstLine="0" w:firstLineChars="0"/>
        <w:rPr>
          <w:rFonts w:hint="default"/>
          <w:b w:val="0"/>
          <w:bCs/>
          <w:sz w:val="28"/>
          <w:szCs w:val="28"/>
          <w:lang w:val="en-US" w:eastAsia="zh-CN"/>
        </w:rPr>
      </w:pPr>
      <w:r>
        <w:rPr>
          <w:rFonts w:hint="eastAsia"/>
          <w:b w:val="0"/>
          <w:bCs/>
          <w:sz w:val="28"/>
          <w:szCs w:val="28"/>
          <w:lang w:val="en-US" w:eastAsia="zh-CN"/>
        </w:rPr>
        <w:t>2）如本项目可行性研究报告未通过批复，或在后续阶段的实施过程中项目被取消时，本次可研咨询服务不计取费用。</w:t>
      </w:r>
    </w:p>
    <w:p>
      <w:pPr>
        <w:pStyle w:val="8"/>
        <w:shd w:val="clear" w:color="auto" w:fill="auto"/>
        <w:rPr>
          <w:rFonts w:hint="eastAsia"/>
          <w:b w:val="0"/>
          <w:bCs/>
          <w:sz w:val="28"/>
          <w:szCs w:val="28"/>
          <w:lang w:val="en-US" w:eastAsia="zh-CN"/>
        </w:rPr>
        <w:sectPr>
          <w:footerReference r:id="rId3" w:type="default"/>
          <w:pgSz w:w="11906" w:h="16838"/>
          <w:pgMar w:top="1440" w:right="1800" w:bottom="1440" w:left="1800" w:header="851" w:footer="992" w:gutter="0"/>
          <w:pgNumType w:fmt="decimal" w:start="1"/>
          <w:cols w:space="425" w:num="1"/>
          <w:docGrid w:type="lines" w:linePitch="312" w:charSpace="0"/>
        </w:sectPr>
      </w:pPr>
    </w:p>
    <w:p>
      <w:pPr>
        <w:jc w:val="center"/>
        <w:rPr>
          <w:rFonts w:hint="eastAsia" w:ascii="黑体" w:hAnsi="黑体" w:eastAsia="黑体" w:cs="黑体"/>
          <w:b/>
          <w:color w:val="000000"/>
          <w:kern w:val="2"/>
          <w:sz w:val="36"/>
          <w:szCs w:val="36"/>
          <w:u w:val="single"/>
          <w:lang w:val="en-US" w:eastAsia="zh-CN" w:bidi="ar-SA"/>
        </w:rPr>
      </w:pPr>
      <w:r>
        <w:rPr>
          <w:rFonts w:hint="eastAsia" w:ascii="黑体" w:hAnsi="黑体" w:eastAsia="黑体" w:cs="黑体"/>
          <w:b/>
          <w:sz w:val="36"/>
          <w:szCs w:val="36"/>
          <w:u w:val="single"/>
          <w:lang w:val="en-US" w:eastAsia="zh-CN"/>
        </w:rPr>
        <w:t>（一）报价人资质证明</w:t>
      </w:r>
    </w:p>
    <w:p>
      <w:pPr>
        <w:jc w:val="center"/>
        <w:rPr>
          <w:rFonts w:hint="eastAsia" w:ascii="黑体" w:hAnsi="黑体" w:eastAsia="黑体" w:cs="黑体"/>
          <w:b/>
          <w:color w:val="000000"/>
          <w:kern w:val="2"/>
          <w:sz w:val="36"/>
          <w:szCs w:val="36"/>
          <w:u w:val="single"/>
          <w:lang w:val="en-US" w:eastAsia="zh-CN" w:bidi="ar-SA"/>
        </w:rPr>
      </w:pPr>
      <w:r>
        <w:rPr>
          <w:rFonts w:hint="eastAsia"/>
          <w:b/>
          <w:sz w:val="28"/>
          <w:szCs w:val="28"/>
          <w:lang w:val="en-US" w:eastAsia="zh-CN"/>
        </w:rPr>
        <w:t>（根据</w:t>
      </w:r>
      <w:r>
        <w:rPr>
          <w:rFonts w:hint="eastAsia" w:cs="Times New Roman"/>
          <w:b/>
          <w:color w:val="000000"/>
          <w:kern w:val="0"/>
          <w:sz w:val="28"/>
          <w:szCs w:val="28"/>
          <w:lang w:val="en-US" w:eastAsia="zh-CN"/>
        </w:rPr>
        <w:t>采购文件资质要求提供</w:t>
      </w:r>
      <w:r>
        <w:rPr>
          <w:rFonts w:hint="eastAsia"/>
          <w:b/>
          <w:sz w:val="28"/>
          <w:szCs w:val="28"/>
          <w:lang w:val="en-US" w:eastAsia="zh-CN"/>
        </w:rPr>
        <w:t>）</w:t>
      </w:r>
    </w:p>
    <w:p>
      <w:pPr>
        <w:rPr>
          <w:rFonts w:hint="eastAsia" w:ascii="黑体" w:hAnsi="黑体" w:eastAsia="黑体" w:cs="Times New Roman"/>
          <w:b/>
          <w:color w:val="000000"/>
          <w:kern w:val="2"/>
          <w:sz w:val="36"/>
          <w:szCs w:val="36"/>
          <w:u w:val="single"/>
          <w:lang w:val="en-US" w:eastAsia="zh-CN" w:bidi="ar-SA"/>
        </w:rPr>
      </w:pPr>
      <w:r>
        <w:rPr>
          <w:rFonts w:hint="eastAsia" w:ascii="黑体" w:hAnsi="黑体" w:eastAsia="黑体" w:cs="Times New Roman"/>
          <w:b/>
          <w:color w:val="000000"/>
          <w:kern w:val="2"/>
          <w:sz w:val="36"/>
          <w:szCs w:val="36"/>
          <w:u w:val="single"/>
          <w:lang w:val="en-US" w:eastAsia="zh-CN" w:bidi="ar-SA"/>
        </w:rPr>
        <w:br w:type="page"/>
      </w:r>
    </w:p>
    <w:p>
      <w:pPr>
        <w:pStyle w:val="8"/>
        <w:shd w:val="clear" w:color="auto" w:fill="auto"/>
        <w:spacing w:after="240"/>
        <w:ind w:left="0" w:leftChars="0" w:firstLine="0" w:firstLineChars="0"/>
        <w:jc w:val="center"/>
        <w:rPr>
          <w:rFonts w:hint="default" w:ascii="黑体" w:hAnsi="黑体" w:eastAsia="黑体" w:cs="Times New Roman"/>
          <w:b/>
          <w:color w:val="000000"/>
          <w:kern w:val="2"/>
          <w:sz w:val="36"/>
          <w:szCs w:val="36"/>
          <w:u w:val="single"/>
          <w:lang w:val="en-US" w:eastAsia="zh-CN" w:bidi="ar-SA"/>
        </w:rPr>
      </w:pPr>
      <w:r>
        <w:rPr>
          <w:rFonts w:hint="eastAsia" w:ascii="黑体" w:hAnsi="黑体" w:eastAsia="黑体" w:cs="Times New Roman"/>
          <w:b/>
          <w:color w:val="000000"/>
          <w:kern w:val="2"/>
          <w:sz w:val="36"/>
          <w:szCs w:val="36"/>
          <w:u w:val="single"/>
          <w:lang w:val="en-US" w:eastAsia="zh-CN" w:bidi="ar-SA"/>
        </w:rPr>
        <w:t>（二）报价明细表</w:t>
      </w:r>
    </w:p>
    <w:tbl>
      <w:tblPr>
        <w:tblStyle w:val="9"/>
        <w:tblW w:w="9156" w:type="dxa"/>
        <w:jc w:val="center"/>
        <w:tblLayout w:type="autofit"/>
        <w:tblCellMar>
          <w:top w:w="0" w:type="dxa"/>
          <w:left w:w="0" w:type="dxa"/>
          <w:bottom w:w="0" w:type="dxa"/>
          <w:right w:w="0" w:type="dxa"/>
        </w:tblCellMar>
      </w:tblPr>
      <w:tblGrid>
        <w:gridCol w:w="386"/>
        <w:gridCol w:w="4270"/>
        <w:gridCol w:w="2439"/>
        <w:gridCol w:w="2061"/>
      </w:tblGrid>
      <w:tr>
        <w:tblPrEx>
          <w:tblCellMar>
            <w:top w:w="0" w:type="dxa"/>
            <w:left w:w="0" w:type="dxa"/>
            <w:bottom w:w="0" w:type="dxa"/>
            <w:right w:w="0" w:type="dxa"/>
          </w:tblCellMar>
        </w:tblPrEx>
        <w:trPr>
          <w:trHeight w:val="725" w:hRule="atLeast"/>
          <w:jc w:val="center"/>
        </w:trPr>
        <w:tc>
          <w:tcPr>
            <w:tcW w:w="38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jc w:val="center"/>
              <w:rPr>
                <w:rFonts w:hint="eastAsia" w:ascii="宋体" w:hAnsi="宋体" w:eastAsia="宋体" w:cs="宋体"/>
                <w:color w:val="000000"/>
                <w:szCs w:val="28"/>
              </w:rPr>
            </w:pPr>
            <w:r>
              <w:rPr>
                <w:rFonts w:hint="eastAsia" w:ascii="宋体" w:hAnsi="宋体" w:eastAsia="宋体" w:cs="宋体"/>
                <w:b/>
                <w:bCs/>
                <w:color w:val="000000"/>
                <w:szCs w:val="28"/>
              </w:rPr>
              <w:t>序号</w:t>
            </w:r>
          </w:p>
        </w:tc>
        <w:tc>
          <w:tcPr>
            <w:tcW w:w="4270" w:type="dxa"/>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spacing w:line="240" w:lineRule="auto"/>
              <w:jc w:val="center"/>
              <w:rPr>
                <w:rFonts w:hint="eastAsia" w:ascii="宋体" w:hAnsi="宋体" w:eastAsia="宋体" w:cs="宋体"/>
                <w:color w:val="000000"/>
                <w:szCs w:val="28"/>
              </w:rPr>
            </w:pPr>
            <w:r>
              <w:rPr>
                <w:rFonts w:hint="eastAsia" w:ascii="宋体" w:hAnsi="宋体" w:eastAsia="宋体" w:cs="宋体"/>
                <w:b/>
                <w:bCs/>
                <w:color w:val="000000"/>
                <w:szCs w:val="28"/>
              </w:rPr>
              <w:t>报价项目</w:t>
            </w:r>
          </w:p>
        </w:tc>
        <w:tc>
          <w:tcPr>
            <w:tcW w:w="2439"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spacing w:line="240" w:lineRule="auto"/>
              <w:jc w:val="center"/>
              <w:rPr>
                <w:rFonts w:hint="eastAsia" w:ascii="宋体" w:hAnsi="宋体" w:eastAsia="宋体" w:cs="宋体"/>
                <w:b/>
                <w:color w:val="000000"/>
                <w:szCs w:val="28"/>
              </w:rPr>
            </w:pPr>
            <w:r>
              <w:rPr>
                <w:rFonts w:hint="eastAsia" w:ascii="宋体" w:hAnsi="宋体" w:eastAsia="宋体" w:cs="宋体"/>
                <w:b/>
                <w:color w:val="000000"/>
                <w:szCs w:val="28"/>
              </w:rPr>
              <w:t>投标下浮率</w:t>
            </w:r>
          </w:p>
          <w:p>
            <w:pPr>
              <w:spacing w:line="240" w:lineRule="auto"/>
              <w:jc w:val="center"/>
              <w:rPr>
                <w:rFonts w:hint="eastAsia" w:ascii="宋体" w:hAnsi="宋体" w:eastAsia="宋体" w:cs="宋体"/>
                <w:b/>
                <w:color w:val="000000"/>
                <w:szCs w:val="28"/>
              </w:rPr>
            </w:pPr>
            <w:r>
              <w:rPr>
                <w:rFonts w:hint="eastAsia" w:ascii="宋体" w:hAnsi="宋体" w:eastAsia="宋体" w:cs="宋体"/>
                <w:b/>
                <w:color w:val="000000"/>
                <w:szCs w:val="28"/>
              </w:rPr>
              <w:t>（保留两位小数）</w:t>
            </w:r>
          </w:p>
        </w:tc>
        <w:tc>
          <w:tcPr>
            <w:tcW w:w="2061" w:type="dxa"/>
            <w:tcBorders>
              <w:top w:val="single" w:color="000000" w:sz="6" w:space="0"/>
              <w:left w:val="single" w:color="auto" w:sz="4" w:space="0"/>
              <w:bottom w:val="single" w:color="000000" w:sz="6" w:space="0"/>
              <w:right w:val="single" w:color="000000" w:sz="6" w:space="0"/>
            </w:tcBorders>
            <w:shd w:val="clear" w:color="auto" w:fill="FFFFFF"/>
            <w:noWrap w:val="0"/>
            <w:vAlign w:val="center"/>
          </w:tcPr>
          <w:p>
            <w:pPr>
              <w:spacing w:line="240" w:lineRule="auto"/>
              <w:jc w:val="center"/>
              <w:rPr>
                <w:rFonts w:hint="eastAsia" w:ascii="宋体" w:hAnsi="宋体" w:eastAsia="宋体" w:cs="宋体"/>
                <w:b/>
                <w:color w:val="000000"/>
                <w:szCs w:val="28"/>
              </w:rPr>
            </w:pPr>
            <w:r>
              <w:rPr>
                <w:rFonts w:hint="eastAsia" w:ascii="宋体" w:hAnsi="宋体" w:eastAsia="宋体" w:cs="宋体"/>
                <w:b/>
                <w:color w:val="000000"/>
                <w:szCs w:val="28"/>
              </w:rPr>
              <w:t>备注</w:t>
            </w:r>
          </w:p>
        </w:tc>
      </w:tr>
      <w:tr>
        <w:tblPrEx>
          <w:tblCellMar>
            <w:top w:w="0" w:type="dxa"/>
            <w:left w:w="0" w:type="dxa"/>
            <w:bottom w:w="0" w:type="dxa"/>
            <w:right w:w="0" w:type="dxa"/>
          </w:tblCellMar>
        </w:tblPrEx>
        <w:trPr>
          <w:trHeight w:val="1645" w:hRule="atLeast"/>
          <w:jc w:val="center"/>
        </w:trPr>
        <w:tc>
          <w:tcPr>
            <w:tcW w:w="38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427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南方电网公司综合基地6号楼首层改造项目可研咨询服务</w:t>
            </w:r>
          </w:p>
        </w:tc>
        <w:tc>
          <w:tcPr>
            <w:tcW w:w="243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jc w:val="center"/>
              <w:rPr>
                <w:rFonts w:hint="eastAsia" w:ascii="宋体" w:hAnsi="宋体" w:eastAsia="宋体" w:cs="宋体"/>
                <w:color w:val="000000"/>
                <w:sz w:val="21"/>
                <w:szCs w:val="21"/>
              </w:rPr>
            </w:pPr>
            <w:r>
              <w:rPr>
                <w:rFonts w:hint="eastAsia" w:ascii="宋体" w:hAnsi="宋体" w:cs="宋体"/>
                <w:color w:val="000000"/>
                <w:sz w:val="21"/>
                <w:szCs w:val="21"/>
                <w:u w:val="single"/>
                <w:lang w:val="en-US" w:eastAsia="zh-CN"/>
              </w:rPr>
              <w:t xml:space="preserve">    </w:t>
            </w:r>
            <w:r>
              <w:rPr>
                <w:rFonts w:hint="eastAsia" w:ascii="宋体" w:hAnsi="宋体" w:eastAsia="宋体" w:cs="宋体"/>
                <w:color w:val="000000"/>
                <w:sz w:val="21"/>
                <w:szCs w:val="21"/>
              </w:rPr>
              <w:t>%</w:t>
            </w:r>
          </w:p>
        </w:tc>
        <w:tc>
          <w:tcPr>
            <w:tcW w:w="206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投标下浮率≥0%且投标人报价不低于其成本为有效报价</w:t>
            </w:r>
            <w:r>
              <w:rPr>
                <w:rFonts w:hint="eastAsia" w:ascii="宋体" w:hAnsi="宋体" w:eastAsia="宋体" w:cs="宋体"/>
                <w:color w:val="000000"/>
                <w:sz w:val="21"/>
                <w:szCs w:val="21"/>
                <w:lang w:eastAsia="zh-CN"/>
              </w:rPr>
              <w:t>。</w:t>
            </w:r>
          </w:p>
        </w:tc>
      </w:tr>
    </w:tbl>
    <w:p>
      <w:pPr>
        <w:keepNext w:val="0"/>
        <w:keepLines w:val="0"/>
        <w:pageBreakBefore w:val="0"/>
        <w:widowControl w:val="0"/>
        <w:shd w:val="clear" w:color="auto" w:fill="auto"/>
        <w:kinsoku/>
        <w:wordWrap/>
        <w:overflowPunct/>
        <w:topLinePunct w:val="0"/>
        <w:autoSpaceDE/>
        <w:autoSpaceDN/>
        <w:bidi w:val="0"/>
        <w:adjustRightInd/>
        <w:snapToGrid/>
        <w:spacing w:line="360" w:lineRule="auto"/>
        <w:jc w:val="both"/>
        <w:textAlignment w:val="auto"/>
        <w:rPr>
          <w:rFonts w:hint="default" w:ascii="宋体" w:hAnsi="宋体" w:eastAsia="宋体" w:cs="宋体"/>
          <w:color w:val="auto"/>
          <w:sz w:val="24"/>
          <w:szCs w:val="24"/>
          <w:highlight w:val="none"/>
          <w:lang w:val="en-US" w:eastAsia="zh-CN"/>
        </w:rPr>
      </w:pPr>
    </w:p>
    <w:sectPr>
      <w:footerReference r:id="rId4" w:type="default"/>
      <w:pgSz w:w="11906" w:h="16838"/>
      <w:pgMar w:top="1440" w:right="1576"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文鼎CS大黑">
    <w:altName w:val="宋体"/>
    <w:panose1 w:val="00000000000000000000"/>
    <w:charset w:val="86"/>
    <w:family w:val="modern"/>
    <w:pitch w:val="default"/>
    <w:sig w:usb0="00000000" w:usb1="00000000" w:usb2="00000010" w:usb3="00000000" w:csb0="00040000" w:csb1="00000000"/>
  </w:font>
  <w:font w:name="方正粗宋简体">
    <w:altName w:val="宋体"/>
    <w:panose1 w:val="00000000000000000000"/>
    <w:charset w:val="86"/>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 共 </w:t>
                          </w:r>
                          <w:r>
                            <w:rPr>
                              <w:rFonts w:hint="eastAsia" w:ascii="Times New Roman" w:hAnsi="Times New Roman" w:cs="Times New Roman"/>
                              <w:sz w:val="21"/>
                              <w:szCs w:val="21"/>
                              <w:lang w:val="en-US" w:eastAsia="zh-CN"/>
                            </w:rPr>
                            <w:t>2</w:t>
                          </w:r>
                          <w:r>
                            <w:rPr>
                              <w:rFonts w:hint="default" w:ascii="Times New Roman" w:hAnsi="Times New Roman" w:cs="Times New Roman"/>
                              <w:sz w:val="21"/>
                              <w:szCs w:val="21"/>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6"/>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 共 </w:t>
                    </w:r>
                    <w:r>
                      <w:rPr>
                        <w:rFonts w:hint="eastAsia" w:ascii="Times New Roman" w:hAnsi="Times New Roman" w:cs="Times New Roman"/>
                        <w:sz w:val="21"/>
                        <w:szCs w:val="21"/>
                        <w:lang w:val="en-US" w:eastAsia="zh-CN"/>
                      </w:rPr>
                      <w:t>2</w:t>
                    </w:r>
                    <w:r>
                      <w:rPr>
                        <w:rFonts w:hint="default" w:ascii="Times New Roman" w:hAnsi="Times New Roman" w:cs="Times New Roman"/>
                        <w:sz w:val="21"/>
                        <w:szCs w:val="21"/>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802D2"/>
    <w:rsid w:val="006A1D18"/>
    <w:rsid w:val="02590C8E"/>
    <w:rsid w:val="029F5656"/>
    <w:rsid w:val="059705B7"/>
    <w:rsid w:val="078E6538"/>
    <w:rsid w:val="091D36D9"/>
    <w:rsid w:val="0995458C"/>
    <w:rsid w:val="0AAA549F"/>
    <w:rsid w:val="0AB768F7"/>
    <w:rsid w:val="0B0A34D3"/>
    <w:rsid w:val="0D593713"/>
    <w:rsid w:val="0EF80318"/>
    <w:rsid w:val="10892A30"/>
    <w:rsid w:val="11936AB0"/>
    <w:rsid w:val="13CA1519"/>
    <w:rsid w:val="150A5F35"/>
    <w:rsid w:val="150E27A5"/>
    <w:rsid w:val="15BB32DC"/>
    <w:rsid w:val="15F01FF8"/>
    <w:rsid w:val="168D01C7"/>
    <w:rsid w:val="17D12364"/>
    <w:rsid w:val="17EB526F"/>
    <w:rsid w:val="17F63931"/>
    <w:rsid w:val="181C6AD5"/>
    <w:rsid w:val="18A84C60"/>
    <w:rsid w:val="1A141F73"/>
    <w:rsid w:val="1AD42ECA"/>
    <w:rsid w:val="208A36E5"/>
    <w:rsid w:val="208E033D"/>
    <w:rsid w:val="21955108"/>
    <w:rsid w:val="2319509E"/>
    <w:rsid w:val="24190259"/>
    <w:rsid w:val="242173F9"/>
    <w:rsid w:val="248868FE"/>
    <w:rsid w:val="25175F70"/>
    <w:rsid w:val="259C27F2"/>
    <w:rsid w:val="27E24300"/>
    <w:rsid w:val="28451B3B"/>
    <w:rsid w:val="28D06E44"/>
    <w:rsid w:val="2B86072A"/>
    <w:rsid w:val="2BCE4E66"/>
    <w:rsid w:val="2C351948"/>
    <w:rsid w:val="2D361B43"/>
    <w:rsid w:val="2E8E5C2A"/>
    <w:rsid w:val="2FE656E2"/>
    <w:rsid w:val="304D351D"/>
    <w:rsid w:val="30617B7E"/>
    <w:rsid w:val="307F0881"/>
    <w:rsid w:val="30D448E4"/>
    <w:rsid w:val="31277D1F"/>
    <w:rsid w:val="319017B1"/>
    <w:rsid w:val="324C6248"/>
    <w:rsid w:val="32B8727E"/>
    <w:rsid w:val="32CB604C"/>
    <w:rsid w:val="344E3024"/>
    <w:rsid w:val="34AB357E"/>
    <w:rsid w:val="353164EF"/>
    <w:rsid w:val="3774714C"/>
    <w:rsid w:val="38A50DF1"/>
    <w:rsid w:val="38C20B2E"/>
    <w:rsid w:val="394D67E1"/>
    <w:rsid w:val="3A001EAA"/>
    <w:rsid w:val="3A2F1CE9"/>
    <w:rsid w:val="3A600841"/>
    <w:rsid w:val="3C883162"/>
    <w:rsid w:val="3C9472B4"/>
    <w:rsid w:val="3CA74111"/>
    <w:rsid w:val="3D33564A"/>
    <w:rsid w:val="3E157737"/>
    <w:rsid w:val="3F0B45C4"/>
    <w:rsid w:val="41406D3D"/>
    <w:rsid w:val="4261776A"/>
    <w:rsid w:val="426D6803"/>
    <w:rsid w:val="42785913"/>
    <w:rsid w:val="43384391"/>
    <w:rsid w:val="442236DE"/>
    <w:rsid w:val="457B670F"/>
    <w:rsid w:val="47831FB4"/>
    <w:rsid w:val="49C83F6A"/>
    <w:rsid w:val="4A1A3307"/>
    <w:rsid w:val="4AE8302A"/>
    <w:rsid w:val="4B134EB0"/>
    <w:rsid w:val="4B252709"/>
    <w:rsid w:val="4BF16DFE"/>
    <w:rsid w:val="4F4D74D1"/>
    <w:rsid w:val="4F5E0C6A"/>
    <w:rsid w:val="50297923"/>
    <w:rsid w:val="52A11A3D"/>
    <w:rsid w:val="566C2B95"/>
    <w:rsid w:val="573840A5"/>
    <w:rsid w:val="58DB3CCF"/>
    <w:rsid w:val="594535BE"/>
    <w:rsid w:val="5A6951E1"/>
    <w:rsid w:val="5B230875"/>
    <w:rsid w:val="5C3A6117"/>
    <w:rsid w:val="5D737D99"/>
    <w:rsid w:val="5DCE7EF9"/>
    <w:rsid w:val="5DFD2AD7"/>
    <w:rsid w:val="5E5B6C7F"/>
    <w:rsid w:val="5EB6514C"/>
    <w:rsid w:val="5F2C0E85"/>
    <w:rsid w:val="5F512FF4"/>
    <w:rsid w:val="5FDE3F99"/>
    <w:rsid w:val="60B1497A"/>
    <w:rsid w:val="60DA2477"/>
    <w:rsid w:val="61232423"/>
    <w:rsid w:val="61D85751"/>
    <w:rsid w:val="628333D3"/>
    <w:rsid w:val="628E556A"/>
    <w:rsid w:val="62B00A9A"/>
    <w:rsid w:val="65E03333"/>
    <w:rsid w:val="66C54256"/>
    <w:rsid w:val="66F14FA5"/>
    <w:rsid w:val="66F968E0"/>
    <w:rsid w:val="67D5349B"/>
    <w:rsid w:val="6ADE0DD0"/>
    <w:rsid w:val="6BBE49BF"/>
    <w:rsid w:val="6D003E18"/>
    <w:rsid w:val="6D4E33BE"/>
    <w:rsid w:val="6D8B4CB7"/>
    <w:rsid w:val="6DCD0928"/>
    <w:rsid w:val="6F0323C7"/>
    <w:rsid w:val="6FEB5D3E"/>
    <w:rsid w:val="71153587"/>
    <w:rsid w:val="7164687A"/>
    <w:rsid w:val="72C86560"/>
    <w:rsid w:val="73563B06"/>
    <w:rsid w:val="74175043"/>
    <w:rsid w:val="742062C6"/>
    <w:rsid w:val="75925086"/>
    <w:rsid w:val="768E5ED5"/>
    <w:rsid w:val="76EB6C11"/>
    <w:rsid w:val="79341E13"/>
    <w:rsid w:val="7A205DB1"/>
    <w:rsid w:val="7CCE0067"/>
    <w:rsid w:val="7D1B2BB2"/>
    <w:rsid w:val="7D6B6D3B"/>
    <w:rsid w:val="7D6F1B94"/>
    <w:rsid w:val="7D783108"/>
    <w:rsid w:val="7F0F36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99"/>
    <w:pPr>
      <w:spacing w:after="120" w:afterLines="0"/>
    </w:p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paragraph" w:styleId="4">
    <w:name w:val="Body Text Indent"/>
    <w:basedOn w:val="1"/>
    <w:unhideWhenUsed/>
    <w:qFormat/>
    <w:uiPriority w:val="0"/>
    <w:pPr>
      <w:spacing w:after="120"/>
      <w:ind w:left="420" w:leftChars="200"/>
    </w:pPr>
  </w:style>
  <w:style w:type="paragraph" w:styleId="5">
    <w:name w:val="Plain Text"/>
    <w:basedOn w:val="1"/>
    <w:qFormat/>
    <w:uiPriority w:val="99"/>
    <w:rPr>
      <w:rFonts w:ascii="宋体" w:hAnsi="Courier New"/>
    </w:r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Body Text First Indent 2"/>
    <w:basedOn w:val="4"/>
    <w:qFormat/>
    <w:uiPriority w:val="0"/>
    <w:pPr>
      <w:ind w:firstLine="42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extDirection w:val="btLr"/>
    </w:tcPr>
  </w:style>
  <w:style w:type="character" w:styleId="12">
    <w:name w:val="page numb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2021-12-10T02:26:00Z</dcterms:created>
  <dc:creator>jiangll1</dc:creator>
  <cp:lastModifiedBy>江亮亮</cp:lastModifiedBy>
  <cp:lastPrinted>2024-08-07T07:08:56Z</cp:lastPrinted>
  <dcterms:modified xsi:type="dcterms:W3CDTF">2024-08-07T07:13:59Z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D49CF8B775A349878988F1BE6797498A</vt:lpwstr>
  </property>
</Properties>
</file>