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jc w:val="center"/>
        <w:rPr>
          <w:rFonts w:hint="eastAsia" w:ascii="Times New Roman" w:hAnsi="Times New Roman" w:cs="Times New Roman"/>
          <w:color w:val="auto"/>
          <w:sz w:val="44"/>
          <w:szCs w:val="44"/>
          <w:lang w:val="en-US" w:eastAsia="zh-CN"/>
        </w:rPr>
      </w:pPr>
      <w:r>
        <w:rPr>
          <w:rFonts w:hint="default" w:ascii="Times New Roman" w:hAnsi="Times New Roman" w:cs="Times New Roman"/>
          <w:color w:val="auto"/>
          <w:sz w:val="44"/>
          <w:szCs w:val="44"/>
          <w:lang w:val="en-US" w:eastAsia="zh-CN"/>
        </w:rPr>
        <w:t>百色局</w:t>
      </w:r>
      <w:r>
        <w:rPr>
          <w:rFonts w:hint="eastAsia" w:ascii="Times New Roman" w:hAnsi="Times New Roman" w:cs="Times New Roman"/>
          <w:color w:val="auto"/>
          <w:sz w:val="44"/>
          <w:szCs w:val="44"/>
          <w:lang w:val="en-US" w:eastAsia="zh-CN"/>
        </w:rPr>
        <w:t>零星采购项目技术要求附件</w:t>
      </w:r>
    </w:p>
    <w:p>
      <w:pPr>
        <w:pStyle w:val="2"/>
        <w:ind w:left="0" w:leftChars="0" w:firstLine="0" w:firstLineChars="0"/>
        <w:jc w:val="center"/>
        <w:rPr>
          <w:rFonts w:hint="default"/>
          <w:color w:val="auto"/>
          <w:spacing w:val="-28"/>
          <w:lang w:val="en-US" w:eastAsia="zh-CN"/>
        </w:rPr>
      </w:pPr>
      <w:r>
        <w:rPr>
          <w:rFonts w:hint="eastAsia" w:ascii="Times New Roman" w:hAnsi="Times New Roman" w:cs="Times New Roman"/>
          <w:color w:val="auto"/>
          <w:spacing w:val="-28"/>
          <w:sz w:val="44"/>
          <w:szCs w:val="44"/>
          <w:lang w:val="en-US" w:eastAsia="zh-CN"/>
        </w:rPr>
        <w:t>（百色局2024年第一批职工技术创新项目-一种灾害事故多参量综合监测设备的研制）</w:t>
      </w:r>
    </w:p>
    <w:p>
      <w:pPr>
        <w:numPr>
          <w:ilvl w:val="0"/>
          <w:numId w:val="1"/>
        </w:numPr>
        <w:jc w:val="both"/>
        <w:rPr>
          <w:rFonts w:hint="eastAsia" w:asciiTheme="minorEastAsia" w:hAnsiTheme="minorEastAsia" w:eastAsiaTheme="minorEastAsia" w:cstheme="minorEastAsia"/>
          <w:b/>
          <w:bCs/>
          <w:color w:val="auto"/>
          <w:kern w:val="44"/>
          <w:sz w:val="30"/>
          <w:szCs w:val="30"/>
          <w:highlight w:val="none"/>
          <w:lang w:val="en-US" w:eastAsia="zh-CN" w:bidi="ar-SA"/>
        </w:rPr>
      </w:pPr>
      <w:r>
        <w:rPr>
          <w:rFonts w:hint="eastAsia" w:asciiTheme="minorEastAsia" w:hAnsiTheme="minorEastAsia" w:eastAsiaTheme="minorEastAsia" w:cstheme="minorEastAsia"/>
          <w:b/>
          <w:bCs/>
          <w:color w:val="auto"/>
          <w:kern w:val="44"/>
          <w:sz w:val="30"/>
          <w:szCs w:val="30"/>
          <w:highlight w:val="none"/>
          <w:lang w:val="en-US" w:eastAsia="zh-CN" w:bidi="ar-SA"/>
        </w:rPr>
        <w:t>资格要求</w:t>
      </w:r>
    </w:p>
    <w:tbl>
      <w:tblPr>
        <w:tblStyle w:val="7"/>
        <w:tblW w:w="8616"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398"/>
        <w:gridCol w:w="6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8616" w:type="dxa"/>
            <w:gridSpan w:val="2"/>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2"/>
                <w:sz w:val="24"/>
                <w:szCs w:val="24"/>
                <w:highlight w:val="none"/>
                <w:u w:val="none"/>
                <w:lang w:val="en-US" w:eastAsia="zh-CN" w:bidi="ar-SA"/>
              </w:rPr>
            </w:pPr>
            <w:r>
              <w:rPr>
                <w:rFonts w:hint="eastAsia" w:asciiTheme="minorEastAsia" w:hAnsiTheme="minorEastAsia" w:eastAsiaTheme="minorEastAsia" w:cstheme="minorEastAsia"/>
                <w:i w:val="0"/>
                <w:iCs w:val="0"/>
                <w:color w:val="auto"/>
                <w:sz w:val="28"/>
                <w:szCs w:val="28"/>
                <w:highlight w:val="none"/>
                <w:u w:val="none"/>
                <w:lang w:eastAsia="zh-CN"/>
              </w:rPr>
              <w:t>资格</w:t>
            </w:r>
            <w:r>
              <w:rPr>
                <w:rFonts w:hint="eastAsia" w:asciiTheme="minorEastAsia" w:hAnsiTheme="minorEastAsia" w:cstheme="minorEastAsia"/>
                <w:i w:val="0"/>
                <w:iCs w:val="0"/>
                <w:color w:val="auto"/>
                <w:sz w:val="28"/>
                <w:szCs w:val="28"/>
                <w:highlight w:val="none"/>
                <w:u w:val="none"/>
                <w:lang w:eastAsia="zh-CN"/>
              </w:rPr>
              <w:t>资质</w:t>
            </w:r>
            <w:r>
              <w:rPr>
                <w:rFonts w:hint="eastAsia" w:asciiTheme="minorEastAsia" w:hAnsiTheme="minorEastAsia" w:eastAsiaTheme="minorEastAsia" w:cstheme="minorEastAsia"/>
                <w:i w:val="0"/>
                <w:iCs w:val="0"/>
                <w:color w:val="auto"/>
                <w:sz w:val="28"/>
                <w:szCs w:val="28"/>
                <w:highlight w:val="none"/>
                <w:u w:val="none"/>
                <w:lang w:eastAsia="zh-CN"/>
              </w:rPr>
              <w:t>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1.资质要求</w:t>
            </w:r>
          </w:p>
        </w:tc>
        <w:tc>
          <w:tcPr>
            <w:tcW w:w="621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1、</w:t>
            </w:r>
            <w:r>
              <w:rPr>
                <w:rFonts w:hint="eastAsia" w:asciiTheme="minorEastAsia" w:hAnsiTheme="minorEastAsia" w:eastAsiaTheme="minorEastAsia" w:cstheme="minorEastAsia"/>
                <w:color w:val="auto"/>
                <w:sz w:val="24"/>
                <w:szCs w:val="24"/>
                <w:vertAlign w:val="baseline"/>
                <w:lang w:val="en-US" w:eastAsia="zh-CN"/>
              </w:rPr>
              <w:t>中华人民共和国境内注册</w:t>
            </w:r>
            <w:r>
              <w:rPr>
                <w:rFonts w:hint="eastAsia" w:asciiTheme="minorEastAsia" w:hAnsiTheme="minorEastAsia" w:cstheme="minorEastAsia"/>
                <w:color w:val="auto"/>
                <w:sz w:val="24"/>
                <w:szCs w:val="24"/>
                <w:vertAlign w:val="baseline"/>
                <w:lang w:val="en-US" w:eastAsia="zh-CN"/>
              </w:rPr>
              <w:t>合法运作</w:t>
            </w:r>
            <w:r>
              <w:rPr>
                <w:rFonts w:hint="eastAsia" w:asciiTheme="minorEastAsia" w:hAnsiTheme="minorEastAsia" w:eastAsiaTheme="minorEastAsia" w:cstheme="minorEastAsia"/>
                <w:color w:val="auto"/>
                <w:sz w:val="24"/>
                <w:szCs w:val="24"/>
                <w:vertAlign w:val="baseline"/>
                <w:lang w:val="en-US" w:eastAsia="zh-CN"/>
              </w:rPr>
              <w:t>的法人</w:t>
            </w:r>
            <w:r>
              <w:rPr>
                <w:rFonts w:hint="eastAsia" w:asciiTheme="minorEastAsia" w:hAnsiTheme="minorEastAsia" w:cstheme="minorEastAsia"/>
                <w:color w:val="auto"/>
                <w:sz w:val="24"/>
                <w:szCs w:val="24"/>
                <w:vertAlign w:val="baseline"/>
                <w:lang w:val="en-US" w:eastAsia="zh-CN"/>
              </w:rPr>
              <w:t>或具有法人授权的其他组织，具有独立承担民事责任的能力、独立承担施工项目的能力和独立履约合同的能力。</w:t>
            </w:r>
          </w:p>
          <w:p>
            <w:pPr>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2、投标方如有诚信和廉洁方面的不良记录，不接受其报价。3、投标方在被南方电网公司或超高压输电公司或百色局暂停或取消投标资格期间，不接受其报价。</w:t>
            </w:r>
          </w:p>
          <w:p>
            <w:pPr>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4、不接受联合体报价。</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5、投标方单位负责人为同一人或者存在控股、管理关系的不同单位，不得同时参加同一项目报价。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2.业绩要求</w:t>
            </w:r>
          </w:p>
        </w:tc>
        <w:tc>
          <w:tcPr>
            <w:tcW w:w="621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3.其他要求</w:t>
            </w:r>
          </w:p>
        </w:tc>
        <w:tc>
          <w:tcPr>
            <w:tcW w:w="621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w:t>
            </w:r>
          </w:p>
        </w:tc>
      </w:tr>
    </w:tbl>
    <w:p>
      <w:pPr>
        <w:numPr>
          <w:ilvl w:val="0"/>
          <w:numId w:val="1"/>
        </w:numPr>
        <w:jc w:val="both"/>
        <w:rPr>
          <w:rFonts w:hint="eastAsia" w:asciiTheme="minorEastAsia" w:hAnsiTheme="minorEastAsia" w:eastAsiaTheme="minorEastAsia" w:cstheme="minorEastAsia"/>
          <w:b/>
          <w:bCs/>
          <w:color w:val="auto"/>
          <w:kern w:val="44"/>
          <w:sz w:val="30"/>
          <w:szCs w:val="30"/>
          <w:highlight w:val="none"/>
          <w:lang w:val="en-US" w:eastAsia="zh-CN" w:bidi="ar-SA"/>
        </w:rPr>
      </w:pPr>
      <w:r>
        <w:rPr>
          <w:rFonts w:hint="eastAsia" w:asciiTheme="minorEastAsia" w:hAnsiTheme="minorEastAsia" w:eastAsiaTheme="minorEastAsia" w:cstheme="minorEastAsia"/>
          <w:b/>
          <w:bCs/>
          <w:color w:val="auto"/>
          <w:kern w:val="44"/>
          <w:sz w:val="30"/>
          <w:szCs w:val="30"/>
          <w:highlight w:val="none"/>
          <w:lang w:val="en-US" w:eastAsia="zh-CN" w:bidi="ar-SA"/>
        </w:rPr>
        <w:t>商务要求</w:t>
      </w:r>
    </w:p>
    <w:tbl>
      <w:tblPr>
        <w:tblStyle w:val="7"/>
        <w:tblW w:w="8601"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398"/>
        <w:gridCol w:w="6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8601" w:type="dxa"/>
            <w:gridSpan w:val="2"/>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2"/>
                <w:sz w:val="24"/>
                <w:szCs w:val="24"/>
                <w:u w:val="none"/>
                <w:lang w:val="en-US" w:eastAsia="zh-CN" w:bidi="ar-SA"/>
              </w:rPr>
            </w:pPr>
            <w:r>
              <w:rPr>
                <w:rFonts w:hint="eastAsia" w:asciiTheme="minorEastAsia" w:hAnsiTheme="minorEastAsia" w:eastAsiaTheme="minorEastAsia" w:cstheme="minorEastAsia"/>
                <w:i w:val="0"/>
                <w:iCs w:val="0"/>
                <w:color w:val="auto"/>
                <w:sz w:val="28"/>
                <w:szCs w:val="28"/>
                <w:u w:val="none"/>
                <w:lang w:eastAsia="zh-CN"/>
              </w:rPr>
              <w:t>服务类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1.服务要求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应成立项目研发组，并提供项目研发组机构组成表。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2.服务地址</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项目研发阶段不做限制，成果交付试用应在百色局所辖线路范围内开展。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3.服务期限要求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2024年12月31日前</w:t>
            </w:r>
            <w:r>
              <w:rPr>
                <w:rFonts w:hint="eastAsia" w:asciiTheme="minorEastAsia" w:hAnsiTheme="minorEastAsia" w:cstheme="minorEastAsia"/>
                <w:color w:val="auto"/>
                <w:sz w:val="24"/>
                <w:szCs w:val="24"/>
                <w:vertAlign w:val="baseli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4.服务人员要求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w:t>
            </w:r>
            <w:bookmarkStart w:id="3" w:name="_GoBack"/>
            <w:bookmarkEnd w:id="3"/>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5.发票要求（如有）</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需提供符合规定税率的全额发票。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6.结算及支付条件</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项目研制</w:t>
            </w:r>
            <w:r>
              <w:rPr>
                <w:rFonts w:hint="eastAsia" w:asciiTheme="minorEastAsia" w:hAnsiTheme="minorEastAsia" w:eastAsiaTheme="minorEastAsia" w:cstheme="minorEastAsia"/>
                <w:color w:val="auto"/>
                <w:sz w:val="24"/>
                <w:szCs w:val="24"/>
                <w:vertAlign w:val="baseline"/>
                <w:lang w:val="en-US" w:eastAsia="zh-CN"/>
              </w:rPr>
              <w:t>服务</w:t>
            </w:r>
            <w:r>
              <w:rPr>
                <w:rFonts w:hint="eastAsia" w:asciiTheme="minorEastAsia" w:hAnsiTheme="minorEastAsia" w:cstheme="minorEastAsia"/>
                <w:color w:val="auto"/>
                <w:sz w:val="24"/>
                <w:szCs w:val="24"/>
                <w:vertAlign w:val="baseline"/>
                <w:lang w:val="en-US" w:eastAsia="zh-CN"/>
              </w:rPr>
              <w:t>完成</w:t>
            </w:r>
            <w:r>
              <w:rPr>
                <w:rFonts w:hint="eastAsia" w:asciiTheme="minorEastAsia" w:hAnsiTheme="minorEastAsia" w:eastAsiaTheme="minorEastAsia" w:cstheme="minorEastAsia"/>
                <w:color w:val="auto"/>
                <w:sz w:val="24"/>
                <w:szCs w:val="24"/>
                <w:vertAlign w:val="baseline"/>
                <w:lang w:val="en-US" w:eastAsia="zh-CN"/>
              </w:rPr>
              <w:t>且验收通过后，</w:t>
            </w:r>
            <w:r>
              <w:rPr>
                <w:rFonts w:hint="eastAsia" w:asciiTheme="minorEastAsia" w:hAnsiTheme="minorEastAsia" w:cstheme="minorEastAsia"/>
                <w:color w:val="auto"/>
                <w:sz w:val="24"/>
                <w:szCs w:val="24"/>
                <w:vertAlign w:val="baseline"/>
                <w:lang w:val="en-US" w:eastAsia="zh-CN"/>
              </w:rPr>
              <w:t>投标方向招标方提供全额发票，招标方</w:t>
            </w:r>
            <w:r>
              <w:rPr>
                <w:rFonts w:hint="eastAsia" w:asciiTheme="minorEastAsia" w:hAnsiTheme="minorEastAsia" w:eastAsiaTheme="minorEastAsia" w:cstheme="minorEastAsia"/>
                <w:color w:val="auto"/>
                <w:sz w:val="24"/>
                <w:szCs w:val="24"/>
                <w:vertAlign w:val="baseline"/>
                <w:lang w:val="en-US" w:eastAsia="zh-CN"/>
              </w:rPr>
              <w:t>收到全额发票后，60日内一次性支付</w:t>
            </w:r>
            <w:r>
              <w:rPr>
                <w:rFonts w:hint="eastAsia" w:asciiTheme="minorEastAsia" w:hAnsiTheme="minorEastAsia" w:cstheme="minorEastAsia"/>
                <w:color w:val="auto"/>
                <w:sz w:val="24"/>
                <w:szCs w:val="24"/>
                <w:vertAlign w:val="baseline"/>
                <w:lang w:val="en-US" w:eastAsia="zh-CN"/>
              </w:rPr>
              <w:t>全部费用。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7.服务方式要求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eastAsia="zh-CN"/>
              </w:rPr>
              <w:t>投标方自行确定项目研发、测试地点，项目成果试用、交付、验收在</w:t>
            </w:r>
            <w:r>
              <w:rPr>
                <w:rFonts w:hint="eastAsia" w:asciiTheme="minorEastAsia" w:hAnsiTheme="minorEastAsia" w:eastAsiaTheme="minorEastAsia" w:cstheme="minorEastAsia"/>
                <w:color w:val="auto"/>
                <w:sz w:val="24"/>
                <w:szCs w:val="24"/>
                <w:vertAlign w:val="baseline"/>
                <w:lang w:eastAsia="zh-CN"/>
              </w:rPr>
              <w:t>广西百色市</w:t>
            </w:r>
            <w:r>
              <w:rPr>
                <w:rFonts w:hint="eastAsia" w:asciiTheme="minorEastAsia" w:hAnsiTheme="minorEastAsia" w:cstheme="minorEastAsia"/>
                <w:color w:val="auto"/>
                <w:sz w:val="24"/>
                <w:szCs w:val="24"/>
                <w:vertAlign w:val="baseline"/>
                <w:lang w:val="en-US" w:eastAsia="zh-CN"/>
              </w:rPr>
              <w:t>百色局办公大楼</w:t>
            </w:r>
            <w:r>
              <w:rPr>
                <w:rFonts w:hint="eastAsia" w:asciiTheme="minorEastAsia" w:hAnsiTheme="minorEastAsia" w:eastAsiaTheme="minorEastAsia" w:cstheme="minorEastAsia"/>
                <w:color w:val="auto"/>
                <w:sz w:val="24"/>
                <w:szCs w:val="24"/>
                <w:vertAlign w:val="baseline"/>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8.售后服务</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本项目售后服务期限为</w:t>
            </w:r>
            <w:r>
              <w:rPr>
                <w:rFonts w:hint="eastAsia" w:asciiTheme="minorEastAsia" w:hAnsiTheme="minorEastAsia" w:cstheme="minorEastAsia"/>
                <w:color w:val="auto"/>
                <w:sz w:val="24"/>
                <w:szCs w:val="24"/>
                <w:vertAlign w:val="baseline"/>
                <w:lang w:val="en-US" w:eastAsia="zh-CN"/>
              </w:rPr>
              <w:t>三</w:t>
            </w:r>
            <w:r>
              <w:rPr>
                <w:rFonts w:hint="eastAsia" w:asciiTheme="minorEastAsia" w:hAnsiTheme="minorEastAsia" w:eastAsiaTheme="minorEastAsia" w:cstheme="minorEastAsia"/>
                <w:color w:val="auto"/>
                <w:sz w:val="24"/>
                <w:szCs w:val="24"/>
                <w:vertAlign w:val="baseline"/>
                <w:lang w:val="en-US" w:eastAsia="zh-CN"/>
              </w:rPr>
              <w:t>年，售后服务期限内应提供免费维修服务。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val="en-US" w:eastAsia="zh-CN"/>
              </w:rPr>
              <w:t>9</w:t>
            </w:r>
            <w:r>
              <w:rPr>
                <w:rFonts w:hint="eastAsia" w:asciiTheme="minorEastAsia" w:hAnsiTheme="minorEastAsia" w:eastAsiaTheme="minorEastAsia" w:cstheme="minorEastAsia"/>
                <w:b/>
                <w:bCs/>
                <w:color w:val="auto"/>
                <w:sz w:val="24"/>
                <w:szCs w:val="24"/>
                <w:vertAlign w:val="baseline"/>
                <w:lang w:eastAsia="zh-CN"/>
              </w:rPr>
              <w:t>.其它</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color w:val="auto"/>
                <w:sz w:val="24"/>
                <w:szCs w:val="24"/>
                <w:vertAlign w:val="baseline"/>
                <w:lang w:val="en-US" w:eastAsia="zh-CN"/>
              </w:rPr>
              <w:t>报价包含所需全部费用</w:t>
            </w:r>
            <w:r>
              <w:rPr>
                <w:rFonts w:hint="eastAsia" w:asciiTheme="minorEastAsia" w:hAnsiTheme="minorEastAsia" w:cstheme="minorEastAsia"/>
                <w:color w:val="auto"/>
                <w:sz w:val="24"/>
                <w:szCs w:val="24"/>
                <w:vertAlign w:val="baseline"/>
                <w:lang w:val="en-US" w:eastAsia="zh-CN"/>
              </w:rPr>
              <w:t>。</w:t>
            </w:r>
          </w:p>
        </w:tc>
      </w:tr>
    </w:tbl>
    <w:p>
      <w:pPr>
        <w:numPr>
          <w:ilvl w:val="0"/>
          <w:numId w:val="1"/>
        </w:numPr>
        <w:ind w:left="0" w:leftChars="0" w:firstLine="0" w:firstLineChars="0"/>
        <w:jc w:val="both"/>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b/>
          <w:bCs/>
          <w:color w:val="auto"/>
          <w:kern w:val="44"/>
          <w:sz w:val="30"/>
          <w:szCs w:val="30"/>
          <w:highlight w:val="none"/>
          <w:lang w:val="en-US" w:eastAsia="zh-CN" w:bidi="ar-SA"/>
        </w:rPr>
        <w:t>技术要求</w:t>
      </w:r>
    </w:p>
    <w:tbl>
      <w:tblPr>
        <w:tblStyle w:val="7"/>
        <w:tblW w:w="8601"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398"/>
        <w:gridCol w:w="6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8601" w:type="dxa"/>
            <w:gridSpan w:val="2"/>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2"/>
                <w:sz w:val="24"/>
                <w:szCs w:val="24"/>
                <w:u w:val="none"/>
                <w:lang w:val="en-US" w:eastAsia="zh-CN" w:bidi="ar-SA"/>
              </w:rPr>
            </w:pPr>
            <w:r>
              <w:rPr>
                <w:rFonts w:hint="eastAsia" w:asciiTheme="minorEastAsia" w:hAnsiTheme="minorEastAsia" w:eastAsiaTheme="minorEastAsia" w:cstheme="minorEastAsia"/>
                <w:i w:val="0"/>
                <w:iCs w:val="0"/>
                <w:color w:val="auto"/>
                <w:sz w:val="28"/>
                <w:szCs w:val="28"/>
                <w:u w:val="none"/>
                <w:lang w:eastAsia="zh-CN"/>
              </w:rPr>
              <w:t>服务类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1.技术服务内容（含工作量）</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（1）</w:t>
            </w:r>
            <w:r>
              <w:rPr>
                <w:rFonts w:hint="eastAsia" w:asciiTheme="minorEastAsia" w:hAnsiTheme="minorEastAsia" w:cstheme="minorEastAsia"/>
                <w:color w:val="auto"/>
                <w:sz w:val="24"/>
                <w:szCs w:val="24"/>
                <w:vertAlign w:val="baseline"/>
                <w:lang w:val="en-US" w:eastAsia="zh-CN"/>
              </w:rPr>
              <w:t>配合代加工</w:t>
            </w:r>
            <w:r>
              <w:rPr>
                <w:rFonts w:hint="eastAsia" w:asciiTheme="minorEastAsia" w:hAnsiTheme="minorEastAsia" w:eastAsiaTheme="minorEastAsia" w:cstheme="minorEastAsia"/>
                <w:color w:val="auto"/>
                <w:sz w:val="24"/>
                <w:szCs w:val="24"/>
                <w:vertAlign w:val="baseline"/>
                <w:lang w:val="en-US" w:eastAsia="zh-CN"/>
              </w:rPr>
              <w:t>一种输电线路便携式、多参量的灾害事故综合监测</w:t>
            </w:r>
            <w:r>
              <w:rPr>
                <w:rFonts w:hint="eastAsia" w:asciiTheme="minorEastAsia" w:hAnsiTheme="minorEastAsia" w:cstheme="minorEastAsia"/>
                <w:color w:val="auto"/>
                <w:sz w:val="24"/>
                <w:szCs w:val="24"/>
                <w:vertAlign w:val="baseline"/>
                <w:lang w:val="en-US" w:eastAsia="zh-CN"/>
              </w:rPr>
              <w:t>装置</w:t>
            </w:r>
            <w:r>
              <w:rPr>
                <w:rFonts w:hint="eastAsia" w:asciiTheme="minorEastAsia" w:hAnsiTheme="minorEastAsia" w:eastAsiaTheme="minorEastAsia" w:cstheme="minorEastAsia"/>
                <w:color w:val="auto"/>
                <w:sz w:val="24"/>
                <w:szCs w:val="24"/>
                <w:vertAlign w:val="baseline"/>
                <w:lang w:val="en-US" w:eastAsia="zh-CN"/>
              </w:rPr>
              <w:t>；</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（2）研究开发标准化传感接口，实现多传感器的模块化接入和支持通用到其他设备；</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（3）研制可扩展单北斗定位和北斗短报文通信，集成4G网络模块（支持APN协议）和智能电源管理模块，支持南网端口及协议规范，满足南网系统的接入要求，实现自动化测量与远程信息交互；</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（4）研制监测终端结构设计，使得其体积小，重量轻，便于实现现场的快速安装拆除；</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（5）主要监测技术指标：</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①位移（裂缝）分辨力：0.1mm @ 1m；</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②雨量分辨力：0.2mm @ 0.01mm至4mm/min；</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③土壤含水率分辨力：0.1%RH @ 0至100%RH；</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④温度分辨力：0.01℃ @ -20℃至50℃；</w:t>
            </w:r>
          </w:p>
          <w:p>
            <w:pPr>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color w:val="auto"/>
                <w:sz w:val="24"/>
                <w:szCs w:val="24"/>
                <w:vertAlign w:val="baseline"/>
                <w:lang w:val="en-US" w:eastAsia="zh-CN"/>
              </w:rPr>
              <w:t>⑤双轴倾斜仪分辨力：0.01° @ ±30°。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2.涉及服务的相关仪器设备型号规格</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cstheme="minorEastAsia"/>
                <w:b/>
                <w:bCs/>
                <w:color w:val="auto"/>
                <w:sz w:val="24"/>
                <w:szCs w:val="24"/>
                <w:vertAlign w:val="baseli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3.技术服务质量要求及验收标准</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ind w:firstLine="480" w:firstLineChars="200"/>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cstheme="minorEastAsia"/>
                <w:color w:val="auto"/>
                <w:sz w:val="24"/>
                <w:szCs w:val="24"/>
                <w:vertAlign w:val="baseline"/>
                <w:lang w:val="en-US" w:eastAsia="zh-CN"/>
              </w:rPr>
              <w:t>配合代加工</w:t>
            </w:r>
            <w:r>
              <w:rPr>
                <w:rFonts w:hint="eastAsia" w:asciiTheme="minorEastAsia" w:hAnsiTheme="minorEastAsia" w:eastAsiaTheme="minorEastAsia" w:cstheme="minorEastAsia"/>
                <w:color w:val="auto"/>
                <w:sz w:val="24"/>
                <w:szCs w:val="24"/>
                <w:vertAlign w:val="baseline"/>
                <w:lang w:val="en-US" w:eastAsia="zh-CN"/>
              </w:rPr>
              <w:t>一种集成定位、位移、雨量、土壤含水率、温湿度、地倾斜等便携式灾害事故多参量综合监测系统1套，使其具备“多参数、小体积、重量轻、自供电、自组网、低成本”等特征，并通过百色局组成的验收小组验收</w:t>
            </w:r>
            <w:r>
              <w:rPr>
                <w:rFonts w:hint="eastAsia" w:asciiTheme="minorEastAsia" w:hAnsiTheme="minorEastAsia" w:cstheme="minorEastAsia"/>
                <w:color w:val="auto"/>
                <w:sz w:val="24"/>
                <w:szCs w:val="24"/>
                <w:vertAlign w:val="baseli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4.其它</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default"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cstheme="minorEastAsia"/>
                <w:b/>
                <w:bCs/>
                <w:color w:val="auto"/>
                <w:sz w:val="24"/>
                <w:szCs w:val="24"/>
                <w:vertAlign w:val="baseline"/>
                <w:lang w:val="en-US" w:eastAsia="zh-CN"/>
              </w:rPr>
              <w:t>/</w:t>
            </w:r>
          </w:p>
        </w:tc>
      </w:tr>
    </w:tbl>
    <w:p>
      <w:pPr>
        <w:numPr>
          <w:ilvl w:val="0"/>
          <w:numId w:val="1"/>
        </w:numPr>
        <w:ind w:left="0" w:leftChars="0" w:firstLine="0" w:firstLineChars="0"/>
        <w:jc w:val="both"/>
        <w:rPr>
          <w:rFonts w:hint="eastAsia" w:asciiTheme="minorEastAsia" w:hAnsiTheme="minorEastAsia" w:eastAsiaTheme="minorEastAsia" w:cstheme="minorEastAsia"/>
          <w:b/>
          <w:bCs/>
          <w:color w:val="auto"/>
          <w:kern w:val="44"/>
          <w:sz w:val="30"/>
          <w:szCs w:val="30"/>
          <w:highlight w:val="none"/>
          <w:lang w:val="en-US" w:eastAsia="zh-CN" w:bidi="ar-SA"/>
        </w:rPr>
      </w:pPr>
      <w:bookmarkStart w:id="0" w:name="_Toc350159239"/>
      <w:bookmarkStart w:id="1" w:name="_Toc351322324"/>
      <w:bookmarkStart w:id="2" w:name="_Toc432171539"/>
      <w:r>
        <w:rPr>
          <w:rFonts w:hint="eastAsia" w:asciiTheme="minorEastAsia" w:hAnsiTheme="minorEastAsia" w:eastAsiaTheme="minorEastAsia" w:cstheme="minorEastAsia"/>
          <w:b/>
          <w:bCs/>
          <w:color w:val="auto"/>
          <w:kern w:val="44"/>
          <w:sz w:val="30"/>
          <w:szCs w:val="30"/>
          <w:highlight w:val="none"/>
          <w:lang w:val="en-US" w:eastAsia="zh-CN" w:bidi="ar-SA"/>
        </w:rPr>
        <w:t>工作内容及数量</w:t>
      </w:r>
    </w:p>
    <w:tbl>
      <w:tblPr>
        <w:tblStyle w:val="7"/>
        <w:tblW w:w="859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6"/>
        <w:gridCol w:w="1620"/>
        <w:gridCol w:w="14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56" w:type="dxa"/>
            <w:tcBorders>
              <w:top w:val="single" w:color="auto" w:sz="4" w:space="0"/>
              <w:left w:val="single" w:color="auto" w:sz="4" w:space="0"/>
              <w:bottom w:val="single" w:color="auto" w:sz="4" w:space="0"/>
              <w:right w:val="single" w:color="auto" w:sz="4" w:space="0"/>
            </w:tcBorders>
            <w:noWrap w:val="0"/>
            <w:vAlign w:val="center"/>
          </w:tcPr>
          <w:p>
            <w:pPr>
              <w:pStyle w:val="5"/>
              <w:spacing w:line="360" w:lineRule="auto"/>
              <w:jc w:val="center"/>
              <w:rPr>
                <w:rFonts w:hint="eastAsia" w:asciiTheme="minorEastAsia" w:hAnsiTheme="minorEastAsia" w:eastAsiaTheme="minorEastAsia" w:cstheme="minorEastAsia"/>
                <w:b/>
                <w:bCs w:val="0"/>
                <w:color w:val="auto"/>
                <w:szCs w:val="21"/>
                <w:highlight w:val="none"/>
                <w:lang w:val="en-US" w:eastAsia="zh-CN"/>
              </w:rPr>
            </w:pPr>
            <w:r>
              <w:rPr>
                <w:rFonts w:hint="eastAsia" w:asciiTheme="minorEastAsia" w:hAnsiTheme="minorEastAsia" w:eastAsiaTheme="minorEastAsia" w:cstheme="minorEastAsia"/>
                <w:b/>
                <w:bCs w:val="0"/>
                <w:color w:val="auto"/>
                <w:szCs w:val="21"/>
                <w:highlight w:val="none"/>
                <w:lang w:val="en-US" w:eastAsia="zh-CN"/>
              </w:rPr>
              <w:t>采购工作内容</w:t>
            </w:r>
          </w:p>
        </w:tc>
        <w:tc>
          <w:tcPr>
            <w:tcW w:w="1620" w:type="dxa"/>
            <w:tcBorders>
              <w:top w:val="single" w:color="auto" w:sz="4" w:space="0"/>
              <w:left w:val="single" w:color="auto" w:sz="4" w:space="0"/>
              <w:bottom w:val="single" w:color="auto" w:sz="4" w:space="0"/>
              <w:right w:val="single" w:color="auto" w:sz="4" w:space="0"/>
            </w:tcBorders>
            <w:noWrap w:val="0"/>
            <w:vAlign w:val="center"/>
          </w:tcPr>
          <w:p>
            <w:pPr>
              <w:pStyle w:val="5"/>
              <w:spacing w:line="360" w:lineRule="auto"/>
              <w:jc w:val="center"/>
              <w:rPr>
                <w:rFonts w:hint="eastAsia" w:asciiTheme="minorEastAsia" w:hAnsiTheme="minorEastAsia" w:eastAsiaTheme="minorEastAsia" w:cstheme="minorEastAsia"/>
                <w:b/>
                <w:bCs w:val="0"/>
                <w:color w:val="auto"/>
                <w:kern w:val="2"/>
                <w:sz w:val="21"/>
                <w:szCs w:val="21"/>
                <w:highlight w:val="none"/>
                <w:lang w:val="en-US" w:eastAsia="zh-CN" w:bidi="ar-SA"/>
              </w:rPr>
            </w:pPr>
            <w:r>
              <w:rPr>
                <w:rFonts w:hint="eastAsia" w:asciiTheme="minorEastAsia" w:hAnsiTheme="minorEastAsia" w:eastAsiaTheme="minorEastAsia" w:cstheme="minorEastAsia"/>
                <w:b/>
                <w:bCs w:val="0"/>
                <w:color w:val="auto"/>
                <w:szCs w:val="21"/>
                <w:highlight w:val="none"/>
                <w:lang w:eastAsia="zh-CN"/>
              </w:rPr>
              <w:t>单位</w:t>
            </w:r>
          </w:p>
        </w:tc>
        <w:tc>
          <w:tcPr>
            <w:tcW w:w="1419" w:type="dxa"/>
            <w:tcBorders>
              <w:top w:val="single" w:color="auto" w:sz="4" w:space="0"/>
              <w:left w:val="single" w:color="auto" w:sz="4" w:space="0"/>
              <w:bottom w:val="single" w:color="auto" w:sz="4" w:space="0"/>
              <w:right w:val="single" w:color="auto" w:sz="4" w:space="0"/>
            </w:tcBorders>
            <w:noWrap w:val="0"/>
            <w:vAlign w:val="center"/>
          </w:tcPr>
          <w:p>
            <w:pPr>
              <w:pStyle w:val="5"/>
              <w:spacing w:line="360" w:lineRule="auto"/>
              <w:jc w:val="center"/>
              <w:rPr>
                <w:rFonts w:hint="eastAsia" w:asciiTheme="minorEastAsia" w:hAnsiTheme="minorEastAsia" w:eastAsiaTheme="minorEastAsia" w:cstheme="minorEastAsia"/>
                <w:b/>
                <w:bCs w:val="0"/>
                <w:color w:val="auto"/>
                <w:szCs w:val="21"/>
                <w:highlight w:val="none"/>
                <w:lang w:eastAsia="zh-CN"/>
              </w:rPr>
            </w:pPr>
            <w:r>
              <w:rPr>
                <w:rFonts w:hint="eastAsia" w:asciiTheme="minorEastAsia" w:hAnsiTheme="minorEastAsia" w:eastAsiaTheme="minorEastAsia" w:cstheme="minorEastAsia"/>
                <w:b/>
                <w:bCs w:val="0"/>
                <w:color w:val="auto"/>
                <w:szCs w:val="21"/>
                <w:highlight w:val="none"/>
                <w:lang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556" w:type="dxa"/>
            <w:tcBorders>
              <w:top w:val="single" w:color="auto" w:sz="4" w:space="0"/>
              <w:left w:val="single" w:color="auto" w:sz="4" w:space="0"/>
              <w:bottom w:val="single" w:color="auto" w:sz="4" w:space="0"/>
              <w:right w:val="single" w:color="auto" w:sz="4" w:space="0"/>
            </w:tcBorders>
            <w:noWrap w:val="0"/>
            <w:vAlign w:val="bottom"/>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2"/>
                <w:szCs w:val="22"/>
                <w:highlight w:val="none"/>
                <w:u w:val="none"/>
                <w:lang w:val="en-US" w:eastAsia="zh-CN" w:bidi="ar"/>
              </w:rPr>
            </w:pPr>
            <w:r>
              <w:rPr>
                <w:rFonts w:hint="eastAsia" w:asciiTheme="minorEastAsia" w:hAnsiTheme="minorEastAsia" w:eastAsiaTheme="minorEastAsia" w:cstheme="minorEastAsia"/>
                <w:color w:val="auto"/>
                <w:sz w:val="24"/>
                <w:szCs w:val="24"/>
                <w:vertAlign w:val="baseline"/>
                <w:lang w:val="en-US" w:eastAsia="zh-CN"/>
              </w:rPr>
              <w:t>一种输电线路便携式、多参量的灾害事故综合监测装置</w:t>
            </w:r>
            <w:r>
              <w:rPr>
                <w:rFonts w:hint="eastAsia" w:asciiTheme="minorEastAsia" w:hAnsiTheme="minorEastAsia" w:cstheme="minorEastAsia"/>
                <w:color w:val="auto"/>
                <w:sz w:val="24"/>
                <w:szCs w:val="24"/>
                <w:vertAlign w:val="baseline"/>
                <w:lang w:val="en-US" w:eastAsia="zh-CN"/>
              </w:rPr>
              <w:t>代加工</w:t>
            </w:r>
            <w:r>
              <w:rPr>
                <w:rFonts w:hint="eastAsia" w:asciiTheme="minorEastAsia" w:hAnsiTheme="minorEastAsia" w:eastAsiaTheme="minorEastAsia" w:cstheme="minorEastAsia"/>
                <w:color w:val="auto"/>
                <w:sz w:val="24"/>
                <w:szCs w:val="24"/>
                <w:vertAlign w:val="baseline"/>
                <w:lang w:val="en-US" w:eastAsia="zh-CN"/>
              </w:rPr>
              <w:t>零星采购项目</w:t>
            </w:r>
          </w:p>
        </w:tc>
        <w:tc>
          <w:tcPr>
            <w:tcW w:w="16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2"/>
                <w:szCs w:val="22"/>
                <w:highlight w:val="none"/>
                <w:u w:val="none"/>
                <w:lang w:val="en-US" w:eastAsia="zh-CN" w:bidi="ar"/>
              </w:rPr>
            </w:pPr>
            <w:r>
              <w:rPr>
                <w:rFonts w:hint="eastAsia" w:asciiTheme="minorEastAsia" w:hAnsiTheme="minorEastAsia" w:cstheme="minorEastAsia"/>
                <w:i w:val="0"/>
                <w:iCs w:val="0"/>
                <w:color w:val="auto"/>
                <w:kern w:val="0"/>
                <w:sz w:val="22"/>
                <w:szCs w:val="22"/>
                <w:highlight w:val="none"/>
                <w:u w:val="none"/>
                <w:lang w:val="en-US" w:eastAsia="zh-CN" w:bidi="ar"/>
              </w:rPr>
              <w:t>套</w:t>
            </w:r>
          </w:p>
        </w:tc>
        <w:tc>
          <w:tcPr>
            <w:tcW w:w="141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i w:val="0"/>
                <w:iCs w:val="0"/>
                <w:color w:val="auto"/>
                <w:kern w:val="0"/>
                <w:sz w:val="22"/>
                <w:szCs w:val="22"/>
                <w:highlight w:val="none"/>
                <w:u w:val="none"/>
                <w:lang w:val="en-US" w:eastAsia="zh-CN" w:bidi="ar"/>
              </w:rPr>
            </w:pPr>
            <w:r>
              <w:rPr>
                <w:rFonts w:hint="eastAsia" w:asciiTheme="minorEastAsia" w:hAnsiTheme="minorEastAsia" w:cstheme="minorEastAsia"/>
                <w:i w:val="0"/>
                <w:iCs w:val="0"/>
                <w:color w:val="auto"/>
                <w:kern w:val="0"/>
                <w:sz w:val="22"/>
                <w:szCs w:val="22"/>
                <w:highlight w:val="none"/>
                <w:u w:val="none"/>
                <w:lang w:val="en-US" w:eastAsia="zh-CN" w:bidi="ar"/>
              </w:rPr>
              <w:t>1</w:t>
            </w:r>
          </w:p>
        </w:tc>
      </w:tr>
      <w:bookmarkEnd w:id="0"/>
      <w:bookmarkEnd w:id="1"/>
      <w:bookmarkEnd w:id="2"/>
    </w:tbl>
    <w:p>
      <w:pPr>
        <w:numPr>
          <w:ilvl w:val="0"/>
          <w:numId w:val="1"/>
        </w:numPr>
        <w:ind w:left="0" w:leftChars="0" w:firstLine="0" w:firstLineChars="0"/>
        <w:jc w:val="both"/>
        <w:rPr>
          <w:rFonts w:hint="eastAsia" w:asciiTheme="minorEastAsia" w:hAnsiTheme="minorEastAsia" w:eastAsiaTheme="minorEastAsia" w:cstheme="minorEastAsia"/>
          <w:b/>
          <w:bCs/>
          <w:color w:val="auto"/>
          <w:kern w:val="44"/>
          <w:sz w:val="30"/>
          <w:szCs w:val="30"/>
          <w:highlight w:val="none"/>
          <w:lang w:val="en-US" w:eastAsia="zh-CN" w:bidi="ar-SA"/>
        </w:rPr>
      </w:pPr>
      <w:r>
        <w:rPr>
          <w:rFonts w:hint="eastAsia" w:asciiTheme="minorEastAsia" w:hAnsiTheme="minorEastAsia" w:eastAsiaTheme="minorEastAsia" w:cstheme="minorEastAsia"/>
          <w:b/>
          <w:bCs/>
          <w:color w:val="auto"/>
          <w:kern w:val="44"/>
          <w:sz w:val="30"/>
          <w:szCs w:val="30"/>
          <w:highlight w:val="none"/>
          <w:lang w:val="en-US" w:eastAsia="zh-CN" w:bidi="ar-SA"/>
        </w:rPr>
        <w:t>需提交的证明文件</w:t>
      </w:r>
    </w:p>
    <w:p>
      <w:pPr>
        <w:pStyle w:val="2"/>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A79DC7"/>
    <w:multiLevelType w:val="singleLevel"/>
    <w:tmpl w:val="DCA79DC7"/>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0015343"/>
    <w:rsid w:val="000304DD"/>
    <w:rsid w:val="000F58E8"/>
    <w:rsid w:val="001F0AC3"/>
    <w:rsid w:val="001F1668"/>
    <w:rsid w:val="00820D0C"/>
    <w:rsid w:val="00BA7044"/>
    <w:rsid w:val="00E16DCB"/>
    <w:rsid w:val="011200AF"/>
    <w:rsid w:val="013A08CE"/>
    <w:rsid w:val="01501235"/>
    <w:rsid w:val="016940D8"/>
    <w:rsid w:val="01820F90"/>
    <w:rsid w:val="01AA77A2"/>
    <w:rsid w:val="01F21044"/>
    <w:rsid w:val="01F4352D"/>
    <w:rsid w:val="02060639"/>
    <w:rsid w:val="022B7242"/>
    <w:rsid w:val="02352299"/>
    <w:rsid w:val="02393A60"/>
    <w:rsid w:val="02397997"/>
    <w:rsid w:val="02881A4F"/>
    <w:rsid w:val="02E842EC"/>
    <w:rsid w:val="02F7359E"/>
    <w:rsid w:val="0331503A"/>
    <w:rsid w:val="034B1EE2"/>
    <w:rsid w:val="03811C00"/>
    <w:rsid w:val="03AC6308"/>
    <w:rsid w:val="03B72AE1"/>
    <w:rsid w:val="04087C5B"/>
    <w:rsid w:val="040F3B52"/>
    <w:rsid w:val="04135126"/>
    <w:rsid w:val="044E557D"/>
    <w:rsid w:val="04827C67"/>
    <w:rsid w:val="04862A9E"/>
    <w:rsid w:val="04B43C3E"/>
    <w:rsid w:val="04B70EB3"/>
    <w:rsid w:val="04C4307A"/>
    <w:rsid w:val="054669C7"/>
    <w:rsid w:val="05796A56"/>
    <w:rsid w:val="058468CE"/>
    <w:rsid w:val="059F10A0"/>
    <w:rsid w:val="05A41843"/>
    <w:rsid w:val="060A120F"/>
    <w:rsid w:val="061311DF"/>
    <w:rsid w:val="061458DF"/>
    <w:rsid w:val="061958D7"/>
    <w:rsid w:val="061E030F"/>
    <w:rsid w:val="06836CF3"/>
    <w:rsid w:val="06970A6E"/>
    <w:rsid w:val="06A12946"/>
    <w:rsid w:val="06A35579"/>
    <w:rsid w:val="074269CD"/>
    <w:rsid w:val="076127A5"/>
    <w:rsid w:val="07955F47"/>
    <w:rsid w:val="079620C0"/>
    <w:rsid w:val="07B8484E"/>
    <w:rsid w:val="081338BE"/>
    <w:rsid w:val="082908C4"/>
    <w:rsid w:val="08331DC3"/>
    <w:rsid w:val="084A2F09"/>
    <w:rsid w:val="08A07291"/>
    <w:rsid w:val="08A63456"/>
    <w:rsid w:val="08C8771E"/>
    <w:rsid w:val="08DC6580"/>
    <w:rsid w:val="08E2176D"/>
    <w:rsid w:val="08FF192A"/>
    <w:rsid w:val="090F328D"/>
    <w:rsid w:val="091B3B2C"/>
    <w:rsid w:val="09211E06"/>
    <w:rsid w:val="09240D9A"/>
    <w:rsid w:val="092802D1"/>
    <w:rsid w:val="092B6C95"/>
    <w:rsid w:val="0951467D"/>
    <w:rsid w:val="095B0516"/>
    <w:rsid w:val="09903E57"/>
    <w:rsid w:val="09D81D95"/>
    <w:rsid w:val="0A344583"/>
    <w:rsid w:val="0A80450F"/>
    <w:rsid w:val="0A9108F9"/>
    <w:rsid w:val="0A932FE1"/>
    <w:rsid w:val="0AE3063C"/>
    <w:rsid w:val="0B375585"/>
    <w:rsid w:val="0B4C5830"/>
    <w:rsid w:val="0B4F1AF7"/>
    <w:rsid w:val="0B6354B0"/>
    <w:rsid w:val="0B880F02"/>
    <w:rsid w:val="0BAE1E93"/>
    <w:rsid w:val="0C0F7C1C"/>
    <w:rsid w:val="0C682663"/>
    <w:rsid w:val="0C774B21"/>
    <w:rsid w:val="0C8846F0"/>
    <w:rsid w:val="0CB37B6B"/>
    <w:rsid w:val="0CFC67E8"/>
    <w:rsid w:val="0D307151"/>
    <w:rsid w:val="0D3B2462"/>
    <w:rsid w:val="0DB6219C"/>
    <w:rsid w:val="0DC13D8A"/>
    <w:rsid w:val="0DF07BDA"/>
    <w:rsid w:val="0DFD2816"/>
    <w:rsid w:val="0E71136B"/>
    <w:rsid w:val="0E8B2745"/>
    <w:rsid w:val="0E9B4DDB"/>
    <w:rsid w:val="0EA565F4"/>
    <w:rsid w:val="0ECE09DE"/>
    <w:rsid w:val="0F334549"/>
    <w:rsid w:val="0F3801C8"/>
    <w:rsid w:val="0F7200FC"/>
    <w:rsid w:val="0F9E41A6"/>
    <w:rsid w:val="0FE713A1"/>
    <w:rsid w:val="0FEF5E29"/>
    <w:rsid w:val="0FF33B0A"/>
    <w:rsid w:val="1031515E"/>
    <w:rsid w:val="10690B09"/>
    <w:rsid w:val="10C114BF"/>
    <w:rsid w:val="10E64CA7"/>
    <w:rsid w:val="10E84774"/>
    <w:rsid w:val="10EC11DB"/>
    <w:rsid w:val="112E24A5"/>
    <w:rsid w:val="11C56820"/>
    <w:rsid w:val="12100284"/>
    <w:rsid w:val="122F23AB"/>
    <w:rsid w:val="128C2CAA"/>
    <w:rsid w:val="12AA1604"/>
    <w:rsid w:val="12C15A54"/>
    <w:rsid w:val="13122EB9"/>
    <w:rsid w:val="131B7BE0"/>
    <w:rsid w:val="132C4F88"/>
    <w:rsid w:val="13AC3248"/>
    <w:rsid w:val="13C85393"/>
    <w:rsid w:val="13D17E3E"/>
    <w:rsid w:val="13E63CB1"/>
    <w:rsid w:val="142D3966"/>
    <w:rsid w:val="14744206"/>
    <w:rsid w:val="148B23EC"/>
    <w:rsid w:val="14BC3E8F"/>
    <w:rsid w:val="14DD3E78"/>
    <w:rsid w:val="14FD0E5F"/>
    <w:rsid w:val="14FD757A"/>
    <w:rsid w:val="15141EA9"/>
    <w:rsid w:val="156C231A"/>
    <w:rsid w:val="158865BE"/>
    <w:rsid w:val="1595095C"/>
    <w:rsid w:val="15DE13D5"/>
    <w:rsid w:val="15E66A30"/>
    <w:rsid w:val="15F4465A"/>
    <w:rsid w:val="16035D89"/>
    <w:rsid w:val="16580359"/>
    <w:rsid w:val="16A07C09"/>
    <w:rsid w:val="16B572F7"/>
    <w:rsid w:val="16CC0B72"/>
    <w:rsid w:val="172A0D45"/>
    <w:rsid w:val="176F5489"/>
    <w:rsid w:val="178347AB"/>
    <w:rsid w:val="179E22DC"/>
    <w:rsid w:val="17E355C2"/>
    <w:rsid w:val="17F222DD"/>
    <w:rsid w:val="17F941EB"/>
    <w:rsid w:val="17FA2E63"/>
    <w:rsid w:val="18193EFB"/>
    <w:rsid w:val="18290DB1"/>
    <w:rsid w:val="18423839"/>
    <w:rsid w:val="185138C0"/>
    <w:rsid w:val="189F058B"/>
    <w:rsid w:val="18D97540"/>
    <w:rsid w:val="19297752"/>
    <w:rsid w:val="196F285C"/>
    <w:rsid w:val="19761FB7"/>
    <w:rsid w:val="198829AE"/>
    <w:rsid w:val="19CD3FB4"/>
    <w:rsid w:val="19D94077"/>
    <w:rsid w:val="19F14852"/>
    <w:rsid w:val="1A061791"/>
    <w:rsid w:val="1A2A76BA"/>
    <w:rsid w:val="1A816311"/>
    <w:rsid w:val="1AE96166"/>
    <w:rsid w:val="1AF2575E"/>
    <w:rsid w:val="1B044F07"/>
    <w:rsid w:val="1B525F06"/>
    <w:rsid w:val="1BA15AB1"/>
    <w:rsid w:val="1BB737D3"/>
    <w:rsid w:val="1BB75756"/>
    <w:rsid w:val="1BF06759"/>
    <w:rsid w:val="1BF11ABE"/>
    <w:rsid w:val="1C022149"/>
    <w:rsid w:val="1C2C11D0"/>
    <w:rsid w:val="1C320214"/>
    <w:rsid w:val="1C3922C0"/>
    <w:rsid w:val="1C5826E0"/>
    <w:rsid w:val="1C8B469A"/>
    <w:rsid w:val="1C9B16FD"/>
    <w:rsid w:val="1D3F2357"/>
    <w:rsid w:val="1D4C0E01"/>
    <w:rsid w:val="1D731EC0"/>
    <w:rsid w:val="1D8A6578"/>
    <w:rsid w:val="1DB31EE7"/>
    <w:rsid w:val="1DC8164A"/>
    <w:rsid w:val="1DD80D20"/>
    <w:rsid w:val="1DE17B50"/>
    <w:rsid w:val="1DE2229C"/>
    <w:rsid w:val="1E3B5ED1"/>
    <w:rsid w:val="1E7D4B74"/>
    <w:rsid w:val="1E897166"/>
    <w:rsid w:val="1ECE1E51"/>
    <w:rsid w:val="1F2A1AFB"/>
    <w:rsid w:val="1F37102C"/>
    <w:rsid w:val="1F5C1B1F"/>
    <w:rsid w:val="1F847548"/>
    <w:rsid w:val="1FC930A0"/>
    <w:rsid w:val="1FCE7374"/>
    <w:rsid w:val="1FEC2DD9"/>
    <w:rsid w:val="1FFB2CAE"/>
    <w:rsid w:val="1FFF3214"/>
    <w:rsid w:val="204E7B4C"/>
    <w:rsid w:val="20697F7D"/>
    <w:rsid w:val="2094367F"/>
    <w:rsid w:val="209B0702"/>
    <w:rsid w:val="20A93859"/>
    <w:rsid w:val="20AD11B3"/>
    <w:rsid w:val="20C4708C"/>
    <w:rsid w:val="20D3385E"/>
    <w:rsid w:val="210C673F"/>
    <w:rsid w:val="210E0C48"/>
    <w:rsid w:val="216418EA"/>
    <w:rsid w:val="218364C3"/>
    <w:rsid w:val="219531EF"/>
    <w:rsid w:val="21FE0AA0"/>
    <w:rsid w:val="220471D4"/>
    <w:rsid w:val="22390F2A"/>
    <w:rsid w:val="2239721F"/>
    <w:rsid w:val="2253248B"/>
    <w:rsid w:val="22937521"/>
    <w:rsid w:val="22C538FF"/>
    <w:rsid w:val="23117658"/>
    <w:rsid w:val="2326189B"/>
    <w:rsid w:val="2347482F"/>
    <w:rsid w:val="23480721"/>
    <w:rsid w:val="23832A6A"/>
    <w:rsid w:val="239C519E"/>
    <w:rsid w:val="23AC6110"/>
    <w:rsid w:val="23B3680B"/>
    <w:rsid w:val="24453519"/>
    <w:rsid w:val="24806DED"/>
    <w:rsid w:val="249E1E21"/>
    <w:rsid w:val="24CF2183"/>
    <w:rsid w:val="24D6375F"/>
    <w:rsid w:val="25A20BE8"/>
    <w:rsid w:val="25DC36E6"/>
    <w:rsid w:val="25E539B7"/>
    <w:rsid w:val="25EA35EF"/>
    <w:rsid w:val="25FE72E1"/>
    <w:rsid w:val="2601741E"/>
    <w:rsid w:val="261D692F"/>
    <w:rsid w:val="2642785F"/>
    <w:rsid w:val="26732D8A"/>
    <w:rsid w:val="26B73565"/>
    <w:rsid w:val="26C747DD"/>
    <w:rsid w:val="272A58F3"/>
    <w:rsid w:val="273313A7"/>
    <w:rsid w:val="275B7375"/>
    <w:rsid w:val="27917C37"/>
    <w:rsid w:val="27990518"/>
    <w:rsid w:val="27E25426"/>
    <w:rsid w:val="287530F9"/>
    <w:rsid w:val="28823A4A"/>
    <w:rsid w:val="28965E46"/>
    <w:rsid w:val="289E30D3"/>
    <w:rsid w:val="28B46336"/>
    <w:rsid w:val="28BE01F9"/>
    <w:rsid w:val="28D2503B"/>
    <w:rsid w:val="29004B34"/>
    <w:rsid w:val="29091E7A"/>
    <w:rsid w:val="291B5185"/>
    <w:rsid w:val="29332905"/>
    <w:rsid w:val="294C14C0"/>
    <w:rsid w:val="296411FB"/>
    <w:rsid w:val="29821E18"/>
    <w:rsid w:val="298B4C70"/>
    <w:rsid w:val="299E29AB"/>
    <w:rsid w:val="29AE2551"/>
    <w:rsid w:val="29B13B84"/>
    <w:rsid w:val="29CE5217"/>
    <w:rsid w:val="2A0566A1"/>
    <w:rsid w:val="2A3A52B1"/>
    <w:rsid w:val="2A822113"/>
    <w:rsid w:val="2A94661D"/>
    <w:rsid w:val="2AAE3082"/>
    <w:rsid w:val="2ADB2F81"/>
    <w:rsid w:val="2B0218D1"/>
    <w:rsid w:val="2B6551B7"/>
    <w:rsid w:val="2B805D5D"/>
    <w:rsid w:val="2BB70572"/>
    <w:rsid w:val="2BCE7E22"/>
    <w:rsid w:val="2C096ED3"/>
    <w:rsid w:val="2C225486"/>
    <w:rsid w:val="2C702EE7"/>
    <w:rsid w:val="2C7F4106"/>
    <w:rsid w:val="2C943472"/>
    <w:rsid w:val="2CE14D5C"/>
    <w:rsid w:val="2D1D2F0E"/>
    <w:rsid w:val="2D1D4246"/>
    <w:rsid w:val="2D3F144E"/>
    <w:rsid w:val="2DA57572"/>
    <w:rsid w:val="2DAB7387"/>
    <w:rsid w:val="2E317F75"/>
    <w:rsid w:val="2E434F68"/>
    <w:rsid w:val="2E725AC4"/>
    <w:rsid w:val="2EAB14E3"/>
    <w:rsid w:val="2F1828EE"/>
    <w:rsid w:val="2F4239BC"/>
    <w:rsid w:val="2F4D79F2"/>
    <w:rsid w:val="2F680110"/>
    <w:rsid w:val="2F722747"/>
    <w:rsid w:val="2F991EEF"/>
    <w:rsid w:val="2FA36714"/>
    <w:rsid w:val="2FAD1162"/>
    <w:rsid w:val="2FC87DCD"/>
    <w:rsid w:val="2FEB6C42"/>
    <w:rsid w:val="2FF07082"/>
    <w:rsid w:val="300A0067"/>
    <w:rsid w:val="300D4CCF"/>
    <w:rsid w:val="30332135"/>
    <w:rsid w:val="30361AAA"/>
    <w:rsid w:val="30565E76"/>
    <w:rsid w:val="307D2B14"/>
    <w:rsid w:val="30D31F6A"/>
    <w:rsid w:val="31093D82"/>
    <w:rsid w:val="31101DA9"/>
    <w:rsid w:val="313A078D"/>
    <w:rsid w:val="314B38CA"/>
    <w:rsid w:val="31505CFB"/>
    <w:rsid w:val="31536D5E"/>
    <w:rsid w:val="317F763C"/>
    <w:rsid w:val="31800319"/>
    <w:rsid w:val="31853E25"/>
    <w:rsid w:val="319C7A88"/>
    <w:rsid w:val="31C14F6E"/>
    <w:rsid w:val="31E11CF9"/>
    <w:rsid w:val="31ED0F4A"/>
    <w:rsid w:val="31FB294D"/>
    <w:rsid w:val="321A1BD9"/>
    <w:rsid w:val="32515810"/>
    <w:rsid w:val="32770896"/>
    <w:rsid w:val="327F6AF1"/>
    <w:rsid w:val="32801914"/>
    <w:rsid w:val="32953617"/>
    <w:rsid w:val="32B81537"/>
    <w:rsid w:val="32F22422"/>
    <w:rsid w:val="3313054B"/>
    <w:rsid w:val="33725B52"/>
    <w:rsid w:val="3378065A"/>
    <w:rsid w:val="33A73BE5"/>
    <w:rsid w:val="33B96A2E"/>
    <w:rsid w:val="33DA7217"/>
    <w:rsid w:val="34134285"/>
    <w:rsid w:val="34615900"/>
    <w:rsid w:val="346F74D1"/>
    <w:rsid w:val="34816FDA"/>
    <w:rsid w:val="34B90705"/>
    <w:rsid w:val="34C944EE"/>
    <w:rsid w:val="34C97625"/>
    <w:rsid w:val="34CE1084"/>
    <w:rsid w:val="35152B4C"/>
    <w:rsid w:val="35190544"/>
    <w:rsid w:val="352B4FC9"/>
    <w:rsid w:val="355A4482"/>
    <w:rsid w:val="35671DF5"/>
    <w:rsid w:val="3569739E"/>
    <w:rsid w:val="35724EE4"/>
    <w:rsid w:val="359A6D64"/>
    <w:rsid w:val="35D660DF"/>
    <w:rsid w:val="36015C68"/>
    <w:rsid w:val="362F4F13"/>
    <w:rsid w:val="36310E3C"/>
    <w:rsid w:val="363B32F2"/>
    <w:rsid w:val="366E78EC"/>
    <w:rsid w:val="36A20DE3"/>
    <w:rsid w:val="36FA07A7"/>
    <w:rsid w:val="37345162"/>
    <w:rsid w:val="373A311A"/>
    <w:rsid w:val="37825868"/>
    <w:rsid w:val="37BC5B3A"/>
    <w:rsid w:val="37F9409F"/>
    <w:rsid w:val="38081B17"/>
    <w:rsid w:val="386E0F56"/>
    <w:rsid w:val="387B3B6E"/>
    <w:rsid w:val="38C23C8A"/>
    <w:rsid w:val="38C57032"/>
    <w:rsid w:val="38D20FDC"/>
    <w:rsid w:val="38D81748"/>
    <w:rsid w:val="38E6372F"/>
    <w:rsid w:val="39032E08"/>
    <w:rsid w:val="39082777"/>
    <w:rsid w:val="39092830"/>
    <w:rsid w:val="390B799A"/>
    <w:rsid w:val="392216F6"/>
    <w:rsid w:val="392A281D"/>
    <w:rsid w:val="39BC5175"/>
    <w:rsid w:val="39D939B5"/>
    <w:rsid w:val="3A304178"/>
    <w:rsid w:val="3A3F02FA"/>
    <w:rsid w:val="3A670B14"/>
    <w:rsid w:val="3AD66154"/>
    <w:rsid w:val="3AFD09DD"/>
    <w:rsid w:val="3B060716"/>
    <w:rsid w:val="3B421CBB"/>
    <w:rsid w:val="3B477DC7"/>
    <w:rsid w:val="3B4F003C"/>
    <w:rsid w:val="3B5447A9"/>
    <w:rsid w:val="3B56235E"/>
    <w:rsid w:val="3B567E7E"/>
    <w:rsid w:val="3B85201F"/>
    <w:rsid w:val="3BAD52C5"/>
    <w:rsid w:val="3BBA118B"/>
    <w:rsid w:val="3BC37212"/>
    <w:rsid w:val="3C1C1216"/>
    <w:rsid w:val="3C530137"/>
    <w:rsid w:val="3C531B18"/>
    <w:rsid w:val="3C840267"/>
    <w:rsid w:val="3CCB4C57"/>
    <w:rsid w:val="3CEE590A"/>
    <w:rsid w:val="3D08378C"/>
    <w:rsid w:val="3D0B3FDE"/>
    <w:rsid w:val="3D616A4A"/>
    <w:rsid w:val="3D757831"/>
    <w:rsid w:val="3DB15B3B"/>
    <w:rsid w:val="3E72797C"/>
    <w:rsid w:val="3EA84F1C"/>
    <w:rsid w:val="3ED046F7"/>
    <w:rsid w:val="3ED25531"/>
    <w:rsid w:val="3ED3031F"/>
    <w:rsid w:val="3EE12B70"/>
    <w:rsid w:val="3EED747C"/>
    <w:rsid w:val="3EEE1387"/>
    <w:rsid w:val="3F0E7BE1"/>
    <w:rsid w:val="3F4F22C9"/>
    <w:rsid w:val="3F533FD6"/>
    <w:rsid w:val="3F7B2F87"/>
    <w:rsid w:val="3F7F6B99"/>
    <w:rsid w:val="3FAC0C39"/>
    <w:rsid w:val="3FC377CC"/>
    <w:rsid w:val="3FC54B59"/>
    <w:rsid w:val="3FD025A8"/>
    <w:rsid w:val="3FD76836"/>
    <w:rsid w:val="401A4E1E"/>
    <w:rsid w:val="4085325F"/>
    <w:rsid w:val="409A6309"/>
    <w:rsid w:val="40AC1636"/>
    <w:rsid w:val="40DB5779"/>
    <w:rsid w:val="40FA288E"/>
    <w:rsid w:val="412F09B5"/>
    <w:rsid w:val="412F4FFD"/>
    <w:rsid w:val="41385BD0"/>
    <w:rsid w:val="414A69FE"/>
    <w:rsid w:val="41843CE9"/>
    <w:rsid w:val="41937963"/>
    <w:rsid w:val="41E325EE"/>
    <w:rsid w:val="41F65DD1"/>
    <w:rsid w:val="4204222F"/>
    <w:rsid w:val="420A0C4E"/>
    <w:rsid w:val="42403984"/>
    <w:rsid w:val="426F4ABD"/>
    <w:rsid w:val="4299523A"/>
    <w:rsid w:val="42B238D5"/>
    <w:rsid w:val="43234FA2"/>
    <w:rsid w:val="432C7DFD"/>
    <w:rsid w:val="43316976"/>
    <w:rsid w:val="433E7DCE"/>
    <w:rsid w:val="438B36CB"/>
    <w:rsid w:val="43D62C69"/>
    <w:rsid w:val="43D765EE"/>
    <w:rsid w:val="43F16F8E"/>
    <w:rsid w:val="441201E9"/>
    <w:rsid w:val="4414466D"/>
    <w:rsid w:val="441B6C38"/>
    <w:rsid w:val="445B5549"/>
    <w:rsid w:val="449F733A"/>
    <w:rsid w:val="44BC470B"/>
    <w:rsid w:val="44C574B6"/>
    <w:rsid w:val="44E62F40"/>
    <w:rsid w:val="4530313C"/>
    <w:rsid w:val="45347267"/>
    <w:rsid w:val="45530E68"/>
    <w:rsid w:val="4568397B"/>
    <w:rsid w:val="456F215D"/>
    <w:rsid w:val="457B2E8B"/>
    <w:rsid w:val="4582233F"/>
    <w:rsid w:val="45D904E3"/>
    <w:rsid w:val="45F17FE1"/>
    <w:rsid w:val="461A485B"/>
    <w:rsid w:val="46394FFE"/>
    <w:rsid w:val="46591A7A"/>
    <w:rsid w:val="469B11C2"/>
    <w:rsid w:val="46CF5731"/>
    <w:rsid w:val="46E34523"/>
    <w:rsid w:val="46FC3CCC"/>
    <w:rsid w:val="46FF28A5"/>
    <w:rsid w:val="47357F78"/>
    <w:rsid w:val="47640E18"/>
    <w:rsid w:val="47677E1E"/>
    <w:rsid w:val="4793318F"/>
    <w:rsid w:val="47C46E76"/>
    <w:rsid w:val="47CA593D"/>
    <w:rsid w:val="47F358CA"/>
    <w:rsid w:val="47F516DF"/>
    <w:rsid w:val="47FB5499"/>
    <w:rsid w:val="47FF723A"/>
    <w:rsid w:val="480C66BD"/>
    <w:rsid w:val="488F2E0E"/>
    <w:rsid w:val="48BE766F"/>
    <w:rsid w:val="48C84718"/>
    <w:rsid w:val="490A6717"/>
    <w:rsid w:val="49116F99"/>
    <w:rsid w:val="49367C73"/>
    <w:rsid w:val="49475ADB"/>
    <w:rsid w:val="497641FB"/>
    <w:rsid w:val="49AD4DDE"/>
    <w:rsid w:val="49CB101D"/>
    <w:rsid w:val="49D66182"/>
    <w:rsid w:val="49F00284"/>
    <w:rsid w:val="49F72C42"/>
    <w:rsid w:val="4A1B2106"/>
    <w:rsid w:val="4A2C36D5"/>
    <w:rsid w:val="4A437995"/>
    <w:rsid w:val="4A450805"/>
    <w:rsid w:val="4A53576C"/>
    <w:rsid w:val="4A5C6A2A"/>
    <w:rsid w:val="4A86545D"/>
    <w:rsid w:val="4AA536FB"/>
    <w:rsid w:val="4B120D6A"/>
    <w:rsid w:val="4B155D7E"/>
    <w:rsid w:val="4B1B0F75"/>
    <w:rsid w:val="4B3E7EA6"/>
    <w:rsid w:val="4B422EDB"/>
    <w:rsid w:val="4B4A7ED0"/>
    <w:rsid w:val="4B7D4971"/>
    <w:rsid w:val="4B826675"/>
    <w:rsid w:val="4BEC3E0D"/>
    <w:rsid w:val="4BF807E1"/>
    <w:rsid w:val="4C251CDA"/>
    <w:rsid w:val="4C2C7B7A"/>
    <w:rsid w:val="4C323AA7"/>
    <w:rsid w:val="4C766778"/>
    <w:rsid w:val="4CB23F8C"/>
    <w:rsid w:val="4CD94DBF"/>
    <w:rsid w:val="4CF60DEA"/>
    <w:rsid w:val="4D044C05"/>
    <w:rsid w:val="4D0E689A"/>
    <w:rsid w:val="4D8A7289"/>
    <w:rsid w:val="4D9608B3"/>
    <w:rsid w:val="4DB0441E"/>
    <w:rsid w:val="4DB709F4"/>
    <w:rsid w:val="4DC05441"/>
    <w:rsid w:val="4DDE0CC1"/>
    <w:rsid w:val="4DE41885"/>
    <w:rsid w:val="4E3A6050"/>
    <w:rsid w:val="4E592EF2"/>
    <w:rsid w:val="4E5E1A12"/>
    <w:rsid w:val="4E606CDA"/>
    <w:rsid w:val="4E87356F"/>
    <w:rsid w:val="4E8B22EB"/>
    <w:rsid w:val="4E967676"/>
    <w:rsid w:val="4F0172D3"/>
    <w:rsid w:val="4F20710F"/>
    <w:rsid w:val="4F4E3E05"/>
    <w:rsid w:val="4F913918"/>
    <w:rsid w:val="4FD8420E"/>
    <w:rsid w:val="4FE8616E"/>
    <w:rsid w:val="4FEE09FE"/>
    <w:rsid w:val="501C7A34"/>
    <w:rsid w:val="503C1750"/>
    <w:rsid w:val="5053496D"/>
    <w:rsid w:val="5087011D"/>
    <w:rsid w:val="508E49E6"/>
    <w:rsid w:val="509515D3"/>
    <w:rsid w:val="50C73EFD"/>
    <w:rsid w:val="50FC442C"/>
    <w:rsid w:val="512032FF"/>
    <w:rsid w:val="5129307E"/>
    <w:rsid w:val="51EF6A10"/>
    <w:rsid w:val="51F9127B"/>
    <w:rsid w:val="520B5239"/>
    <w:rsid w:val="524929C4"/>
    <w:rsid w:val="524D5FB3"/>
    <w:rsid w:val="52674952"/>
    <w:rsid w:val="52873A44"/>
    <w:rsid w:val="52A91F1F"/>
    <w:rsid w:val="52DA618B"/>
    <w:rsid w:val="52EC644F"/>
    <w:rsid w:val="52F54398"/>
    <w:rsid w:val="52FB4556"/>
    <w:rsid w:val="531827BA"/>
    <w:rsid w:val="53496659"/>
    <w:rsid w:val="539D7BCC"/>
    <w:rsid w:val="53A96A73"/>
    <w:rsid w:val="53AD0249"/>
    <w:rsid w:val="53BA6A1D"/>
    <w:rsid w:val="53C32D25"/>
    <w:rsid w:val="53CD1EEA"/>
    <w:rsid w:val="53DD48C5"/>
    <w:rsid w:val="54475BFE"/>
    <w:rsid w:val="547701EF"/>
    <w:rsid w:val="547B6A27"/>
    <w:rsid w:val="54E7277C"/>
    <w:rsid w:val="54EC05F6"/>
    <w:rsid w:val="555B20FE"/>
    <w:rsid w:val="55826137"/>
    <w:rsid w:val="5585339C"/>
    <w:rsid w:val="558C476B"/>
    <w:rsid w:val="55987B87"/>
    <w:rsid w:val="55CC6ABE"/>
    <w:rsid w:val="55FD1930"/>
    <w:rsid w:val="56953DF1"/>
    <w:rsid w:val="56AA5BAF"/>
    <w:rsid w:val="56C3071F"/>
    <w:rsid w:val="56DA0710"/>
    <w:rsid w:val="56FF22FB"/>
    <w:rsid w:val="570B22D5"/>
    <w:rsid w:val="570D54AE"/>
    <w:rsid w:val="574915F0"/>
    <w:rsid w:val="57625CB9"/>
    <w:rsid w:val="576C7199"/>
    <w:rsid w:val="57A91C76"/>
    <w:rsid w:val="57AA529B"/>
    <w:rsid w:val="58020D87"/>
    <w:rsid w:val="58294434"/>
    <w:rsid w:val="582E7A3E"/>
    <w:rsid w:val="583379D8"/>
    <w:rsid w:val="5844757E"/>
    <w:rsid w:val="58844099"/>
    <w:rsid w:val="58846CA5"/>
    <w:rsid w:val="58AF156B"/>
    <w:rsid w:val="58E83EE2"/>
    <w:rsid w:val="58F31542"/>
    <w:rsid w:val="59174847"/>
    <w:rsid w:val="59247404"/>
    <w:rsid w:val="59322B8A"/>
    <w:rsid w:val="596E61DB"/>
    <w:rsid w:val="59816388"/>
    <w:rsid w:val="59831AB7"/>
    <w:rsid w:val="598A27CF"/>
    <w:rsid w:val="598C6C98"/>
    <w:rsid w:val="59BD3893"/>
    <w:rsid w:val="59D749C6"/>
    <w:rsid w:val="59D97E0E"/>
    <w:rsid w:val="59DB40B6"/>
    <w:rsid w:val="5A56676F"/>
    <w:rsid w:val="5A986B28"/>
    <w:rsid w:val="5AD46652"/>
    <w:rsid w:val="5AF40DEB"/>
    <w:rsid w:val="5B0815CE"/>
    <w:rsid w:val="5B0A0148"/>
    <w:rsid w:val="5B0C6F99"/>
    <w:rsid w:val="5B1A72CE"/>
    <w:rsid w:val="5B3642CA"/>
    <w:rsid w:val="5B413693"/>
    <w:rsid w:val="5BA86F9B"/>
    <w:rsid w:val="5BC54BFD"/>
    <w:rsid w:val="5BEE2798"/>
    <w:rsid w:val="5C0D48BF"/>
    <w:rsid w:val="5C1A328D"/>
    <w:rsid w:val="5C28147F"/>
    <w:rsid w:val="5C53010A"/>
    <w:rsid w:val="5C576DE7"/>
    <w:rsid w:val="5C5A25DE"/>
    <w:rsid w:val="5C671D13"/>
    <w:rsid w:val="5C88072E"/>
    <w:rsid w:val="5CA270F8"/>
    <w:rsid w:val="5CCE2517"/>
    <w:rsid w:val="5D003CCC"/>
    <w:rsid w:val="5D1B3176"/>
    <w:rsid w:val="5D2F679D"/>
    <w:rsid w:val="5D3B6304"/>
    <w:rsid w:val="5D3C3C86"/>
    <w:rsid w:val="5D466002"/>
    <w:rsid w:val="5D5C2DBD"/>
    <w:rsid w:val="5D84726F"/>
    <w:rsid w:val="5D8D5040"/>
    <w:rsid w:val="5DB12C6D"/>
    <w:rsid w:val="5DF86089"/>
    <w:rsid w:val="5E570355"/>
    <w:rsid w:val="5E654A3F"/>
    <w:rsid w:val="5E68070E"/>
    <w:rsid w:val="5E6A305B"/>
    <w:rsid w:val="5E701944"/>
    <w:rsid w:val="5E833B80"/>
    <w:rsid w:val="5EBA09EF"/>
    <w:rsid w:val="5ECC3544"/>
    <w:rsid w:val="5F0955F5"/>
    <w:rsid w:val="5F0E4D1D"/>
    <w:rsid w:val="5F1774BE"/>
    <w:rsid w:val="5F72450F"/>
    <w:rsid w:val="5FA63305"/>
    <w:rsid w:val="5FA67933"/>
    <w:rsid w:val="5FB16FE0"/>
    <w:rsid w:val="5FD06B1B"/>
    <w:rsid w:val="5FDD12ED"/>
    <w:rsid w:val="60166456"/>
    <w:rsid w:val="60214819"/>
    <w:rsid w:val="60257C8E"/>
    <w:rsid w:val="603440C9"/>
    <w:rsid w:val="604E1ADC"/>
    <w:rsid w:val="60590083"/>
    <w:rsid w:val="607A6D4F"/>
    <w:rsid w:val="608F7837"/>
    <w:rsid w:val="60E22A31"/>
    <w:rsid w:val="60F63A5C"/>
    <w:rsid w:val="61615891"/>
    <w:rsid w:val="618A53C3"/>
    <w:rsid w:val="61E360F6"/>
    <w:rsid w:val="62137AD9"/>
    <w:rsid w:val="62154579"/>
    <w:rsid w:val="62260CC7"/>
    <w:rsid w:val="62A551E6"/>
    <w:rsid w:val="62E16AB1"/>
    <w:rsid w:val="639107B4"/>
    <w:rsid w:val="63C441CF"/>
    <w:rsid w:val="63CB2D0B"/>
    <w:rsid w:val="63FB66E5"/>
    <w:rsid w:val="63FE5FFF"/>
    <w:rsid w:val="64186D6F"/>
    <w:rsid w:val="644756E6"/>
    <w:rsid w:val="646F1B1A"/>
    <w:rsid w:val="64A35E6B"/>
    <w:rsid w:val="64DE1782"/>
    <w:rsid w:val="64EC1EDD"/>
    <w:rsid w:val="6573187F"/>
    <w:rsid w:val="65DC2687"/>
    <w:rsid w:val="660B7EAB"/>
    <w:rsid w:val="6622217F"/>
    <w:rsid w:val="663E3141"/>
    <w:rsid w:val="665D0A81"/>
    <w:rsid w:val="667F1C61"/>
    <w:rsid w:val="66971C08"/>
    <w:rsid w:val="66995B09"/>
    <w:rsid w:val="66A348B3"/>
    <w:rsid w:val="66BF75D6"/>
    <w:rsid w:val="66C85B35"/>
    <w:rsid w:val="66DC563F"/>
    <w:rsid w:val="66E43029"/>
    <w:rsid w:val="66EB5925"/>
    <w:rsid w:val="66EC040E"/>
    <w:rsid w:val="67080B3C"/>
    <w:rsid w:val="671E7493"/>
    <w:rsid w:val="67457487"/>
    <w:rsid w:val="67B21455"/>
    <w:rsid w:val="67EA458C"/>
    <w:rsid w:val="6824240E"/>
    <w:rsid w:val="6846106D"/>
    <w:rsid w:val="68627966"/>
    <w:rsid w:val="68AE1D98"/>
    <w:rsid w:val="68CA3EF1"/>
    <w:rsid w:val="693938FE"/>
    <w:rsid w:val="693C7828"/>
    <w:rsid w:val="69466F3B"/>
    <w:rsid w:val="69652A6D"/>
    <w:rsid w:val="698452BC"/>
    <w:rsid w:val="69A61B16"/>
    <w:rsid w:val="69AC3D7A"/>
    <w:rsid w:val="69C4214F"/>
    <w:rsid w:val="69F4652A"/>
    <w:rsid w:val="69F721E8"/>
    <w:rsid w:val="6A275063"/>
    <w:rsid w:val="6A462967"/>
    <w:rsid w:val="6A511BEE"/>
    <w:rsid w:val="6A7F671B"/>
    <w:rsid w:val="6AA3550E"/>
    <w:rsid w:val="6AFF7D85"/>
    <w:rsid w:val="6B110B94"/>
    <w:rsid w:val="6B1235AB"/>
    <w:rsid w:val="6B136E8C"/>
    <w:rsid w:val="6B2B6686"/>
    <w:rsid w:val="6B2C7DD1"/>
    <w:rsid w:val="6B77670B"/>
    <w:rsid w:val="6BDE7D3B"/>
    <w:rsid w:val="6BF5227B"/>
    <w:rsid w:val="6C0001A5"/>
    <w:rsid w:val="6C7478F0"/>
    <w:rsid w:val="6C794DA3"/>
    <w:rsid w:val="6C896324"/>
    <w:rsid w:val="6C9870FE"/>
    <w:rsid w:val="6CAF6D8A"/>
    <w:rsid w:val="6CB46B11"/>
    <w:rsid w:val="6CCE067E"/>
    <w:rsid w:val="6D097A63"/>
    <w:rsid w:val="6D551CEA"/>
    <w:rsid w:val="6D6B6008"/>
    <w:rsid w:val="6D891A6A"/>
    <w:rsid w:val="6D8A124B"/>
    <w:rsid w:val="6D9A72F5"/>
    <w:rsid w:val="6DA568C6"/>
    <w:rsid w:val="6DAA1D4D"/>
    <w:rsid w:val="6DB3408D"/>
    <w:rsid w:val="6DEB756A"/>
    <w:rsid w:val="6E0A330D"/>
    <w:rsid w:val="6E3D3A64"/>
    <w:rsid w:val="6E532497"/>
    <w:rsid w:val="6E7B7723"/>
    <w:rsid w:val="6E7D4622"/>
    <w:rsid w:val="6E9E421E"/>
    <w:rsid w:val="6EA31FFC"/>
    <w:rsid w:val="6EE67D23"/>
    <w:rsid w:val="6EEB573C"/>
    <w:rsid w:val="6EF7385A"/>
    <w:rsid w:val="6F2B1AF5"/>
    <w:rsid w:val="6F5826D7"/>
    <w:rsid w:val="6F792228"/>
    <w:rsid w:val="6FD35BC1"/>
    <w:rsid w:val="6FDC50BE"/>
    <w:rsid w:val="70016D36"/>
    <w:rsid w:val="70037035"/>
    <w:rsid w:val="70420083"/>
    <w:rsid w:val="70A63964"/>
    <w:rsid w:val="70B04223"/>
    <w:rsid w:val="70E36DDC"/>
    <w:rsid w:val="71444B25"/>
    <w:rsid w:val="716F2414"/>
    <w:rsid w:val="71CB4F53"/>
    <w:rsid w:val="71E75595"/>
    <w:rsid w:val="7216505B"/>
    <w:rsid w:val="72183902"/>
    <w:rsid w:val="7224565F"/>
    <w:rsid w:val="72576835"/>
    <w:rsid w:val="7271615B"/>
    <w:rsid w:val="72B562B6"/>
    <w:rsid w:val="72C86DB1"/>
    <w:rsid w:val="72E757D8"/>
    <w:rsid w:val="72ED2C38"/>
    <w:rsid w:val="72EE0CC9"/>
    <w:rsid w:val="72F012F7"/>
    <w:rsid w:val="73157C8E"/>
    <w:rsid w:val="734857FD"/>
    <w:rsid w:val="734F33E9"/>
    <w:rsid w:val="73995063"/>
    <w:rsid w:val="73EA5CCC"/>
    <w:rsid w:val="73EC65FB"/>
    <w:rsid w:val="74377C6E"/>
    <w:rsid w:val="743C79D8"/>
    <w:rsid w:val="7470465D"/>
    <w:rsid w:val="747D1949"/>
    <w:rsid w:val="74986C2C"/>
    <w:rsid w:val="74AE0496"/>
    <w:rsid w:val="74C809A1"/>
    <w:rsid w:val="74F25284"/>
    <w:rsid w:val="75345FD2"/>
    <w:rsid w:val="7569155A"/>
    <w:rsid w:val="757E1028"/>
    <w:rsid w:val="759866DC"/>
    <w:rsid w:val="75B84A2E"/>
    <w:rsid w:val="75FC18AA"/>
    <w:rsid w:val="76035CE5"/>
    <w:rsid w:val="76037830"/>
    <w:rsid w:val="760571DD"/>
    <w:rsid w:val="762F62EA"/>
    <w:rsid w:val="764F40A7"/>
    <w:rsid w:val="76903E81"/>
    <w:rsid w:val="76D6393A"/>
    <w:rsid w:val="76E131CF"/>
    <w:rsid w:val="77163716"/>
    <w:rsid w:val="77192618"/>
    <w:rsid w:val="775C3009"/>
    <w:rsid w:val="775C6866"/>
    <w:rsid w:val="776F63DA"/>
    <w:rsid w:val="77793B9E"/>
    <w:rsid w:val="77AF0743"/>
    <w:rsid w:val="77AF42F0"/>
    <w:rsid w:val="77F45ACF"/>
    <w:rsid w:val="780B7EDB"/>
    <w:rsid w:val="783F63E3"/>
    <w:rsid w:val="784F6427"/>
    <w:rsid w:val="78720FB5"/>
    <w:rsid w:val="789C15C7"/>
    <w:rsid w:val="78F5504B"/>
    <w:rsid w:val="78FE2189"/>
    <w:rsid w:val="79141699"/>
    <w:rsid w:val="79185435"/>
    <w:rsid w:val="796D4195"/>
    <w:rsid w:val="79716D03"/>
    <w:rsid w:val="798F3492"/>
    <w:rsid w:val="79953E2A"/>
    <w:rsid w:val="79971C36"/>
    <w:rsid w:val="79CA63ED"/>
    <w:rsid w:val="7A2B5634"/>
    <w:rsid w:val="7A4A6FE5"/>
    <w:rsid w:val="7A5A52FD"/>
    <w:rsid w:val="7A683935"/>
    <w:rsid w:val="7ACE4BD1"/>
    <w:rsid w:val="7B46422A"/>
    <w:rsid w:val="7BAD5E10"/>
    <w:rsid w:val="7BF75127"/>
    <w:rsid w:val="7C041C0D"/>
    <w:rsid w:val="7C0D30F3"/>
    <w:rsid w:val="7C161814"/>
    <w:rsid w:val="7C2F22A8"/>
    <w:rsid w:val="7C3E42F9"/>
    <w:rsid w:val="7CBB4A68"/>
    <w:rsid w:val="7CE36824"/>
    <w:rsid w:val="7D00040B"/>
    <w:rsid w:val="7D15441B"/>
    <w:rsid w:val="7D274188"/>
    <w:rsid w:val="7D627ECC"/>
    <w:rsid w:val="7D660184"/>
    <w:rsid w:val="7D803F37"/>
    <w:rsid w:val="7D8E1AFA"/>
    <w:rsid w:val="7D9635FC"/>
    <w:rsid w:val="7DBC3E68"/>
    <w:rsid w:val="7E7B2E05"/>
    <w:rsid w:val="7E92054B"/>
    <w:rsid w:val="7EA44361"/>
    <w:rsid w:val="7EC420A2"/>
    <w:rsid w:val="7EC54808"/>
    <w:rsid w:val="7F031696"/>
    <w:rsid w:val="7F045826"/>
    <w:rsid w:val="7F1067B0"/>
    <w:rsid w:val="7F156E60"/>
    <w:rsid w:val="7F2F16BD"/>
    <w:rsid w:val="7F6840C9"/>
    <w:rsid w:val="7F7C1C99"/>
    <w:rsid w:val="7FBF1C69"/>
    <w:rsid w:val="7FC044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ind w:firstLine="880" w:firstLineChars="200"/>
    </w:pPr>
    <w:rPr>
      <w:rFonts w:ascii="仿宋_GB2312" w:hAnsi="仿宋_GB2312" w:eastAsia="仿宋_GB2312" w:cs="Arial"/>
      <w:sz w:val="32"/>
      <w:szCs w:val="20"/>
    </w:rPr>
  </w:style>
  <w:style w:type="paragraph" w:styleId="4">
    <w:name w:val="Body Text Indent"/>
    <w:basedOn w:val="1"/>
    <w:qFormat/>
    <w:uiPriority w:val="0"/>
    <w:pPr>
      <w:widowControl/>
      <w:adjustRightInd w:val="0"/>
      <w:snapToGrid w:val="0"/>
      <w:spacing w:line="360" w:lineRule="auto"/>
      <w:ind w:firstLine="560" w:firstLineChars="200"/>
      <w:jc w:val="left"/>
    </w:pPr>
    <w:rPr>
      <w:kern w:val="0"/>
      <w:sz w:val="28"/>
      <w:szCs w:val="20"/>
    </w:rPr>
  </w:style>
  <w:style w:type="paragraph" w:styleId="5">
    <w:name w:val="Plain Text"/>
    <w:basedOn w:val="1"/>
    <w:qFormat/>
    <w:uiPriority w:val="0"/>
    <w:rPr>
      <w:rFonts w:ascii="宋体" w:hAnsi="Courier New"/>
      <w:szCs w:val="20"/>
    </w:rPr>
  </w:style>
  <w:style w:type="paragraph" w:styleId="6">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引言二级条标题"/>
    <w:basedOn w:val="11"/>
    <w:next w:val="12"/>
    <w:qFormat/>
    <w:uiPriority w:val="0"/>
    <w:pPr>
      <w:ind w:left="0" w:firstLine="0"/>
    </w:pPr>
    <w:rPr>
      <w:rFonts w:ascii="Times New Roman" w:hAnsi="Times New Roman" w:eastAsia="宋体" w:cs="Times New Roman"/>
    </w:rPr>
  </w:style>
  <w:style w:type="paragraph" w:customStyle="1" w:styleId="11">
    <w:name w:val="引言一级条标题"/>
    <w:basedOn w:val="1"/>
    <w:next w:val="12"/>
    <w:qFormat/>
    <w:uiPriority w:val="0"/>
    <w:pPr>
      <w:widowControl/>
      <w:spacing w:before="100" w:beforeAutospacing="1" w:after="100" w:afterAutospacing="1"/>
      <w:ind w:left="900" w:hanging="900"/>
    </w:pPr>
    <w:rPr>
      <w:rFonts w:ascii="Times New Roman" w:hAnsi="Times New Roman" w:eastAsia="黑体" w:cs="Times New Roman"/>
      <w:b/>
      <w:bCs/>
    </w:rPr>
  </w:style>
  <w:style w:type="paragraph" w:customStyle="1" w:styleId="12">
    <w:name w:val="段"/>
    <w:basedOn w:val="1"/>
    <w:qFormat/>
    <w:uiPriority w:val="0"/>
    <w:pPr>
      <w:widowControl/>
      <w:autoSpaceDE w:val="0"/>
      <w:autoSpaceDN w:val="0"/>
      <w:spacing w:line="240" w:lineRule="auto"/>
      <w:ind w:firstLine="200" w:firstLineChars="200"/>
    </w:pPr>
    <w:rPr>
      <w:rFonts w:ascii="宋体" w:hAnsi="Calibri" w:eastAsia="宋体" w:cs="Times New Roman"/>
      <w:kern w:val="0"/>
      <w:sz w:val="21"/>
      <w:szCs w:val="21"/>
    </w:rPr>
  </w:style>
  <w:style w:type="character" w:customStyle="1" w:styleId="13">
    <w:name w:val="font01"/>
    <w:basedOn w:val="9"/>
    <w:qFormat/>
    <w:uiPriority w:val="0"/>
    <w:rPr>
      <w:rFonts w:hint="eastAsia" w:ascii="宋体" w:hAnsi="宋体" w:eastAsia="宋体" w:cs="宋体"/>
      <w:color w:val="000000"/>
      <w:sz w:val="24"/>
      <w:szCs w:val="24"/>
      <w:u w:val="none"/>
    </w:rPr>
  </w:style>
  <w:style w:type="paragraph" w:styleId="14">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bsj_tanzili</dc:creator>
  <cp:lastModifiedBy>张文祥</cp:lastModifiedBy>
  <dcterms:modified xsi:type="dcterms:W3CDTF">2024-08-02T04:04:59Z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98A05A40F92C4D02BEEB60D06BD831A2</vt:lpwstr>
  </property>
</Properties>
</file>