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center"/>
        <w:rPr>
          <w:rFonts w:hint="eastAsia" w:ascii="Times New Roman" w:hAnsi="Times New Roman" w:cs="Times New Roman"/>
          <w:sz w:val="44"/>
          <w:szCs w:val="44"/>
          <w:lang w:val="en-US" w:eastAsia="zh-CN"/>
        </w:rPr>
      </w:pPr>
      <w:r>
        <w:rPr>
          <w:rFonts w:hint="default" w:ascii="Times New Roman" w:hAnsi="Times New Roman" w:cs="Times New Roman"/>
          <w:sz w:val="44"/>
          <w:szCs w:val="44"/>
          <w:lang w:val="en-US" w:eastAsia="zh-CN"/>
        </w:rPr>
        <w:t>百色局</w:t>
      </w:r>
      <w:r>
        <w:rPr>
          <w:rFonts w:hint="eastAsia" w:ascii="Times New Roman" w:hAnsi="Times New Roman" w:cs="Times New Roman"/>
          <w:sz w:val="44"/>
          <w:szCs w:val="44"/>
          <w:lang w:val="en-US" w:eastAsia="zh-CN"/>
        </w:rPr>
        <w:t>零星采购项目技术要求附件</w:t>
      </w:r>
    </w:p>
    <w:p>
      <w:pPr>
        <w:pStyle w:val="2"/>
        <w:ind w:left="0" w:leftChars="0" w:firstLine="0" w:firstLineChars="0"/>
        <w:jc w:val="center"/>
        <w:rPr>
          <w:rFonts w:hint="default"/>
          <w:lang w:val="en-US" w:eastAsia="zh-CN"/>
        </w:rPr>
      </w:pPr>
      <w:r>
        <w:rPr>
          <w:rFonts w:hint="eastAsia" w:ascii="Times New Roman" w:hAnsi="Times New Roman" w:cs="Times New Roman"/>
          <w:sz w:val="44"/>
          <w:szCs w:val="44"/>
          <w:lang w:val="en-US" w:eastAsia="zh-CN"/>
        </w:rPr>
        <w:t>（</w:t>
      </w:r>
      <w:r>
        <w:rPr>
          <w:rFonts w:hint="eastAsia" w:ascii="Times New Roman" w:hAnsi="Times New Roman" w:cs="Times New Roman" w:eastAsiaTheme="minorEastAsia"/>
          <w:kern w:val="2"/>
          <w:sz w:val="44"/>
          <w:szCs w:val="44"/>
          <w:lang w:val="en-US" w:eastAsia="zh-CN" w:bidi="ar-SA"/>
        </w:rPr>
        <w:t>百色局2024年第一批职工技术创新项目-基于点云数据联动的外破安全距离监测装置）</w:t>
      </w:r>
      <w:bookmarkStart w:id="3" w:name="_GoBack"/>
      <w:bookmarkEnd w:id="3"/>
    </w:p>
    <w:p>
      <w:pPr>
        <w:jc w:val="center"/>
        <w:rPr>
          <w:rFonts w:hint="default" w:ascii="Times New Roman" w:hAnsi="Times New Roman" w:cs="Times New Roman"/>
          <w:sz w:val="44"/>
          <w:szCs w:val="44"/>
          <w:lang w:val="en-US" w:eastAsia="zh-CN"/>
        </w:rPr>
      </w:pPr>
    </w:p>
    <w:p>
      <w:pPr>
        <w:numPr>
          <w:ilvl w:val="0"/>
          <w:numId w:val="1"/>
        </w:numPr>
        <w:jc w:val="both"/>
        <w:rPr>
          <w:rFonts w:hint="eastAsia" w:asciiTheme="minorEastAsia" w:hAnsiTheme="minorEastAsia" w:eastAsiaTheme="minorEastAsia" w:cstheme="minorEastAsia"/>
          <w:b/>
          <w:bCs/>
          <w:kern w:val="44"/>
          <w:sz w:val="30"/>
          <w:szCs w:val="30"/>
          <w:highlight w:val="none"/>
          <w:lang w:val="en-US" w:eastAsia="zh-CN" w:bidi="ar-SA"/>
        </w:rPr>
      </w:pPr>
      <w:r>
        <w:rPr>
          <w:rFonts w:hint="eastAsia" w:asciiTheme="minorEastAsia" w:hAnsiTheme="minorEastAsia" w:eastAsiaTheme="minorEastAsia" w:cstheme="minorEastAsia"/>
          <w:b/>
          <w:bCs/>
          <w:kern w:val="44"/>
          <w:sz w:val="30"/>
          <w:szCs w:val="30"/>
          <w:highlight w:val="none"/>
          <w:lang w:val="en-US" w:eastAsia="zh-CN" w:bidi="ar-SA"/>
        </w:rPr>
        <w:t>资格要求</w:t>
      </w:r>
    </w:p>
    <w:tbl>
      <w:tblPr>
        <w:tblStyle w:val="7"/>
        <w:tblW w:w="861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16"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highlight w:val="none"/>
                <w:u w:val="none"/>
                <w:lang w:val="en-US" w:eastAsia="zh-CN" w:bidi="ar-SA"/>
              </w:rPr>
            </w:pPr>
            <w:r>
              <w:rPr>
                <w:rFonts w:hint="eastAsia" w:asciiTheme="minorEastAsia" w:hAnsiTheme="minorEastAsia" w:eastAsiaTheme="minorEastAsia" w:cstheme="minorEastAsia"/>
                <w:i w:val="0"/>
                <w:iCs w:val="0"/>
                <w:color w:val="000000"/>
                <w:sz w:val="28"/>
                <w:szCs w:val="28"/>
                <w:highlight w:val="none"/>
                <w:u w:val="none"/>
                <w:lang w:eastAsia="zh-CN"/>
              </w:rPr>
              <w:t>资格</w:t>
            </w:r>
            <w:r>
              <w:rPr>
                <w:rFonts w:hint="eastAsia" w:asciiTheme="minorEastAsia" w:hAnsiTheme="minorEastAsia" w:cstheme="minorEastAsia"/>
                <w:i w:val="0"/>
                <w:iCs w:val="0"/>
                <w:color w:val="000000"/>
                <w:sz w:val="28"/>
                <w:szCs w:val="28"/>
                <w:highlight w:val="none"/>
                <w:u w:val="none"/>
                <w:lang w:eastAsia="zh-CN"/>
              </w:rPr>
              <w:t>资质</w:t>
            </w:r>
            <w:r>
              <w:rPr>
                <w:rFonts w:hint="eastAsia" w:asciiTheme="minorEastAsia" w:hAnsiTheme="minorEastAsia" w:eastAsiaTheme="minorEastAsia" w:cstheme="minorEastAsia"/>
                <w:i w:val="0"/>
                <w:iCs w:val="0"/>
                <w:color w:val="000000"/>
                <w:sz w:val="28"/>
                <w:szCs w:val="28"/>
                <w:highlight w:val="none"/>
                <w:u w:val="none"/>
                <w:lang w:eastAsia="zh-CN"/>
              </w:rPr>
              <w:t>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1.资质要求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1、</w:t>
            </w:r>
            <w:r>
              <w:rPr>
                <w:rFonts w:hint="eastAsia" w:asciiTheme="minorEastAsia" w:hAnsiTheme="minorEastAsia" w:eastAsiaTheme="minorEastAsia" w:cstheme="minorEastAsia"/>
                <w:color w:val="auto"/>
                <w:sz w:val="24"/>
                <w:szCs w:val="24"/>
                <w:vertAlign w:val="baseline"/>
                <w:lang w:val="en-US" w:eastAsia="zh-CN"/>
              </w:rPr>
              <w:t>中华人民共和国境内注册</w:t>
            </w:r>
            <w:r>
              <w:rPr>
                <w:rFonts w:hint="eastAsia" w:asciiTheme="minorEastAsia" w:hAnsiTheme="minorEastAsia" w:cstheme="minorEastAsia"/>
                <w:color w:val="auto"/>
                <w:sz w:val="24"/>
                <w:szCs w:val="24"/>
                <w:vertAlign w:val="baseline"/>
                <w:lang w:val="en-US" w:eastAsia="zh-CN"/>
              </w:rPr>
              <w:t>合法运作</w:t>
            </w:r>
            <w:r>
              <w:rPr>
                <w:rFonts w:hint="eastAsia" w:asciiTheme="minorEastAsia" w:hAnsiTheme="minorEastAsia" w:eastAsiaTheme="minorEastAsia" w:cstheme="minorEastAsia"/>
                <w:color w:val="auto"/>
                <w:sz w:val="24"/>
                <w:szCs w:val="24"/>
                <w:vertAlign w:val="baseline"/>
                <w:lang w:val="en-US" w:eastAsia="zh-CN"/>
              </w:rPr>
              <w:t>的法人</w:t>
            </w:r>
            <w:r>
              <w:rPr>
                <w:rFonts w:hint="eastAsia" w:asciiTheme="minorEastAsia" w:hAnsiTheme="minorEastAsia" w:cstheme="minorEastAsia"/>
                <w:color w:val="auto"/>
                <w:sz w:val="24"/>
                <w:szCs w:val="24"/>
                <w:vertAlign w:val="baseline"/>
                <w:lang w:val="en-US" w:eastAsia="zh-CN"/>
              </w:rPr>
              <w:t>或具有法人授权的其他组织，具有独立承担民事责任的能力、独立承担施工项目的能力和独立履约合同的能力。</w:t>
            </w:r>
          </w:p>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2、投标方如有诚信和廉洁方面的不良记录，不接受其报价。3、投标方在被南方电网公司或超高压输电公司或百色局暂停或取消投标资格期间，不接受其报价。</w:t>
            </w:r>
          </w:p>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4、不接受联合体报价。</w:t>
            </w:r>
          </w:p>
          <w:p>
            <w:pP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5、投标方单位负责人为同一人或者存在控股、管理关系的不同单位，不得同时参加同一项目报价。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2.业绩要求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3.其他要求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w:t>
            </w:r>
          </w:p>
        </w:tc>
      </w:tr>
    </w:tbl>
    <w:p>
      <w:pPr>
        <w:numPr>
          <w:ilvl w:val="0"/>
          <w:numId w:val="1"/>
        </w:numPr>
        <w:jc w:val="both"/>
        <w:rPr>
          <w:rFonts w:hint="eastAsia" w:asciiTheme="minorEastAsia" w:hAnsiTheme="minorEastAsia" w:eastAsiaTheme="minorEastAsia" w:cstheme="minorEastAsia"/>
          <w:b/>
          <w:bCs/>
          <w:kern w:val="44"/>
          <w:sz w:val="30"/>
          <w:szCs w:val="30"/>
          <w:highlight w:val="none"/>
          <w:lang w:val="en-US" w:eastAsia="zh-CN" w:bidi="ar-SA"/>
        </w:rPr>
      </w:pPr>
      <w:r>
        <w:rPr>
          <w:rFonts w:hint="eastAsia" w:asciiTheme="minorEastAsia" w:hAnsiTheme="minorEastAsia" w:eastAsiaTheme="minorEastAsia" w:cstheme="minorEastAsia"/>
          <w:b/>
          <w:bCs/>
          <w:kern w:val="44"/>
          <w:sz w:val="30"/>
          <w:szCs w:val="30"/>
          <w:highlight w:val="none"/>
          <w:lang w:val="en-US" w:eastAsia="zh-CN" w:bidi="ar-SA"/>
        </w:rPr>
        <w:t>商务要求</w:t>
      </w:r>
    </w:p>
    <w:tbl>
      <w:tblPr>
        <w:tblStyle w:val="7"/>
        <w:tblW w:w="860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01"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sz w:val="28"/>
                <w:szCs w:val="28"/>
                <w:u w:val="none"/>
                <w:lang w:eastAsia="zh-CN"/>
              </w:rPr>
              <w:t>工程或服务类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1.服务要求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应成立项目研发组，并提供项目研发组机构组成表。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2.服务地址</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项目研发阶段不做限制，成果交付试用应在百色局所辖线路范围内开展。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3.服务期限要求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2024年</w:t>
            </w:r>
            <w:r>
              <w:rPr>
                <w:rFonts w:hint="eastAsia" w:asciiTheme="minorEastAsia" w:hAnsiTheme="minorEastAsia" w:cstheme="minorEastAsia"/>
                <w:color w:val="auto"/>
                <w:sz w:val="24"/>
                <w:szCs w:val="24"/>
                <w:vertAlign w:val="baseline"/>
                <w:lang w:val="en-US" w:eastAsia="zh-CN"/>
              </w:rPr>
              <w:t>11</w:t>
            </w:r>
            <w:r>
              <w:rPr>
                <w:rFonts w:hint="eastAsia" w:asciiTheme="minorEastAsia" w:hAnsiTheme="minorEastAsia" w:eastAsiaTheme="minorEastAsia" w:cstheme="minorEastAsia"/>
                <w:color w:val="auto"/>
                <w:sz w:val="24"/>
                <w:szCs w:val="24"/>
                <w:vertAlign w:val="baseline"/>
                <w:lang w:val="en-US" w:eastAsia="zh-CN"/>
              </w:rPr>
              <w:t>月</w:t>
            </w:r>
            <w:r>
              <w:rPr>
                <w:rFonts w:hint="eastAsia" w:asciiTheme="minorEastAsia" w:hAnsiTheme="minorEastAsia" w:cstheme="minorEastAsia"/>
                <w:color w:val="auto"/>
                <w:sz w:val="24"/>
                <w:szCs w:val="24"/>
                <w:vertAlign w:val="baseline"/>
                <w:lang w:val="en-US" w:eastAsia="zh-CN"/>
              </w:rPr>
              <w:t>30日前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4.服务人员要求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5.发票要求（如有）</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需提供符合规定税率的全额发票。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6.结算及支付条件</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项目研制</w:t>
            </w:r>
            <w:r>
              <w:rPr>
                <w:rFonts w:hint="eastAsia" w:asciiTheme="minorEastAsia" w:hAnsiTheme="minorEastAsia" w:eastAsiaTheme="minorEastAsia" w:cstheme="minorEastAsia"/>
                <w:color w:val="auto"/>
                <w:sz w:val="24"/>
                <w:szCs w:val="24"/>
                <w:vertAlign w:val="baseline"/>
                <w:lang w:val="en-US" w:eastAsia="zh-CN"/>
              </w:rPr>
              <w:t>服务</w:t>
            </w:r>
            <w:r>
              <w:rPr>
                <w:rFonts w:hint="eastAsia" w:asciiTheme="minorEastAsia" w:hAnsiTheme="minorEastAsia" w:cstheme="minorEastAsia"/>
                <w:color w:val="auto"/>
                <w:sz w:val="24"/>
                <w:szCs w:val="24"/>
                <w:vertAlign w:val="baseline"/>
                <w:lang w:val="en-US" w:eastAsia="zh-CN"/>
              </w:rPr>
              <w:t>完成</w:t>
            </w:r>
            <w:r>
              <w:rPr>
                <w:rFonts w:hint="eastAsia" w:asciiTheme="minorEastAsia" w:hAnsiTheme="minorEastAsia" w:eastAsiaTheme="minorEastAsia" w:cstheme="minorEastAsia"/>
                <w:color w:val="auto"/>
                <w:sz w:val="24"/>
                <w:szCs w:val="24"/>
                <w:vertAlign w:val="baseline"/>
                <w:lang w:val="en-US" w:eastAsia="zh-CN"/>
              </w:rPr>
              <w:t>且验收通过后，</w:t>
            </w:r>
            <w:r>
              <w:rPr>
                <w:rFonts w:hint="eastAsia" w:asciiTheme="minorEastAsia" w:hAnsiTheme="minorEastAsia" w:cstheme="minorEastAsia"/>
                <w:color w:val="auto"/>
                <w:sz w:val="24"/>
                <w:szCs w:val="24"/>
                <w:vertAlign w:val="baseline"/>
                <w:lang w:val="en-US" w:eastAsia="zh-CN"/>
              </w:rPr>
              <w:t>投标方向招标方提供全额发票，招标方</w:t>
            </w:r>
            <w:r>
              <w:rPr>
                <w:rFonts w:hint="eastAsia" w:asciiTheme="minorEastAsia" w:hAnsiTheme="minorEastAsia" w:eastAsiaTheme="minorEastAsia" w:cstheme="minorEastAsia"/>
                <w:color w:val="auto"/>
                <w:sz w:val="24"/>
                <w:szCs w:val="24"/>
                <w:vertAlign w:val="baseline"/>
                <w:lang w:val="en-US" w:eastAsia="zh-CN"/>
              </w:rPr>
              <w:t>收到全额发票后，60日内一次性支付</w:t>
            </w:r>
            <w:r>
              <w:rPr>
                <w:rFonts w:hint="eastAsia" w:asciiTheme="minorEastAsia" w:hAnsiTheme="minorEastAsia" w:cstheme="minorEastAsia"/>
                <w:color w:val="auto"/>
                <w:sz w:val="24"/>
                <w:szCs w:val="24"/>
                <w:vertAlign w:val="baseline"/>
                <w:lang w:val="en-US" w:eastAsia="zh-CN"/>
              </w:rPr>
              <w:t>全部费用。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7.服务方式要求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eastAsia="zh-CN"/>
              </w:rPr>
              <w:t>投标方自行确定项目研发、测试地点，项目成果试用、交付、验收在</w:t>
            </w:r>
            <w:r>
              <w:rPr>
                <w:rFonts w:hint="eastAsia" w:asciiTheme="minorEastAsia" w:hAnsiTheme="minorEastAsia" w:eastAsiaTheme="minorEastAsia" w:cstheme="minorEastAsia"/>
                <w:color w:val="auto"/>
                <w:sz w:val="24"/>
                <w:szCs w:val="24"/>
                <w:vertAlign w:val="baseline"/>
                <w:lang w:eastAsia="zh-CN"/>
              </w:rPr>
              <w:t>广西百色市</w:t>
            </w:r>
            <w:r>
              <w:rPr>
                <w:rFonts w:hint="eastAsia" w:asciiTheme="minorEastAsia" w:hAnsiTheme="minorEastAsia" w:cstheme="minorEastAsia"/>
                <w:color w:val="auto"/>
                <w:sz w:val="24"/>
                <w:szCs w:val="24"/>
                <w:vertAlign w:val="baseline"/>
                <w:lang w:val="en-US" w:eastAsia="zh-CN"/>
              </w:rPr>
              <w:t>百色局办公大楼</w:t>
            </w:r>
            <w:r>
              <w:rPr>
                <w:rFonts w:hint="eastAsia" w:asciiTheme="minorEastAsia" w:hAnsiTheme="minorEastAsia" w:eastAsiaTheme="minorEastAsia" w:cstheme="minorEastAsia"/>
                <w:color w:val="auto"/>
                <w:sz w:val="24"/>
                <w:szCs w:val="24"/>
                <w:vertAlign w:val="baseli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8.售后服务</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本项目售后服务期限为一年，售后服务期限内应提供免费维修服务。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val="en-US" w:eastAsia="zh-CN"/>
              </w:rPr>
              <w:t>9</w:t>
            </w:r>
            <w:r>
              <w:rPr>
                <w:rFonts w:hint="eastAsia" w:asciiTheme="minorEastAsia" w:hAnsiTheme="minorEastAsia" w:eastAsiaTheme="minorEastAsia" w:cstheme="minorEastAsia"/>
                <w:b/>
                <w:bCs/>
                <w:sz w:val="24"/>
                <w:szCs w:val="24"/>
                <w:vertAlign w:val="baseline"/>
                <w:lang w:eastAsia="zh-CN"/>
              </w:rPr>
              <w:t>.其它</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①、报价包含所需全部费用；②、交付的基于点云数据联动的外破安全距离监测装置不得使用美光公司产品。</w:t>
            </w:r>
          </w:p>
        </w:tc>
      </w:tr>
    </w:tbl>
    <w:p>
      <w:pPr>
        <w:numPr>
          <w:ilvl w:val="0"/>
          <w:numId w:val="1"/>
        </w:numPr>
        <w:ind w:left="0" w:leftChars="0" w:firstLine="0" w:firstLineChars="0"/>
        <w:jc w:val="both"/>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kern w:val="44"/>
          <w:sz w:val="30"/>
          <w:szCs w:val="30"/>
          <w:highlight w:val="none"/>
          <w:lang w:val="en-US" w:eastAsia="zh-CN" w:bidi="ar-SA"/>
        </w:rPr>
        <w:t>技术要求</w:t>
      </w:r>
    </w:p>
    <w:tbl>
      <w:tblPr>
        <w:tblStyle w:val="7"/>
        <w:tblW w:w="860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01"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sz w:val="28"/>
                <w:szCs w:val="28"/>
                <w:u w:val="none"/>
                <w:lang w:eastAsia="zh-CN"/>
              </w:rPr>
              <w:t>服务类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42"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1.技术服务内容（含工作量）</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4"/>
                <w:szCs w:val="24"/>
              </w:rPr>
            </w:pPr>
            <w:r>
              <w:rPr>
                <w:sz w:val="24"/>
                <w:szCs w:val="24"/>
              </w:rPr>
              <w:t>1）开展点云数据采集与处理的技术研究。通过对输电线通道空间内大型器械物体结构进行扫描，获取物体大小及相对位置信息，生成点云扫描文件，根据需求导出多类数据成果，包含CAD环境下的多段线、真正射影象、二维平面图、点云、三维网格和三位多段线等。根据导出数据成果进行点云三维建模，通过三维实景应用软件，将生产好的数据发布到网络上，可以实现实景的浏览、量测等功能。</w:t>
            </w:r>
            <w:r>
              <w:rPr>
                <w:sz w:val="24"/>
                <w:szCs w:val="24"/>
              </w:rPr>
              <w:br w:type="textWrapping"/>
            </w:r>
            <w:r>
              <w:rPr>
                <w:sz w:val="24"/>
                <w:szCs w:val="24"/>
              </w:rPr>
              <w:t>2）开展点云数据结合视频图像数据的研究，对安全距离综合研判。视频图像设备依据前端识别，对大型器械在所摄画面中的相对位置、以及对输电线路的相对位置表现出来，当点云数据完成物体与线路安全距离感知后，在该场景对两者距离参数进行赋予，最终输出物体实景与物体实际距离。</w:t>
            </w:r>
            <w:r>
              <w:rPr>
                <w:sz w:val="24"/>
                <w:szCs w:val="24"/>
              </w:rPr>
              <w:br w:type="textWrapping"/>
            </w:r>
            <w:r>
              <w:rPr>
                <w:sz w:val="24"/>
                <w:szCs w:val="24"/>
              </w:rPr>
              <w:t>3）开展外破场景输电线路与大型器械安全距离告警规则与机制的研究。设定大型器械识别与安全距离告警阈值，设定实时告警规则，设定告警流程等，建立异常场景识别、监测、研判、告警、消除一系列处理架构。</w:t>
            </w:r>
          </w:p>
          <w:p>
            <w:pPr>
              <w:rPr>
                <w:rFonts w:hint="eastAsia"/>
                <w:sz w:val="24"/>
                <w:szCs w:val="24"/>
                <w:lang w:val="en-US" w:eastAsia="zh-CN"/>
              </w:rPr>
            </w:pPr>
            <w:r>
              <w:rPr>
                <w:rFonts w:hint="eastAsia"/>
                <w:sz w:val="24"/>
                <w:szCs w:val="24"/>
                <w:lang w:val="en-US" w:eastAsia="zh-CN"/>
              </w:rPr>
              <w:t>4</w:t>
            </w:r>
            <w:r>
              <w:rPr>
                <w:sz w:val="24"/>
                <w:szCs w:val="24"/>
              </w:rPr>
              <w:t>）交付基于点云数据联动的外破安全距离监测装置1套。</w:t>
            </w:r>
            <w:r>
              <w:rPr>
                <w:sz w:val="24"/>
                <w:szCs w:val="24"/>
              </w:rPr>
              <w:br w:type="textWrapping"/>
            </w:r>
            <w:r>
              <w:rPr>
                <w:rFonts w:hint="eastAsia"/>
                <w:sz w:val="24"/>
                <w:szCs w:val="24"/>
                <w:lang w:val="en-US" w:eastAsia="zh-CN"/>
              </w:rPr>
              <w:t>5</w:t>
            </w:r>
            <w:r>
              <w:rPr>
                <w:sz w:val="24"/>
                <w:szCs w:val="24"/>
              </w:rPr>
              <w:t>）交付基于点云数据联动的外破安全距离监测技术研究报告1份。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2.涉及服务的相关仪器设备型号规格</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sz w:val="24"/>
                <w:szCs w:val="24"/>
                <w:lang w:val="en-US" w:eastAsia="zh-CN"/>
              </w:rPr>
            </w:pPr>
            <w:r>
              <w:rPr>
                <w:rFonts w:hint="eastAsia"/>
                <w:sz w:val="24"/>
                <w:szCs w:val="24"/>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3.技术服务质量要求及验收标准</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①、</w:t>
            </w:r>
            <w:r>
              <w:rPr>
                <w:rFonts w:ascii="宋体" w:hAnsi="宋体" w:eastAsia="宋体" w:cs="宋体"/>
                <w:sz w:val="24"/>
                <w:szCs w:val="24"/>
              </w:rPr>
              <w:t>基于点云数据联动的外破安全距离监测装置</w:t>
            </w:r>
            <w:r>
              <w:rPr>
                <w:rFonts w:hint="eastAsia" w:asciiTheme="minorEastAsia" w:hAnsiTheme="minorEastAsia" w:eastAsiaTheme="minorEastAsia" w:cstheme="minorEastAsia"/>
                <w:color w:val="auto"/>
                <w:sz w:val="24"/>
                <w:szCs w:val="24"/>
                <w:vertAlign w:val="baseline"/>
                <w:lang w:val="en-US" w:eastAsia="zh-CN"/>
              </w:rPr>
              <w:t>，</w:t>
            </w:r>
            <w:r>
              <w:rPr>
                <w:rFonts w:hint="eastAsia" w:asciiTheme="minorEastAsia" w:hAnsiTheme="minorEastAsia" w:cstheme="minorEastAsia"/>
                <w:color w:val="auto"/>
                <w:sz w:val="24"/>
                <w:szCs w:val="24"/>
                <w:vertAlign w:val="baseline"/>
                <w:lang w:val="en-US" w:eastAsia="zh-CN"/>
              </w:rPr>
              <w:t>能</w:t>
            </w:r>
            <w:r>
              <w:rPr>
                <w:rFonts w:hint="eastAsia" w:asciiTheme="minorEastAsia" w:hAnsiTheme="minorEastAsia" w:eastAsiaTheme="minorEastAsia" w:cstheme="minorEastAsia"/>
                <w:color w:val="auto"/>
                <w:sz w:val="24"/>
                <w:szCs w:val="24"/>
                <w:vertAlign w:val="baseline"/>
                <w:lang w:val="en-US" w:eastAsia="zh-CN"/>
              </w:rPr>
              <w:t>结合视频图像数据与点云数据，输出输电线路外破场景监测结果，实现异常实时告警与隐患实时监测，并通过百色局组成的验收小组验收。</w:t>
            </w:r>
          </w:p>
          <w:p>
            <w:pPr>
              <w:rPr>
                <w:rFonts w:hint="eastAsia" w:asciiTheme="minorEastAsia" w:hAnsiTheme="minorEastAsia" w:eastAsiaTheme="minorEastAsia" w:cstheme="minorEastAsia"/>
                <w:b/>
                <w:bCs/>
                <w:color w:val="FF0000"/>
                <w:sz w:val="24"/>
                <w:szCs w:val="24"/>
                <w:vertAlign w:val="baseline"/>
                <w:lang w:eastAsia="zh-CN"/>
              </w:rPr>
            </w:pPr>
            <w:r>
              <w:rPr>
                <w:rFonts w:hint="eastAsia" w:asciiTheme="minorEastAsia" w:hAnsiTheme="minorEastAsia" w:eastAsiaTheme="minorEastAsia" w:cstheme="minorEastAsia"/>
                <w:color w:val="auto"/>
                <w:sz w:val="24"/>
                <w:szCs w:val="24"/>
                <w:vertAlign w:val="baseline"/>
                <w:lang w:val="en-US" w:eastAsia="zh-CN"/>
              </w:rPr>
              <w:t>②、</w:t>
            </w:r>
            <w:r>
              <w:rPr>
                <w:rFonts w:ascii="宋体" w:hAnsi="宋体" w:eastAsia="宋体" w:cs="宋体"/>
                <w:sz w:val="24"/>
                <w:szCs w:val="24"/>
              </w:rPr>
              <w:t>基于点云数据联动的外破安全距离监测技术研究报告</w:t>
            </w:r>
            <w:r>
              <w:rPr>
                <w:rFonts w:hint="eastAsia" w:asciiTheme="minorEastAsia" w:hAnsiTheme="minorEastAsia" w:eastAsiaTheme="minorEastAsia" w:cstheme="minorEastAsia"/>
                <w:color w:val="auto"/>
                <w:sz w:val="24"/>
                <w:szCs w:val="24"/>
                <w:vertAlign w:val="baseline"/>
                <w:lang w:val="en-US" w:eastAsia="zh-CN"/>
              </w:rPr>
              <w:t>，需通过百色局组成的验收小组验收。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4.其它</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p>
        </w:tc>
      </w:tr>
    </w:tbl>
    <w:p>
      <w:pPr>
        <w:numPr>
          <w:ilvl w:val="0"/>
          <w:numId w:val="1"/>
        </w:numPr>
        <w:ind w:left="0" w:leftChars="0" w:firstLine="0" w:firstLineChars="0"/>
        <w:jc w:val="both"/>
        <w:rPr>
          <w:rFonts w:hint="eastAsia" w:asciiTheme="minorEastAsia" w:hAnsiTheme="minorEastAsia" w:eastAsiaTheme="minorEastAsia" w:cstheme="minorEastAsia"/>
          <w:b/>
          <w:bCs/>
          <w:kern w:val="44"/>
          <w:sz w:val="30"/>
          <w:szCs w:val="30"/>
          <w:highlight w:val="none"/>
          <w:lang w:val="en-US" w:eastAsia="zh-CN" w:bidi="ar-SA"/>
        </w:rPr>
      </w:pPr>
      <w:bookmarkStart w:id="0" w:name="_Toc432171539"/>
      <w:bookmarkStart w:id="1" w:name="_Toc350159239"/>
      <w:bookmarkStart w:id="2" w:name="_Toc351322324"/>
      <w:r>
        <w:rPr>
          <w:rFonts w:hint="eastAsia" w:asciiTheme="minorEastAsia" w:hAnsiTheme="minorEastAsia" w:eastAsiaTheme="minorEastAsia" w:cstheme="minorEastAsia"/>
          <w:b/>
          <w:bCs/>
          <w:kern w:val="44"/>
          <w:sz w:val="30"/>
          <w:szCs w:val="30"/>
          <w:highlight w:val="none"/>
          <w:lang w:val="en-US" w:eastAsia="zh-CN" w:bidi="ar-SA"/>
        </w:rPr>
        <w:t>工作内容及数量</w:t>
      </w:r>
    </w:p>
    <w:tbl>
      <w:tblPr>
        <w:tblStyle w:val="7"/>
        <w:tblW w:w="859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6"/>
        <w:gridCol w:w="1620"/>
        <w:gridCol w:w="1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56" w:type="dxa"/>
            <w:tcBorders>
              <w:top w:val="single" w:color="auto" w:sz="4" w:space="0"/>
              <w:left w:val="single" w:color="auto" w:sz="4" w:space="0"/>
              <w:bottom w:val="single" w:color="auto" w:sz="4" w:space="0"/>
              <w:right w:val="single" w:color="auto" w:sz="4" w:space="0"/>
            </w:tcBorders>
            <w:noWrap w:val="0"/>
            <w:vAlign w:val="center"/>
          </w:tcPr>
          <w:p>
            <w:pPr>
              <w:pStyle w:val="5"/>
              <w:spacing w:line="360" w:lineRule="auto"/>
              <w:jc w:val="center"/>
              <w:rPr>
                <w:rFonts w:hint="eastAsia" w:asciiTheme="minorEastAsia" w:hAnsiTheme="minorEastAsia" w:eastAsiaTheme="minorEastAsia" w:cstheme="minorEastAsia"/>
                <w:b/>
                <w:bCs w:val="0"/>
                <w:color w:val="auto"/>
                <w:szCs w:val="21"/>
                <w:highlight w:val="none"/>
                <w:lang w:val="en-US" w:eastAsia="zh-CN"/>
              </w:rPr>
            </w:pPr>
            <w:r>
              <w:rPr>
                <w:rFonts w:hint="eastAsia" w:asciiTheme="minorEastAsia" w:hAnsiTheme="minorEastAsia" w:eastAsiaTheme="minorEastAsia" w:cstheme="minorEastAsia"/>
                <w:b/>
                <w:bCs w:val="0"/>
                <w:color w:val="auto"/>
                <w:szCs w:val="21"/>
                <w:highlight w:val="none"/>
                <w:lang w:val="en-US" w:eastAsia="zh-CN"/>
              </w:rPr>
              <w:t>采购工作内容</w:t>
            </w: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5"/>
              <w:spacing w:line="360" w:lineRule="auto"/>
              <w:jc w:val="center"/>
              <w:rPr>
                <w:rFonts w:hint="eastAsia" w:asciiTheme="minorEastAsia" w:hAnsiTheme="minorEastAsia" w:eastAsiaTheme="minorEastAsia" w:cstheme="minorEastAsia"/>
                <w:b/>
                <w:bCs w:val="0"/>
                <w:color w:val="auto"/>
                <w:kern w:val="2"/>
                <w:sz w:val="21"/>
                <w:szCs w:val="21"/>
                <w:highlight w:val="none"/>
                <w:lang w:val="en-US" w:eastAsia="zh-CN" w:bidi="ar-SA"/>
              </w:rPr>
            </w:pPr>
            <w:r>
              <w:rPr>
                <w:rFonts w:hint="eastAsia" w:asciiTheme="minorEastAsia" w:hAnsiTheme="minorEastAsia" w:eastAsiaTheme="minorEastAsia" w:cstheme="minorEastAsia"/>
                <w:b/>
                <w:bCs w:val="0"/>
                <w:color w:val="auto"/>
                <w:szCs w:val="21"/>
                <w:highlight w:val="none"/>
                <w:lang w:eastAsia="zh-CN"/>
              </w:rPr>
              <w:t>单位</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pStyle w:val="5"/>
              <w:spacing w:line="360" w:lineRule="auto"/>
              <w:jc w:val="center"/>
              <w:rPr>
                <w:rFonts w:hint="eastAsia" w:asciiTheme="minorEastAsia" w:hAnsiTheme="minorEastAsia" w:eastAsiaTheme="minorEastAsia" w:cstheme="minorEastAsia"/>
                <w:b/>
                <w:bCs w:val="0"/>
                <w:color w:val="auto"/>
                <w:szCs w:val="21"/>
                <w:highlight w:val="none"/>
                <w:lang w:eastAsia="zh-CN"/>
              </w:rPr>
            </w:pPr>
            <w:r>
              <w:rPr>
                <w:rFonts w:hint="eastAsia" w:asciiTheme="minorEastAsia" w:hAnsiTheme="minorEastAsia" w:eastAsiaTheme="minorEastAsia" w:cstheme="minorEastAsia"/>
                <w:b/>
                <w:bCs w:val="0"/>
                <w:color w:val="auto"/>
                <w:szCs w:val="21"/>
                <w:highlight w:val="none"/>
                <w:lang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56" w:type="dxa"/>
            <w:tcBorders>
              <w:top w:val="single" w:color="auto" w:sz="4" w:space="0"/>
              <w:left w:val="single" w:color="auto" w:sz="4" w:space="0"/>
              <w:bottom w:val="single" w:color="auto" w:sz="4" w:space="0"/>
              <w:right w:val="single" w:color="auto" w:sz="4" w:space="0"/>
            </w:tcBorders>
            <w:noWrap w:val="0"/>
            <w:vAlign w:val="bottom"/>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2"/>
                <w:szCs w:val="22"/>
                <w:highlight w:val="none"/>
                <w:u w:val="none"/>
                <w:lang w:val="en-US" w:eastAsia="zh-CN" w:bidi="ar"/>
              </w:rPr>
            </w:pPr>
            <w:r>
              <w:rPr>
                <w:rFonts w:hint="eastAsia" w:asciiTheme="minorEastAsia" w:hAnsiTheme="minorEastAsia" w:cstheme="minorEastAsia"/>
                <w:color w:val="auto"/>
                <w:sz w:val="24"/>
                <w:szCs w:val="24"/>
                <w:vertAlign w:val="baseline"/>
                <w:lang w:val="en-US" w:eastAsia="zh-CN"/>
              </w:rPr>
              <w:t>对</w:t>
            </w:r>
            <w:r>
              <w:rPr>
                <w:rFonts w:hint="eastAsia" w:asciiTheme="minorEastAsia" w:hAnsiTheme="minorEastAsia" w:eastAsiaTheme="minorEastAsia" w:cstheme="minorEastAsia"/>
                <w:color w:val="auto"/>
                <w:sz w:val="24"/>
                <w:szCs w:val="24"/>
                <w:vertAlign w:val="baseline"/>
                <w:lang w:val="en-US" w:eastAsia="zh-CN"/>
              </w:rPr>
              <w:t>基于点云数据联动的外破安全距离监测装置开展研究</w:t>
            </w:r>
          </w:p>
        </w:tc>
        <w:tc>
          <w:tcPr>
            <w:tcW w:w="16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cstheme="minorEastAsia"/>
                <w:i w:val="0"/>
                <w:iCs w:val="0"/>
                <w:color w:val="auto"/>
                <w:kern w:val="0"/>
                <w:sz w:val="24"/>
                <w:szCs w:val="24"/>
                <w:highlight w:val="none"/>
                <w:u w:val="none"/>
                <w:lang w:val="en-US" w:eastAsia="zh-CN" w:bidi="ar"/>
              </w:rPr>
              <w:t>项</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w:t>
            </w:r>
          </w:p>
        </w:tc>
      </w:tr>
      <w:bookmarkEnd w:id="0"/>
      <w:bookmarkEnd w:id="1"/>
      <w:bookmarkEnd w:id="2"/>
    </w:tbl>
    <w:p>
      <w:pPr>
        <w:numPr>
          <w:ilvl w:val="0"/>
          <w:numId w:val="0"/>
        </w:numPr>
        <w:ind w:leftChars="0"/>
        <w:rPr>
          <w:rFonts w:hint="eastAsia" w:asciiTheme="minorEastAsia" w:hAnsiTheme="minorEastAsia" w:eastAsiaTheme="minorEastAsia" w:cstheme="minorEastAsia"/>
          <w:b/>
          <w:bCs/>
          <w:kern w:val="44"/>
          <w:sz w:val="30"/>
          <w:szCs w:val="30"/>
          <w:highlight w:val="none"/>
          <w:lang w:val="en-US" w:eastAsia="zh-CN" w:bidi="ar-SA"/>
        </w:rPr>
      </w:pPr>
    </w:p>
    <w:p>
      <w:pPr>
        <w:numPr>
          <w:ilvl w:val="0"/>
          <w:numId w:val="1"/>
        </w:numPr>
        <w:ind w:left="0" w:leftChars="0" w:firstLine="0" w:firstLineChars="0"/>
        <w:jc w:val="both"/>
        <w:rPr>
          <w:rFonts w:hint="eastAsia" w:asciiTheme="minorEastAsia" w:hAnsiTheme="minorEastAsia" w:eastAsiaTheme="minorEastAsia" w:cstheme="minorEastAsia"/>
          <w:b/>
          <w:bCs/>
          <w:kern w:val="44"/>
          <w:sz w:val="30"/>
          <w:szCs w:val="30"/>
          <w:highlight w:val="none"/>
          <w:lang w:val="en-US" w:eastAsia="zh-CN" w:bidi="ar-SA"/>
        </w:rPr>
      </w:pPr>
      <w:r>
        <w:rPr>
          <w:rFonts w:hint="eastAsia" w:asciiTheme="minorEastAsia" w:hAnsiTheme="minorEastAsia" w:eastAsiaTheme="minorEastAsia" w:cstheme="minorEastAsia"/>
          <w:b/>
          <w:bCs/>
          <w:kern w:val="44"/>
          <w:sz w:val="30"/>
          <w:szCs w:val="30"/>
          <w:highlight w:val="none"/>
          <w:lang w:val="en-US" w:eastAsia="zh-CN" w:bidi="ar-SA"/>
        </w:rPr>
        <w:t>需提交的证明文件</w:t>
      </w:r>
    </w:p>
    <w:p>
      <w:pPr>
        <w:pStyle w:val="2"/>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val="0"/>
          <w:bCs w:val="0"/>
          <w:kern w:val="44"/>
          <w:sz w:val="28"/>
          <w:szCs w:val="28"/>
          <w:highlight w:val="none"/>
          <w:lang w:val="en-US" w:eastAsia="zh-CN" w:bidi="ar-SA"/>
        </w:rPr>
        <w:t>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A79DC7"/>
    <w:multiLevelType w:val="singleLevel"/>
    <w:tmpl w:val="DCA79DC7"/>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15343"/>
    <w:rsid w:val="000304DD"/>
    <w:rsid w:val="000F58E8"/>
    <w:rsid w:val="001F0AC3"/>
    <w:rsid w:val="001F1668"/>
    <w:rsid w:val="00820D0C"/>
    <w:rsid w:val="00BA7044"/>
    <w:rsid w:val="00E16DCB"/>
    <w:rsid w:val="011200AF"/>
    <w:rsid w:val="013A08CE"/>
    <w:rsid w:val="01501235"/>
    <w:rsid w:val="016940D8"/>
    <w:rsid w:val="01820F90"/>
    <w:rsid w:val="01AA77A2"/>
    <w:rsid w:val="01F21044"/>
    <w:rsid w:val="01F4352D"/>
    <w:rsid w:val="02060639"/>
    <w:rsid w:val="022B7242"/>
    <w:rsid w:val="02352299"/>
    <w:rsid w:val="02393A60"/>
    <w:rsid w:val="02397997"/>
    <w:rsid w:val="02881A4F"/>
    <w:rsid w:val="02E842EC"/>
    <w:rsid w:val="02F7359E"/>
    <w:rsid w:val="0331503A"/>
    <w:rsid w:val="034B1EE2"/>
    <w:rsid w:val="03811C00"/>
    <w:rsid w:val="03AC6308"/>
    <w:rsid w:val="03B72AE1"/>
    <w:rsid w:val="04087C5B"/>
    <w:rsid w:val="040F3B52"/>
    <w:rsid w:val="04135126"/>
    <w:rsid w:val="044E557D"/>
    <w:rsid w:val="04827C67"/>
    <w:rsid w:val="04862A9E"/>
    <w:rsid w:val="04B70EB3"/>
    <w:rsid w:val="054669C7"/>
    <w:rsid w:val="05796A56"/>
    <w:rsid w:val="058468CE"/>
    <w:rsid w:val="059F10A0"/>
    <w:rsid w:val="05A41843"/>
    <w:rsid w:val="060A120F"/>
    <w:rsid w:val="061311DF"/>
    <w:rsid w:val="061458DF"/>
    <w:rsid w:val="061958D7"/>
    <w:rsid w:val="061E030F"/>
    <w:rsid w:val="06836CF3"/>
    <w:rsid w:val="06970A6E"/>
    <w:rsid w:val="06A12946"/>
    <w:rsid w:val="06A35579"/>
    <w:rsid w:val="074269CD"/>
    <w:rsid w:val="076127A5"/>
    <w:rsid w:val="07955F47"/>
    <w:rsid w:val="079620C0"/>
    <w:rsid w:val="081338BE"/>
    <w:rsid w:val="082908C4"/>
    <w:rsid w:val="08331DC3"/>
    <w:rsid w:val="084A2F09"/>
    <w:rsid w:val="08A07291"/>
    <w:rsid w:val="08A63456"/>
    <w:rsid w:val="08C8771E"/>
    <w:rsid w:val="08DC6580"/>
    <w:rsid w:val="08E2176D"/>
    <w:rsid w:val="08FF192A"/>
    <w:rsid w:val="090F328D"/>
    <w:rsid w:val="091B3B2C"/>
    <w:rsid w:val="09211E06"/>
    <w:rsid w:val="09240D9A"/>
    <w:rsid w:val="092802D1"/>
    <w:rsid w:val="092B6C95"/>
    <w:rsid w:val="0951467D"/>
    <w:rsid w:val="095B0516"/>
    <w:rsid w:val="09903E57"/>
    <w:rsid w:val="09D81D95"/>
    <w:rsid w:val="0A344583"/>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CFC67E8"/>
    <w:rsid w:val="0D307151"/>
    <w:rsid w:val="0D3B2462"/>
    <w:rsid w:val="0DB6219C"/>
    <w:rsid w:val="0DC13D8A"/>
    <w:rsid w:val="0DF07BDA"/>
    <w:rsid w:val="0DFD2816"/>
    <w:rsid w:val="0E71136B"/>
    <w:rsid w:val="0E8B2745"/>
    <w:rsid w:val="0E9B4DDB"/>
    <w:rsid w:val="0EA565F4"/>
    <w:rsid w:val="0ECE09DE"/>
    <w:rsid w:val="0F334549"/>
    <w:rsid w:val="0F3801C8"/>
    <w:rsid w:val="0F7200FC"/>
    <w:rsid w:val="0F9E41A6"/>
    <w:rsid w:val="0FE713A1"/>
    <w:rsid w:val="0FEF5E29"/>
    <w:rsid w:val="0FF33B0A"/>
    <w:rsid w:val="1031515E"/>
    <w:rsid w:val="10690B09"/>
    <w:rsid w:val="10C114BF"/>
    <w:rsid w:val="10E64CA7"/>
    <w:rsid w:val="10E84774"/>
    <w:rsid w:val="10EC11DB"/>
    <w:rsid w:val="112E24A5"/>
    <w:rsid w:val="11C56820"/>
    <w:rsid w:val="12100284"/>
    <w:rsid w:val="122F23AB"/>
    <w:rsid w:val="128C2CAA"/>
    <w:rsid w:val="12AA1604"/>
    <w:rsid w:val="12C15A54"/>
    <w:rsid w:val="13122EB9"/>
    <w:rsid w:val="131B7BE0"/>
    <w:rsid w:val="132C4F88"/>
    <w:rsid w:val="137A50AD"/>
    <w:rsid w:val="13AC3248"/>
    <w:rsid w:val="13C85393"/>
    <w:rsid w:val="13D17E3E"/>
    <w:rsid w:val="13E63CB1"/>
    <w:rsid w:val="142D3966"/>
    <w:rsid w:val="14744206"/>
    <w:rsid w:val="148B23EC"/>
    <w:rsid w:val="14BC3E8F"/>
    <w:rsid w:val="14DD3E78"/>
    <w:rsid w:val="14FD0E5F"/>
    <w:rsid w:val="14FD757A"/>
    <w:rsid w:val="15141EA9"/>
    <w:rsid w:val="156C231A"/>
    <w:rsid w:val="158865BE"/>
    <w:rsid w:val="1595095C"/>
    <w:rsid w:val="15DE13D5"/>
    <w:rsid w:val="15E66A30"/>
    <w:rsid w:val="15F4465A"/>
    <w:rsid w:val="16035D89"/>
    <w:rsid w:val="16580359"/>
    <w:rsid w:val="16A07C09"/>
    <w:rsid w:val="16B572F7"/>
    <w:rsid w:val="16CC0B72"/>
    <w:rsid w:val="172A0D45"/>
    <w:rsid w:val="176F5489"/>
    <w:rsid w:val="178347AB"/>
    <w:rsid w:val="1793208C"/>
    <w:rsid w:val="179E22DC"/>
    <w:rsid w:val="17E355C2"/>
    <w:rsid w:val="17F222DD"/>
    <w:rsid w:val="17F941EB"/>
    <w:rsid w:val="17FA2E63"/>
    <w:rsid w:val="18193EFB"/>
    <w:rsid w:val="18290DB1"/>
    <w:rsid w:val="18423839"/>
    <w:rsid w:val="185138C0"/>
    <w:rsid w:val="189F058B"/>
    <w:rsid w:val="18D97540"/>
    <w:rsid w:val="19297752"/>
    <w:rsid w:val="196F285C"/>
    <w:rsid w:val="19761FB7"/>
    <w:rsid w:val="198829AE"/>
    <w:rsid w:val="19CD3FB4"/>
    <w:rsid w:val="19D94077"/>
    <w:rsid w:val="19F14852"/>
    <w:rsid w:val="1A061791"/>
    <w:rsid w:val="1A2A76BA"/>
    <w:rsid w:val="1A816311"/>
    <w:rsid w:val="1AF2575E"/>
    <w:rsid w:val="1B044F07"/>
    <w:rsid w:val="1B525F06"/>
    <w:rsid w:val="1BA15AB1"/>
    <w:rsid w:val="1BB737D3"/>
    <w:rsid w:val="1BB75756"/>
    <w:rsid w:val="1BF06759"/>
    <w:rsid w:val="1BF11ABE"/>
    <w:rsid w:val="1C022149"/>
    <w:rsid w:val="1C2C11D0"/>
    <w:rsid w:val="1C320214"/>
    <w:rsid w:val="1C3922C0"/>
    <w:rsid w:val="1C5826E0"/>
    <w:rsid w:val="1C8B469A"/>
    <w:rsid w:val="1C9B16FD"/>
    <w:rsid w:val="1D3F2357"/>
    <w:rsid w:val="1D4C0E01"/>
    <w:rsid w:val="1D731EC0"/>
    <w:rsid w:val="1D8A6578"/>
    <w:rsid w:val="1DB31EE7"/>
    <w:rsid w:val="1DC8164A"/>
    <w:rsid w:val="1DD80D20"/>
    <w:rsid w:val="1DE2229C"/>
    <w:rsid w:val="1E3B5ED1"/>
    <w:rsid w:val="1E7D4B74"/>
    <w:rsid w:val="1E897166"/>
    <w:rsid w:val="1ECE1E51"/>
    <w:rsid w:val="1F2A1AFB"/>
    <w:rsid w:val="1F37102C"/>
    <w:rsid w:val="1F5C1B1F"/>
    <w:rsid w:val="1F847548"/>
    <w:rsid w:val="1FC930A0"/>
    <w:rsid w:val="1FCE7374"/>
    <w:rsid w:val="1FEC2DD9"/>
    <w:rsid w:val="1FFB2CAE"/>
    <w:rsid w:val="1FFF3214"/>
    <w:rsid w:val="204E7B4C"/>
    <w:rsid w:val="20697F7D"/>
    <w:rsid w:val="2094367F"/>
    <w:rsid w:val="209B0702"/>
    <w:rsid w:val="20A93859"/>
    <w:rsid w:val="20AD11B3"/>
    <w:rsid w:val="20C4708C"/>
    <w:rsid w:val="20D3385E"/>
    <w:rsid w:val="210C673F"/>
    <w:rsid w:val="210E0C48"/>
    <w:rsid w:val="216418EA"/>
    <w:rsid w:val="218364C3"/>
    <w:rsid w:val="219531EF"/>
    <w:rsid w:val="21FE0AA0"/>
    <w:rsid w:val="220471D4"/>
    <w:rsid w:val="22390F2A"/>
    <w:rsid w:val="2239721F"/>
    <w:rsid w:val="2253248B"/>
    <w:rsid w:val="22937521"/>
    <w:rsid w:val="22C538FF"/>
    <w:rsid w:val="23117658"/>
    <w:rsid w:val="2326189B"/>
    <w:rsid w:val="2347482F"/>
    <w:rsid w:val="23480721"/>
    <w:rsid w:val="23832A6A"/>
    <w:rsid w:val="239C519E"/>
    <w:rsid w:val="23AC6110"/>
    <w:rsid w:val="23B3680B"/>
    <w:rsid w:val="24453519"/>
    <w:rsid w:val="24806DED"/>
    <w:rsid w:val="249E1E21"/>
    <w:rsid w:val="24CF2183"/>
    <w:rsid w:val="24D6375F"/>
    <w:rsid w:val="25A20BE8"/>
    <w:rsid w:val="25DC36E6"/>
    <w:rsid w:val="25E539B7"/>
    <w:rsid w:val="25FE72E1"/>
    <w:rsid w:val="2601741E"/>
    <w:rsid w:val="261D692F"/>
    <w:rsid w:val="2642785F"/>
    <w:rsid w:val="26732D8A"/>
    <w:rsid w:val="26B73565"/>
    <w:rsid w:val="26C747DD"/>
    <w:rsid w:val="272A58F3"/>
    <w:rsid w:val="273313A7"/>
    <w:rsid w:val="275B7375"/>
    <w:rsid w:val="27917C37"/>
    <w:rsid w:val="27990518"/>
    <w:rsid w:val="27C22DE0"/>
    <w:rsid w:val="27E25426"/>
    <w:rsid w:val="287530F9"/>
    <w:rsid w:val="28823A4A"/>
    <w:rsid w:val="28965E46"/>
    <w:rsid w:val="289E30D3"/>
    <w:rsid w:val="28B46336"/>
    <w:rsid w:val="28BE01F9"/>
    <w:rsid w:val="28D2503B"/>
    <w:rsid w:val="29004B34"/>
    <w:rsid w:val="29091E7A"/>
    <w:rsid w:val="291B5185"/>
    <w:rsid w:val="29332905"/>
    <w:rsid w:val="296411FB"/>
    <w:rsid w:val="29821E18"/>
    <w:rsid w:val="298B4C70"/>
    <w:rsid w:val="299E29AB"/>
    <w:rsid w:val="29AE2551"/>
    <w:rsid w:val="29B13B84"/>
    <w:rsid w:val="29CE5217"/>
    <w:rsid w:val="2A0566A1"/>
    <w:rsid w:val="2A3A52B1"/>
    <w:rsid w:val="2A822113"/>
    <w:rsid w:val="2A94661D"/>
    <w:rsid w:val="2AAE3082"/>
    <w:rsid w:val="2ADB2F81"/>
    <w:rsid w:val="2B0218D1"/>
    <w:rsid w:val="2B6551B7"/>
    <w:rsid w:val="2B805D5D"/>
    <w:rsid w:val="2BB70572"/>
    <w:rsid w:val="2BCE7E22"/>
    <w:rsid w:val="2C096ED3"/>
    <w:rsid w:val="2C225486"/>
    <w:rsid w:val="2C702EE7"/>
    <w:rsid w:val="2C7F4106"/>
    <w:rsid w:val="2C943472"/>
    <w:rsid w:val="2CE14D5C"/>
    <w:rsid w:val="2D1D4246"/>
    <w:rsid w:val="2D3F144E"/>
    <w:rsid w:val="2DA57572"/>
    <w:rsid w:val="2DAB7387"/>
    <w:rsid w:val="2E317F75"/>
    <w:rsid w:val="2E434F68"/>
    <w:rsid w:val="2E725AC4"/>
    <w:rsid w:val="2EAB14E3"/>
    <w:rsid w:val="2EC538AB"/>
    <w:rsid w:val="2F1828EE"/>
    <w:rsid w:val="2F4239BC"/>
    <w:rsid w:val="2F4D79F2"/>
    <w:rsid w:val="2F722747"/>
    <w:rsid w:val="2F991EEF"/>
    <w:rsid w:val="2FA36714"/>
    <w:rsid w:val="2FAD1162"/>
    <w:rsid w:val="2FC87DCD"/>
    <w:rsid w:val="2FEB6C42"/>
    <w:rsid w:val="2FF07082"/>
    <w:rsid w:val="300A0067"/>
    <w:rsid w:val="30332135"/>
    <w:rsid w:val="30361AAA"/>
    <w:rsid w:val="30565E76"/>
    <w:rsid w:val="307D2B14"/>
    <w:rsid w:val="30D31F6A"/>
    <w:rsid w:val="30F26FF3"/>
    <w:rsid w:val="31093D82"/>
    <w:rsid w:val="31101DA9"/>
    <w:rsid w:val="313A078D"/>
    <w:rsid w:val="314B38CA"/>
    <w:rsid w:val="31505CFB"/>
    <w:rsid w:val="31536D5E"/>
    <w:rsid w:val="317F763C"/>
    <w:rsid w:val="31800319"/>
    <w:rsid w:val="31853E25"/>
    <w:rsid w:val="319C7A88"/>
    <w:rsid w:val="31C14F6E"/>
    <w:rsid w:val="31E11CF9"/>
    <w:rsid w:val="31ED0F4A"/>
    <w:rsid w:val="31FB294D"/>
    <w:rsid w:val="321A1BD9"/>
    <w:rsid w:val="32515810"/>
    <w:rsid w:val="32770896"/>
    <w:rsid w:val="327F6AF1"/>
    <w:rsid w:val="32801914"/>
    <w:rsid w:val="32953617"/>
    <w:rsid w:val="32B81537"/>
    <w:rsid w:val="32F22422"/>
    <w:rsid w:val="3313054B"/>
    <w:rsid w:val="33231E78"/>
    <w:rsid w:val="33725B52"/>
    <w:rsid w:val="3378065A"/>
    <w:rsid w:val="33A73BE5"/>
    <w:rsid w:val="33B96A2E"/>
    <w:rsid w:val="33DA7217"/>
    <w:rsid w:val="34134285"/>
    <w:rsid w:val="346F74D1"/>
    <w:rsid w:val="34816FDA"/>
    <w:rsid w:val="34B90705"/>
    <w:rsid w:val="34C944EE"/>
    <w:rsid w:val="34C97625"/>
    <w:rsid w:val="34CE1084"/>
    <w:rsid w:val="35152B4C"/>
    <w:rsid w:val="35190544"/>
    <w:rsid w:val="352B4FC9"/>
    <w:rsid w:val="35566BD6"/>
    <w:rsid w:val="355A4482"/>
    <w:rsid w:val="35671DF5"/>
    <w:rsid w:val="3569739E"/>
    <w:rsid w:val="35724EE4"/>
    <w:rsid w:val="359A6D64"/>
    <w:rsid w:val="35D660DF"/>
    <w:rsid w:val="36015C68"/>
    <w:rsid w:val="362F4F13"/>
    <w:rsid w:val="36310E3C"/>
    <w:rsid w:val="363B32F2"/>
    <w:rsid w:val="366E78EC"/>
    <w:rsid w:val="36A20DE3"/>
    <w:rsid w:val="36FA07A7"/>
    <w:rsid w:val="37345162"/>
    <w:rsid w:val="373A311A"/>
    <w:rsid w:val="37825868"/>
    <w:rsid w:val="37BC5B3A"/>
    <w:rsid w:val="37F9409F"/>
    <w:rsid w:val="38081B17"/>
    <w:rsid w:val="386E0F56"/>
    <w:rsid w:val="387B3B6E"/>
    <w:rsid w:val="38C23C8A"/>
    <w:rsid w:val="38C57032"/>
    <w:rsid w:val="38D20FDC"/>
    <w:rsid w:val="38D81748"/>
    <w:rsid w:val="38E6372F"/>
    <w:rsid w:val="39032E08"/>
    <w:rsid w:val="39082777"/>
    <w:rsid w:val="39092830"/>
    <w:rsid w:val="390B799A"/>
    <w:rsid w:val="392216F6"/>
    <w:rsid w:val="392A281D"/>
    <w:rsid w:val="39BC5175"/>
    <w:rsid w:val="39D939B5"/>
    <w:rsid w:val="3A304178"/>
    <w:rsid w:val="3A3F02FA"/>
    <w:rsid w:val="3A670B14"/>
    <w:rsid w:val="3AD66154"/>
    <w:rsid w:val="3AFD09DD"/>
    <w:rsid w:val="3B060716"/>
    <w:rsid w:val="3B421CBB"/>
    <w:rsid w:val="3B477DC7"/>
    <w:rsid w:val="3B4F003C"/>
    <w:rsid w:val="3B5447A9"/>
    <w:rsid w:val="3B56235E"/>
    <w:rsid w:val="3B567E7E"/>
    <w:rsid w:val="3B85201F"/>
    <w:rsid w:val="3BAD52C5"/>
    <w:rsid w:val="3BBA118B"/>
    <w:rsid w:val="3BC37212"/>
    <w:rsid w:val="3C1C1216"/>
    <w:rsid w:val="3C530137"/>
    <w:rsid w:val="3C531B18"/>
    <w:rsid w:val="3C840267"/>
    <w:rsid w:val="3CCB4C57"/>
    <w:rsid w:val="3CEE590A"/>
    <w:rsid w:val="3D08378C"/>
    <w:rsid w:val="3D0B3FDE"/>
    <w:rsid w:val="3D616A4A"/>
    <w:rsid w:val="3D757831"/>
    <w:rsid w:val="3DB15B3B"/>
    <w:rsid w:val="3E72797C"/>
    <w:rsid w:val="3EA84F1C"/>
    <w:rsid w:val="3ED046F7"/>
    <w:rsid w:val="3ED25531"/>
    <w:rsid w:val="3ED3031F"/>
    <w:rsid w:val="3EE12B70"/>
    <w:rsid w:val="3EED747C"/>
    <w:rsid w:val="3EEE1387"/>
    <w:rsid w:val="3F0E7BE1"/>
    <w:rsid w:val="3F4F22C9"/>
    <w:rsid w:val="3F533FD6"/>
    <w:rsid w:val="3F7B2F87"/>
    <w:rsid w:val="3F7F6B99"/>
    <w:rsid w:val="3FAC0C39"/>
    <w:rsid w:val="3FC377CC"/>
    <w:rsid w:val="3FC54B59"/>
    <w:rsid w:val="3FD025A8"/>
    <w:rsid w:val="3FD76836"/>
    <w:rsid w:val="401A4E1E"/>
    <w:rsid w:val="4085325F"/>
    <w:rsid w:val="409A6309"/>
    <w:rsid w:val="40AC1636"/>
    <w:rsid w:val="40DB5779"/>
    <w:rsid w:val="40FA288E"/>
    <w:rsid w:val="412F09B5"/>
    <w:rsid w:val="412F4FFD"/>
    <w:rsid w:val="41385BD0"/>
    <w:rsid w:val="414A69FE"/>
    <w:rsid w:val="41843CE9"/>
    <w:rsid w:val="41937963"/>
    <w:rsid w:val="41E325EE"/>
    <w:rsid w:val="41F65DD1"/>
    <w:rsid w:val="4204222F"/>
    <w:rsid w:val="420A0C4E"/>
    <w:rsid w:val="42403984"/>
    <w:rsid w:val="426F4ABD"/>
    <w:rsid w:val="4299523A"/>
    <w:rsid w:val="42B238D5"/>
    <w:rsid w:val="43234FA2"/>
    <w:rsid w:val="432C7DFD"/>
    <w:rsid w:val="43316976"/>
    <w:rsid w:val="433E7DCE"/>
    <w:rsid w:val="4384418A"/>
    <w:rsid w:val="438B36CB"/>
    <w:rsid w:val="43D62C69"/>
    <w:rsid w:val="43D765EE"/>
    <w:rsid w:val="43F16F8E"/>
    <w:rsid w:val="441201E9"/>
    <w:rsid w:val="4414466D"/>
    <w:rsid w:val="441B6C38"/>
    <w:rsid w:val="445B5549"/>
    <w:rsid w:val="449F733A"/>
    <w:rsid w:val="44BC470B"/>
    <w:rsid w:val="44C574B6"/>
    <w:rsid w:val="44E62F40"/>
    <w:rsid w:val="4530313C"/>
    <w:rsid w:val="45347267"/>
    <w:rsid w:val="45530E68"/>
    <w:rsid w:val="4568397B"/>
    <w:rsid w:val="456F215D"/>
    <w:rsid w:val="457B2E8B"/>
    <w:rsid w:val="4582233F"/>
    <w:rsid w:val="45F17FE1"/>
    <w:rsid w:val="461A485B"/>
    <w:rsid w:val="46394FFE"/>
    <w:rsid w:val="46591A7A"/>
    <w:rsid w:val="469B11C2"/>
    <w:rsid w:val="46CF5731"/>
    <w:rsid w:val="46E34523"/>
    <w:rsid w:val="46FF28A5"/>
    <w:rsid w:val="47357F78"/>
    <w:rsid w:val="47640E18"/>
    <w:rsid w:val="47677E1E"/>
    <w:rsid w:val="4793318F"/>
    <w:rsid w:val="47C46E76"/>
    <w:rsid w:val="47CA593D"/>
    <w:rsid w:val="47F358CA"/>
    <w:rsid w:val="47F516DF"/>
    <w:rsid w:val="47FB5499"/>
    <w:rsid w:val="47FF723A"/>
    <w:rsid w:val="480C66BD"/>
    <w:rsid w:val="488F2E0E"/>
    <w:rsid w:val="48BE766F"/>
    <w:rsid w:val="48C84718"/>
    <w:rsid w:val="490A6717"/>
    <w:rsid w:val="49116F99"/>
    <w:rsid w:val="49367C73"/>
    <w:rsid w:val="49475ADB"/>
    <w:rsid w:val="497641FB"/>
    <w:rsid w:val="49AD4DDE"/>
    <w:rsid w:val="49CB101D"/>
    <w:rsid w:val="49D66182"/>
    <w:rsid w:val="49F00284"/>
    <w:rsid w:val="49F72C42"/>
    <w:rsid w:val="4A1B2106"/>
    <w:rsid w:val="4A2C36D5"/>
    <w:rsid w:val="4A437995"/>
    <w:rsid w:val="4A450805"/>
    <w:rsid w:val="4A53576C"/>
    <w:rsid w:val="4A5C6A2A"/>
    <w:rsid w:val="4A86545D"/>
    <w:rsid w:val="4AA536FB"/>
    <w:rsid w:val="4B120D6A"/>
    <w:rsid w:val="4B155D7E"/>
    <w:rsid w:val="4B1B0F75"/>
    <w:rsid w:val="4B3E7EA6"/>
    <w:rsid w:val="4B422EDB"/>
    <w:rsid w:val="4B4A7ED0"/>
    <w:rsid w:val="4B7D4971"/>
    <w:rsid w:val="4B826675"/>
    <w:rsid w:val="4BEC3E0D"/>
    <w:rsid w:val="4BF807E1"/>
    <w:rsid w:val="4C251CDA"/>
    <w:rsid w:val="4C2C7B7A"/>
    <w:rsid w:val="4C323AA7"/>
    <w:rsid w:val="4C766778"/>
    <w:rsid w:val="4CB23F8C"/>
    <w:rsid w:val="4CD94DBF"/>
    <w:rsid w:val="4CF60DEA"/>
    <w:rsid w:val="4D044C05"/>
    <w:rsid w:val="4D0E689A"/>
    <w:rsid w:val="4D8A7289"/>
    <w:rsid w:val="4D9608B3"/>
    <w:rsid w:val="4DB0441E"/>
    <w:rsid w:val="4DB709F4"/>
    <w:rsid w:val="4DC05441"/>
    <w:rsid w:val="4DDE0CC1"/>
    <w:rsid w:val="4DE41885"/>
    <w:rsid w:val="4E3A6050"/>
    <w:rsid w:val="4E592EF2"/>
    <w:rsid w:val="4E5E1A12"/>
    <w:rsid w:val="4E606CDA"/>
    <w:rsid w:val="4E87356F"/>
    <w:rsid w:val="4E8B22EB"/>
    <w:rsid w:val="4E967676"/>
    <w:rsid w:val="4F0172D3"/>
    <w:rsid w:val="4F20710F"/>
    <w:rsid w:val="4F4E3E05"/>
    <w:rsid w:val="4F913918"/>
    <w:rsid w:val="4FD8420E"/>
    <w:rsid w:val="4FE8616E"/>
    <w:rsid w:val="4FEE09FE"/>
    <w:rsid w:val="501C7A34"/>
    <w:rsid w:val="503C1750"/>
    <w:rsid w:val="5053496D"/>
    <w:rsid w:val="5087011D"/>
    <w:rsid w:val="508E49E6"/>
    <w:rsid w:val="509515D3"/>
    <w:rsid w:val="50C73EFD"/>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9D7BCC"/>
    <w:rsid w:val="53A96A73"/>
    <w:rsid w:val="53AD0249"/>
    <w:rsid w:val="53BA6A1D"/>
    <w:rsid w:val="53C32D25"/>
    <w:rsid w:val="53CD1EEA"/>
    <w:rsid w:val="53DD48C5"/>
    <w:rsid w:val="54475BFE"/>
    <w:rsid w:val="547701EF"/>
    <w:rsid w:val="547B6A27"/>
    <w:rsid w:val="54E7277C"/>
    <w:rsid w:val="54EC05F6"/>
    <w:rsid w:val="555B20FE"/>
    <w:rsid w:val="55826137"/>
    <w:rsid w:val="5585339C"/>
    <w:rsid w:val="558C476B"/>
    <w:rsid w:val="55987B87"/>
    <w:rsid w:val="55CC6ABE"/>
    <w:rsid w:val="55FD1930"/>
    <w:rsid w:val="568E0C3B"/>
    <w:rsid w:val="56953DF1"/>
    <w:rsid w:val="56AA5BAF"/>
    <w:rsid w:val="56C3071F"/>
    <w:rsid w:val="56DA0710"/>
    <w:rsid w:val="56FF22FB"/>
    <w:rsid w:val="570B22D5"/>
    <w:rsid w:val="570D54AE"/>
    <w:rsid w:val="574915F0"/>
    <w:rsid w:val="576C7199"/>
    <w:rsid w:val="57A91C76"/>
    <w:rsid w:val="57AA529B"/>
    <w:rsid w:val="58020D87"/>
    <w:rsid w:val="581F6951"/>
    <w:rsid w:val="58294434"/>
    <w:rsid w:val="582E7A3E"/>
    <w:rsid w:val="583379D8"/>
    <w:rsid w:val="5844757E"/>
    <w:rsid w:val="58844099"/>
    <w:rsid w:val="58846CA5"/>
    <w:rsid w:val="58AF156B"/>
    <w:rsid w:val="58E83EE2"/>
    <w:rsid w:val="58F31542"/>
    <w:rsid w:val="59174847"/>
    <w:rsid w:val="59247404"/>
    <w:rsid w:val="59322B8A"/>
    <w:rsid w:val="596E61DB"/>
    <w:rsid w:val="59816388"/>
    <w:rsid w:val="59831AB7"/>
    <w:rsid w:val="598A27CF"/>
    <w:rsid w:val="598C6C98"/>
    <w:rsid w:val="59BD3893"/>
    <w:rsid w:val="59D749C6"/>
    <w:rsid w:val="59D97E0E"/>
    <w:rsid w:val="59DB40B6"/>
    <w:rsid w:val="5A56676F"/>
    <w:rsid w:val="5A986B28"/>
    <w:rsid w:val="5AD46652"/>
    <w:rsid w:val="5AF40DEB"/>
    <w:rsid w:val="5B0815CE"/>
    <w:rsid w:val="5B0A0148"/>
    <w:rsid w:val="5B0C6F99"/>
    <w:rsid w:val="5B1A72CE"/>
    <w:rsid w:val="5B3642CA"/>
    <w:rsid w:val="5B413693"/>
    <w:rsid w:val="5BA86F9B"/>
    <w:rsid w:val="5BC54BFD"/>
    <w:rsid w:val="5BEE2798"/>
    <w:rsid w:val="5C0D48BF"/>
    <w:rsid w:val="5C1A328D"/>
    <w:rsid w:val="5C28147F"/>
    <w:rsid w:val="5C53010A"/>
    <w:rsid w:val="5C576DE7"/>
    <w:rsid w:val="5C5A25DE"/>
    <w:rsid w:val="5C671D13"/>
    <w:rsid w:val="5C88072E"/>
    <w:rsid w:val="5CA270F8"/>
    <w:rsid w:val="5CCE2517"/>
    <w:rsid w:val="5D003CCC"/>
    <w:rsid w:val="5D1B3176"/>
    <w:rsid w:val="5D2F679D"/>
    <w:rsid w:val="5D3B6304"/>
    <w:rsid w:val="5D3C3C86"/>
    <w:rsid w:val="5D466002"/>
    <w:rsid w:val="5D5C2DBD"/>
    <w:rsid w:val="5D84726F"/>
    <w:rsid w:val="5D8D5040"/>
    <w:rsid w:val="5DB12C6D"/>
    <w:rsid w:val="5DF86089"/>
    <w:rsid w:val="5E570355"/>
    <w:rsid w:val="5E654A3F"/>
    <w:rsid w:val="5E68070E"/>
    <w:rsid w:val="5E6A305B"/>
    <w:rsid w:val="5E701944"/>
    <w:rsid w:val="5E833B80"/>
    <w:rsid w:val="5EBA09EF"/>
    <w:rsid w:val="5ECC3544"/>
    <w:rsid w:val="5F0955F5"/>
    <w:rsid w:val="5F0E4D1D"/>
    <w:rsid w:val="5F1774BE"/>
    <w:rsid w:val="5F72450F"/>
    <w:rsid w:val="5FA63305"/>
    <w:rsid w:val="5FA67933"/>
    <w:rsid w:val="5FB16FE0"/>
    <w:rsid w:val="5FD06B1B"/>
    <w:rsid w:val="5FDD12ED"/>
    <w:rsid w:val="60166456"/>
    <w:rsid w:val="60214819"/>
    <w:rsid w:val="603440C9"/>
    <w:rsid w:val="604E1ADC"/>
    <w:rsid w:val="60590083"/>
    <w:rsid w:val="607A6D4F"/>
    <w:rsid w:val="608F7837"/>
    <w:rsid w:val="60E22A31"/>
    <w:rsid w:val="60F63A5C"/>
    <w:rsid w:val="61615891"/>
    <w:rsid w:val="618A53C3"/>
    <w:rsid w:val="61E360F6"/>
    <w:rsid w:val="62137AD9"/>
    <w:rsid w:val="62260CC7"/>
    <w:rsid w:val="62A551E6"/>
    <w:rsid w:val="62E16AB1"/>
    <w:rsid w:val="639107B4"/>
    <w:rsid w:val="63C441CF"/>
    <w:rsid w:val="63CB2D0B"/>
    <w:rsid w:val="63FB66E5"/>
    <w:rsid w:val="63FE5FFF"/>
    <w:rsid w:val="64186D6F"/>
    <w:rsid w:val="644756E6"/>
    <w:rsid w:val="646F1B1A"/>
    <w:rsid w:val="64A35E6B"/>
    <w:rsid w:val="64DE1782"/>
    <w:rsid w:val="64EC1EDD"/>
    <w:rsid w:val="6573187F"/>
    <w:rsid w:val="65D86A5F"/>
    <w:rsid w:val="65F8766D"/>
    <w:rsid w:val="660B7EAB"/>
    <w:rsid w:val="6622217F"/>
    <w:rsid w:val="663E3141"/>
    <w:rsid w:val="665D0A81"/>
    <w:rsid w:val="667F1C61"/>
    <w:rsid w:val="66971C08"/>
    <w:rsid w:val="66995B09"/>
    <w:rsid w:val="66A348B3"/>
    <w:rsid w:val="66BF75D6"/>
    <w:rsid w:val="66C85B35"/>
    <w:rsid w:val="66DC563F"/>
    <w:rsid w:val="66E43029"/>
    <w:rsid w:val="66EB5925"/>
    <w:rsid w:val="66EC040E"/>
    <w:rsid w:val="67080B3C"/>
    <w:rsid w:val="671E7493"/>
    <w:rsid w:val="67457487"/>
    <w:rsid w:val="67B21455"/>
    <w:rsid w:val="67EA458C"/>
    <w:rsid w:val="6824240E"/>
    <w:rsid w:val="6846106D"/>
    <w:rsid w:val="68627966"/>
    <w:rsid w:val="68AE1D98"/>
    <w:rsid w:val="68CA3EF1"/>
    <w:rsid w:val="693938FE"/>
    <w:rsid w:val="693C7828"/>
    <w:rsid w:val="69466F3B"/>
    <w:rsid w:val="69652A6D"/>
    <w:rsid w:val="698452BC"/>
    <w:rsid w:val="69A61B16"/>
    <w:rsid w:val="69C4214F"/>
    <w:rsid w:val="69F4652A"/>
    <w:rsid w:val="69F721E8"/>
    <w:rsid w:val="6A275063"/>
    <w:rsid w:val="6A462967"/>
    <w:rsid w:val="6A511BEE"/>
    <w:rsid w:val="6A7F671B"/>
    <w:rsid w:val="6AA3550E"/>
    <w:rsid w:val="6AFF7D85"/>
    <w:rsid w:val="6B110B94"/>
    <w:rsid w:val="6B1235AB"/>
    <w:rsid w:val="6B136E8C"/>
    <w:rsid w:val="6B2B6686"/>
    <w:rsid w:val="6B2C7DD1"/>
    <w:rsid w:val="6B77670B"/>
    <w:rsid w:val="6BDE7D3B"/>
    <w:rsid w:val="6BF5227B"/>
    <w:rsid w:val="6C0001A5"/>
    <w:rsid w:val="6C7478F0"/>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EB756A"/>
    <w:rsid w:val="6E0A330D"/>
    <w:rsid w:val="6E3D3A64"/>
    <w:rsid w:val="6E532497"/>
    <w:rsid w:val="6E7B7723"/>
    <w:rsid w:val="6E7D4622"/>
    <w:rsid w:val="6E9E421E"/>
    <w:rsid w:val="6EA31FFC"/>
    <w:rsid w:val="6EE67D23"/>
    <w:rsid w:val="6EEB573C"/>
    <w:rsid w:val="6EF7385A"/>
    <w:rsid w:val="6F2B1AF5"/>
    <w:rsid w:val="6F5826D7"/>
    <w:rsid w:val="6F792228"/>
    <w:rsid w:val="6FD35BC1"/>
    <w:rsid w:val="6FDC50BE"/>
    <w:rsid w:val="70016D36"/>
    <w:rsid w:val="70037035"/>
    <w:rsid w:val="70420083"/>
    <w:rsid w:val="70A63964"/>
    <w:rsid w:val="70B04223"/>
    <w:rsid w:val="70E36DDC"/>
    <w:rsid w:val="71444B25"/>
    <w:rsid w:val="71CB4F53"/>
    <w:rsid w:val="71E75595"/>
    <w:rsid w:val="7216505B"/>
    <w:rsid w:val="72183902"/>
    <w:rsid w:val="7224565F"/>
    <w:rsid w:val="72576835"/>
    <w:rsid w:val="7271615B"/>
    <w:rsid w:val="72A31C09"/>
    <w:rsid w:val="72B562B6"/>
    <w:rsid w:val="72C86DB1"/>
    <w:rsid w:val="72E757D8"/>
    <w:rsid w:val="72ED2C38"/>
    <w:rsid w:val="72F012F7"/>
    <w:rsid w:val="73157C8E"/>
    <w:rsid w:val="734857FD"/>
    <w:rsid w:val="734F33E9"/>
    <w:rsid w:val="73995063"/>
    <w:rsid w:val="73EA5CCC"/>
    <w:rsid w:val="73EC65FB"/>
    <w:rsid w:val="74377C6E"/>
    <w:rsid w:val="743C79D8"/>
    <w:rsid w:val="7470465D"/>
    <w:rsid w:val="747D1949"/>
    <w:rsid w:val="74986C2C"/>
    <w:rsid w:val="74AE0496"/>
    <w:rsid w:val="74C809A1"/>
    <w:rsid w:val="74F25284"/>
    <w:rsid w:val="75345FD2"/>
    <w:rsid w:val="7569155A"/>
    <w:rsid w:val="757E1028"/>
    <w:rsid w:val="759866DC"/>
    <w:rsid w:val="75B84A2E"/>
    <w:rsid w:val="75FC18AA"/>
    <w:rsid w:val="76035CE5"/>
    <w:rsid w:val="76037830"/>
    <w:rsid w:val="760571DD"/>
    <w:rsid w:val="762F62EA"/>
    <w:rsid w:val="764F40A7"/>
    <w:rsid w:val="76903E81"/>
    <w:rsid w:val="76D6393A"/>
    <w:rsid w:val="76E131CF"/>
    <w:rsid w:val="77163716"/>
    <w:rsid w:val="77192618"/>
    <w:rsid w:val="775C3009"/>
    <w:rsid w:val="775C6866"/>
    <w:rsid w:val="776F63DA"/>
    <w:rsid w:val="77793B9E"/>
    <w:rsid w:val="77AF0743"/>
    <w:rsid w:val="77AF42F0"/>
    <w:rsid w:val="77F45ACF"/>
    <w:rsid w:val="780B7EDB"/>
    <w:rsid w:val="783F63E3"/>
    <w:rsid w:val="784F6427"/>
    <w:rsid w:val="78720FB5"/>
    <w:rsid w:val="789C15C7"/>
    <w:rsid w:val="78F5504B"/>
    <w:rsid w:val="78FE2189"/>
    <w:rsid w:val="79141699"/>
    <w:rsid w:val="79185435"/>
    <w:rsid w:val="796D4195"/>
    <w:rsid w:val="79716D03"/>
    <w:rsid w:val="798F3492"/>
    <w:rsid w:val="79953E2A"/>
    <w:rsid w:val="79971C36"/>
    <w:rsid w:val="79CA63ED"/>
    <w:rsid w:val="7A2B5634"/>
    <w:rsid w:val="7A4A6FE5"/>
    <w:rsid w:val="7A5A52FD"/>
    <w:rsid w:val="7A683935"/>
    <w:rsid w:val="7ACE4BD1"/>
    <w:rsid w:val="7B46422A"/>
    <w:rsid w:val="7BAD5E10"/>
    <w:rsid w:val="7BF75127"/>
    <w:rsid w:val="7C041C0D"/>
    <w:rsid w:val="7C0D30F3"/>
    <w:rsid w:val="7C161814"/>
    <w:rsid w:val="7C2F22A8"/>
    <w:rsid w:val="7C3E42F9"/>
    <w:rsid w:val="7CBB4A68"/>
    <w:rsid w:val="7CE36824"/>
    <w:rsid w:val="7D00040B"/>
    <w:rsid w:val="7D15441B"/>
    <w:rsid w:val="7D274188"/>
    <w:rsid w:val="7D627ECC"/>
    <w:rsid w:val="7D660184"/>
    <w:rsid w:val="7D803F37"/>
    <w:rsid w:val="7D8E1AFA"/>
    <w:rsid w:val="7D9635FC"/>
    <w:rsid w:val="7DBC3E68"/>
    <w:rsid w:val="7E7B2E05"/>
    <w:rsid w:val="7E92054B"/>
    <w:rsid w:val="7EA44361"/>
    <w:rsid w:val="7EC420A2"/>
    <w:rsid w:val="7EC54808"/>
    <w:rsid w:val="7F031696"/>
    <w:rsid w:val="7F045826"/>
    <w:rsid w:val="7F1067B0"/>
    <w:rsid w:val="7F156E60"/>
    <w:rsid w:val="7F2F16BD"/>
    <w:rsid w:val="7F6840C9"/>
    <w:rsid w:val="7F7C1C99"/>
    <w:rsid w:val="7FBF1C69"/>
    <w:rsid w:val="7FC0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ind w:firstLine="880" w:firstLineChars="200"/>
    </w:pPr>
    <w:rPr>
      <w:rFonts w:ascii="仿宋_GB2312" w:hAnsi="仿宋_GB2312" w:eastAsia="仿宋_GB2312" w:cs="Arial"/>
      <w:sz w:val="32"/>
      <w:szCs w:val="20"/>
    </w:rPr>
  </w:style>
  <w:style w:type="paragraph" w:styleId="4">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5">
    <w:name w:val="Plain Text"/>
    <w:basedOn w:val="1"/>
    <w:qFormat/>
    <w:uiPriority w:val="0"/>
    <w:rPr>
      <w:rFonts w:ascii="宋体" w:hAnsi="Courier New"/>
      <w:szCs w:val="20"/>
    </w:rPr>
  </w:style>
  <w:style w:type="paragraph" w:styleId="6">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引言二级条标题"/>
    <w:basedOn w:val="11"/>
    <w:next w:val="12"/>
    <w:qFormat/>
    <w:uiPriority w:val="0"/>
    <w:pPr>
      <w:ind w:left="0" w:firstLine="0"/>
    </w:pPr>
    <w:rPr>
      <w:rFonts w:ascii="Times New Roman" w:hAnsi="Times New Roman" w:eastAsia="宋体" w:cs="Times New Roman"/>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bsj_tanzili</dc:creator>
  <cp:lastModifiedBy>00030567_cgy</cp:lastModifiedBy>
  <dcterms:modified xsi:type="dcterms:W3CDTF">2024-08-02T02:37:59Z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77CCAC305DB3443691F3ED93AF834671</vt:lpwstr>
  </property>
</Properties>
</file>