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color w:val="auto"/>
          <w:sz w:val="44"/>
          <w:szCs w:val="44"/>
          <w:lang w:val="en-US" w:eastAsia="zh-CN"/>
        </w:rPr>
      </w:pPr>
      <w:r>
        <w:rPr>
          <w:rFonts w:hint="default" w:ascii="Times New Roman" w:hAnsi="Times New Roman" w:cs="Times New Roman"/>
          <w:color w:val="auto"/>
          <w:sz w:val="44"/>
          <w:szCs w:val="44"/>
          <w:lang w:val="en-US" w:eastAsia="zh-CN"/>
        </w:rPr>
        <w:t>百色局</w:t>
      </w:r>
      <w:r>
        <w:rPr>
          <w:rFonts w:hint="eastAsia" w:ascii="Times New Roman" w:hAnsi="Times New Roman" w:cs="Times New Roman"/>
          <w:color w:val="auto"/>
          <w:sz w:val="44"/>
          <w:szCs w:val="44"/>
          <w:lang w:val="en-US" w:eastAsia="zh-CN"/>
        </w:rPr>
        <w:t>零星采购项目技术要求附件</w:t>
      </w:r>
    </w:p>
    <w:p>
      <w:pPr>
        <w:pStyle w:val="2"/>
        <w:ind w:left="0" w:leftChars="0" w:firstLine="0" w:firstLineChars="0"/>
        <w:jc w:val="left"/>
        <w:rPr>
          <w:rFonts w:hint="default"/>
          <w:color w:val="auto"/>
          <w:spacing w:val="-28"/>
          <w:lang w:val="en-US" w:eastAsia="zh-CN"/>
        </w:rPr>
      </w:pPr>
      <w:r>
        <w:rPr>
          <w:rFonts w:hint="eastAsia" w:ascii="Times New Roman" w:hAnsi="Times New Roman" w:cs="Times New Roman"/>
          <w:color w:val="auto"/>
          <w:spacing w:val="-28"/>
          <w:sz w:val="44"/>
          <w:szCs w:val="44"/>
          <w:lang w:val="en-US" w:eastAsia="zh-CN"/>
        </w:rPr>
        <w:t>（百色局2024年第一批职工技术创新项目-基于接地网智能检测及腐蚀定位技术研究零星采购项目）</w:t>
      </w:r>
    </w:p>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highlight w:val="none"/>
                <w:u w:val="none"/>
                <w:lang w:val="en-US" w:eastAsia="zh-CN" w:bidi="ar-SA"/>
              </w:rPr>
            </w:pPr>
            <w:r>
              <w:rPr>
                <w:rFonts w:hint="eastAsia" w:asciiTheme="minorEastAsia" w:hAnsiTheme="minorEastAsia" w:eastAsiaTheme="minorEastAsia" w:cstheme="minorEastAsia"/>
                <w:i w:val="0"/>
                <w:iCs w:val="0"/>
                <w:color w:val="auto"/>
                <w:sz w:val="28"/>
                <w:szCs w:val="28"/>
                <w:highlight w:val="none"/>
                <w:u w:val="none"/>
                <w:lang w:eastAsia="zh-CN"/>
              </w:rPr>
              <w:t>资格</w:t>
            </w:r>
            <w:r>
              <w:rPr>
                <w:rFonts w:hint="eastAsia" w:asciiTheme="minorEastAsia" w:hAnsiTheme="minorEastAsia" w:cstheme="minorEastAsia"/>
                <w:i w:val="0"/>
                <w:iCs w:val="0"/>
                <w:color w:val="auto"/>
                <w:sz w:val="28"/>
                <w:szCs w:val="28"/>
                <w:highlight w:val="none"/>
                <w:u w:val="none"/>
                <w:lang w:eastAsia="zh-CN"/>
              </w:rPr>
              <w:t>资质</w:t>
            </w:r>
            <w:r>
              <w:rPr>
                <w:rFonts w:hint="eastAsia" w:asciiTheme="minorEastAsia" w:hAnsiTheme="minorEastAsia" w:eastAsiaTheme="minorEastAsia" w:cstheme="minorEastAsia"/>
                <w:i w:val="0"/>
                <w:iCs w:val="0"/>
                <w:color w:val="auto"/>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具有独立法人资格且为中华人民共和国境内注册的法人，持有合法有效的企业法人营业执照、组织机构代码证、税务登记证或有工商行政管理部门核发统一社会信用代码的企业法人营业执照；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bl>
    <w:p>
      <w:pPr>
        <w:numPr>
          <w:ilvl w:val="0"/>
          <w:numId w:val="1"/>
        </w:numPr>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应成立项目研发组，并提供项目研发组机构组成表。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项目研发阶段不做限制，成果交付试用应在百色局所辖线路范围内开展。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2024年1</w:t>
            </w:r>
            <w:r>
              <w:rPr>
                <w:rFonts w:hint="eastAsia" w:asciiTheme="minorEastAsia" w:hAnsiTheme="minorEastAsia" w:cstheme="minorEastAsia"/>
                <w:color w:val="auto"/>
                <w:sz w:val="24"/>
                <w:szCs w:val="24"/>
                <w:vertAlign w:val="baseline"/>
                <w:lang w:val="en-US" w:eastAsia="zh-CN"/>
              </w:rPr>
              <w:t>2</w:t>
            </w:r>
            <w:r>
              <w:rPr>
                <w:rFonts w:hint="eastAsia" w:asciiTheme="minorEastAsia" w:hAnsiTheme="minorEastAsia" w:eastAsiaTheme="minorEastAsia" w:cstheme="minorEastAsia"/>
                <w:color w:val="auto"/>
                <w:sz w:val="24"/>
                <w:szCs w:val="24"/>
                <w:vertAlign w:val="baseline"/>
                <w:lang w:val="en-US" w:eastAsia="zh-CN"/>
              </w:rPr>
              <w:t>月</w:t>
            </w:r>
            <w:r>
              <w:rPr>
                <w:rFonts w:hint="eastAsia" w:asciiTheme="minorEastAsia" w:hAnsiTheme="minorEastAsia" w:cstheme="minorEastAsia"/>
                <w:color w:val="auto"/>
                <w:sz w:val="24"/>
                <w:szCs w:val="24"/>
                <w:vertAlign w:val="baseline"/>
                <w:lang w:val="en-US" w:eastAsia="zh-CN"/>
              </w:rPr>
              <w:t>31日前。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需提供符合规定税率的全额发票。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ascii="宋体" w:hAnsi="宋体" w:eastAsia="宋体" w:cs="宋体"/>
                <w:sz w:val="24"/>
                <w:szCs w:val="24"/>
              </w:rPr>
              <w:t>项目研制服务完成且</w:t>
            </w:r>
            <w:r>
              <w:rPr>
                <w:rFonts w:hint="eastAsia" w:asciiTheme="minorEastAsia" w:hAnsiTheme="minorEastAsia" w:eastAsiaTheme="minorEastAsia" w:cstheme="minorEastAsia"/>
                <w:color w:val="auto"/>
                <w:sz w:val="24"/>
                <w:szCs w:val="24"/>
                <w:vertAlign w:val="baseline"/>
                <w:lang w:val="en-US" w:eastAsia="zh-CN"/>
              </w:rPr>
              <w:t>超高压输电公司百色局</w:t>
            </w:r>
            <w:r>
              <w:rPr>
                <w:rFonts w:hint="eastAsia" w:ascii="宋体" w:hAnsi="宋体" w:eastAsia="宋体" w:cs="宋体"/>
                <w:sz w:val="24"/>
                <w:szCs w:val="24"/>
                <w:lang w:eastAsia="zh-CN"/>
              </w:rPr>
              <w:t>经</w:t>
            </w:r>
            <w:r>
              <w:rPr>
                <w:rFonts w:ascii="宋体" w:hAnsi="宋体" w:eastAsia="宋体" w:cs="宋体"/>
                <w:sz w:val="24"/>
                <w:szCs w:val="24"/>
              </w:rPr>
              <w:t>验收通过后，</w:t>
            </w:r>
            <w:r>
              <w:rPr>
                <w:rFonts w:hint="eastAsia" w:ascii="宋体" w:hAnsi="宋体" w:eastAsia="宋体" w:cs="宋体"/>
                <w:sz w:val="24"/>
                <w:szCs w:val="24"/>
                <w:lang w:eastAsia="zh-CN"/>
              </w:rPr>
              <w:t>向</w:t>
            </w:r>
            <w:r>
              <w:rPr>
                <w:rFonts w:hint="eastAsia" w:asciiTheme="minorEastAsia" w:hAnsiTheme="minorEastAsia" w:eastAsiaTheme="minorEastAsia" w:cstheme="minorEastAsia"/>
                <w:color w:val="auto"/>
                <w:sz w:val="24"/>
                <w:szCs w:val="24"/>
                <w:vertAlign w:val="baseline"/>
                <w:lang w:val="en-US" w:eastAsia="zh-CN"/>
              </w:rPr>
              <w:t>超高压输电公司百色局</w:t>
            </w:r>
            <w:r>
              <w:rPr>
                <w:rFonts w:ascii="宋体" w:hAnsi="宋体" w:eastAsia="宋体" w:cs="宋体"/>
                <w:sz w:val="24"/>
                <w:szCs w:val="24"/>
              </w:rPr>
              <w:t>提供全额发票，收到全额发票后，60日内一次性支付全部费用。</w:t>
            </w:r>
            <w:bookmarkStart w:id="3" w:name="_GoBack"/>
            <w:bookmarkEnd w:id="3"/>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项目研发阶段不做限制，成果交付试用应提供上门服务。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w:t>
            </w:r>
            <w:r>
              <w:rPr>
                <w:rFonts w:hint="eastAsia" w:asciiTheme="minorEastAsia" w:hAnsiTheme="minorEastAsia" w:cstheme="minorEastAsia"/>
                <w:color w:val="auto"/>
                <w:sz w:val="24"/>
                <w:szCs w:val="24"/>
                <w:vertAlign w:val="baseline"/>
                <w:lang w:val="en-US" w:eastAsia="zh-CN"/>
              </w:rPr>
              <w:t>三</w:t>
            </w:r>
            <w:r>
              <w:rPr>
                <w:rFonts w:hint="eastAsia" w:asciiTheme="minorEastAsia" w:hAnsiTheme="minorEastAsia" w:eastAsiaTheme="minorEastAsia" w:cstheme="minorEastAsia"/>
                <w:color w:val="auto"/>
                <w:sz w:val="24"/>
                <w:szCs w:val="24"/>
                <w:vertAlign w:val="baseline"/>
                <w:lang w:val="en-US" w:eastAsia="zh-CN"/>
              </w:rPr>
              <w:t>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val="en-US" w:eastAsia="zh-CN"/>
              </w:rPr>
              <w:t>9</w:t>
            </w:r>
            <w:r>
              <w:rPr>
                <w:rFonts w:hint="eastAsia" w:asciiTheme="minorEastAsia" w:hAnsiTheme="minorEastAsia" w:eastAsiaTheme="minorEastAsia" w:cstheme="minorEastAsia"/>
                <w:b/>
                <w:bCs/>
                <w:color w:val="auto"/>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报价包含所需全部费用</w:t>
            </w:r>
            <w:r>
              <w:rPr>
                <w:rFonts w:hint="eastAsia" w:asciiTheme="minorEastAsia" w:hAnsiTheme="minorEastAsia" w:cstheme="minorEastAsia"/>
                <w:color w:val="auto"/>
                <w:sz w:val="24"/>
                <w:szCs w:val="24"/>
                <w:vertAlign w:val="baseline"/>
                <w:lang w:val="en-US" w:eastAsia="zh-CN"/>
              </w:rPr>
              <w:t>。</w:t>
            </w:r>
          </w:p>
        </w:tc>
      </w:tr>
    </w:tbl>
    <w:p>
      <w:pPr>
        <w:numPr>
          <w:ilvl w:val="0"/>
          <w:numId w:val="1"/>
        </w:numPr>
        <w:ind w:left="0" w:leftChars="0" w:firstLine="0" w:firstLineChars="0"/>
        <w:jc w:val="both"/>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sz w:val="28"/>
                <w:szCs w:val="28"/>
                <w:u w:val="none"/>
                <w:lang w:eastAsia="zh-CN"/>
              </w:rPr>
              <w:t>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1.技术服务内容（含工作量）：</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1)开展柔性可绕式电流感应线圈的技术研究。设计一款高精度感应电流线圈，精敏度为2%±0.5mA将线圈输电线路杆塔的每个塔腿之上，最佳位置放于每个塔腿连接交界处，系统智能计算电压和电流比值。</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2)开展接地电阻智能计算系统技术研究。接地电阻智能计算系统由信号输入端、感应电流信息采集模块、接地电阻智能计算模块、辅助电极、数据存储及信号输出组成。感应电流信息采集模块接受到感应电流值，并智能计算和合并电流值，智能计算模块通过辅助电极计算出感应电压值的大小，通过输入的感应电流值，计算电阻值，即为接地电阻值。</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3)开展同频同相位高能自激发互感器测量及计算方法研究，设计相应的现场检测设备及检测方法，实现了接地系统接地阻抗快速测量，无需开挖及拆解引下线，彻底改变传统接地电阻测量方法。</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4)开展地网腐蚀状态检测电路的研究，设计能够同时检测接地网引流导通状态的单元。通过电流互感线圈进行信号的传递，可使得接地网上的16个节点连接线上耦合出不同的电流信号，分别测量各节点上电流值的有效值，精准计算得出16个节点间的电阻值，综合应用数字孪生技术形象化展示接地网各节点电阻值和变化趋势。</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5)建立接地网支路腐蚀故障诊断方程，结合粒子群优化算法和二次规划进行单步求解，将求解结果进行迭代求解运算得到实际的支路电阻值，取代传统任意两个节点之间电阻值小于50m检测方法的判断标准，根据最终的结果实现接地网腐蚀程度的定位和诊断。</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6)通过分析接地网各节点间电阻值的变化趋势，建立以图论算法为主、层次分析法为辅的数学模型算法，将接地网不同电阻值的节点划分不同的子集，优化强连通节点和双连通节点、割点和桥的集合，作出接地网无向分布图，代入层次分析法，为不同的子集对象赋予不同的权重值，对不同的节点进行定量分析，综合考虑土壤潮湿度和土壤腐蚀性离子浓度，将总的目标电阻值与各节点间的电阻值分解为不同的层次结构，最后通过加权计算和递归合并分析，得出接地网严重腐蚀节点的定位。</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7)开展基于VBA和GDI技术的接地网的便捷建模方法。根据输电线路接地网图纸和现场实际运行设备的接地引线，将接地网等效成多端口的纯电阻网络，基于VBA和GDI技术进行接地网主架构、接地引流单元、地上架构的模型搭建，实现将实际接地网转换为计算机识别的节点、支路电阻等电路参数，大幅提升输电线路接地网模型搭建效率。</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8)开展基于电磁理论、二次规划和粒子群智能优化算法的接地网故障的精准定位方法。利用特勒根定理、基尔霍夫理论建立接地网支路腐蚀故障诊断方程，结合粒子群优化算法和二次规划进行单步求解，将求解结果进行迭代求解运算得到实际的支路电阻值。根据最终的结果进行接地网腐蚀程度的定位和诊断。</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①交付接地网智能检测及腐蚀定位装置1套。</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②交付接地网智能检测及腐蚀定位技术研究报告1份。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①、基于接地网智能检测及腐蚀定位装置，能够精准定位地网腐蚀位置及情况，并通过百色局组成的验收小组验收。</w:t>
            </w:r>
            <w:r>
              <w:rPr>
                <w:rFonts w:hint="eastAsia" w:asciiTheme="minorEastAsia" w:hAnsiTheme="minorEastAsia" w:eastAsiaTheme="minorEastAsia" w:cstheme="minorEastAsia"/>
                <w:color w:val="auto"/>
                <w:sz w:val="24"/>
                <w:szCs w:val="24"/>
                <w:vertAlign w:val="baseline"/>
                <w:lang w:val="en-US" w:eastAsia="zh-CN"/>
              </w:rPr>
              <w:br w:type="textWrapping"/>
            </w:r>
            <w:r>
              <w:rPr>
                <w:rFonts w:hint="eastAsia" w:asciiTheme="minorEastAsia" w:hAnsiTheme="minorEastAsia" w:eastAsiaTheme="minorEastAsia" w:cstheme="minorEastAsia"/>
                <w:color w:val="auto"/>
                <w:sz w:val="24"/>
                <w:szCs w:val="24"/>
                <w:vertAlign w:val="baseline"/>
                <w:lang w:val="en-US" w:eastAsia="zh-CN"/>
              </w:rPr>
              <w:t>②、基于接地网智能检测及腐蚀定位技术研究报告，需通过百色局组成的验收小组验收。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p>
        </w:tc>
      </w:tr>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bookmarkStart w:id="0" w:name="_Toc432171539"/>
      <w:bookmarkStart w:id="1" w:name="_Toc351322324"/>
      <w:bookmarkStart w:id="2" w:name="_Toc350159239"/>
      <w:r>
        <w:rPr>
          <w:rFonts w:hint="eastAsia" w:asciiTheme="minorEastAsia" w:hAnsiTheme="minorEastAsia" w:eastAsiaTheme="minorEastAsia" w:cstheme="minorEastAsia"/>
          <w:b/>
          <w:bCs/>
          <w:color w:val="auto"/>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5"/>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eastAsiaTheme="minorEastAsia" w:cstheme="minorEastAsia"/>
                <w:color w:val="auto"/>
                <w:sz w:val="24"/>
                <w:szCs w:val="24"/>
                <w:vertAlign w:val="baseline"/>
                <w:lang w:val="en-US" w:eastAsia="zh-CN"/>
              </w:rPr>
              <w:t>①、基于接地网智能检测及腐蚀定位装置及技术研究</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cstheme="minorEastAsia"/>
                <w:i w:val="0"/>
                <w:iCs w:val="0"/>
                <w:color w:val="auto"/>
                <w:kern w:val="0"/>
                <w:sz w:val="22"/>
                <w:szCs w:val="22"/>
                <w:highlight w:val="none"/>
                <w:u w:val="none"/>
                <w:lang w:val="en-US" w:eastAsia="zh-CN" w:bidi="ar"/>
              </w:rPr>
              <w:t>项</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2"/>
                <w:szCs w:val="22"/>
                <w:highlight w:val="none"/>
                <w:u w:val="none"/>
                <w:lang w:val="en-US" w:eastAsia="zh-CN" w:bidi="ar"/>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bookmarkEnd w:id="0"/>
      <w:bookmarkEnd w:id="1"/>
      <w:bookmarkEnd w:id="2"/>
    </w:tbl>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需提交的证明文件</w:t>
      </w:r>
    </w:p>
    <w:p>
      <w:pPr>
        <w:pStyle w:val="2"/>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val="0"/>
          <w:bCs w:val="0"/>
          <w:color w:val="auto"/>
          <w:kern w:val="44"/>
          <w:sz w:val="28"/>
          <w:szCs w:val="28"/>
          <w:highlight w:val="none"/>
          <w:lang w:val="en-US" w:eastAsia="zh-CN" w:bidi="ar-SA"/>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70EB3"/>
    <w:rsid w:val="04C4307A"/>
    <w:rsid w:val="054669C7"/>
    <w:rsid w:val="05796A56"/>
    <w:rsid w:val="05823FBF"/>
    <w:rsid w:val="058468CE"/>
    <w:rsid w:val="059F10A0"/>
    <w:rsid w:val="05A41843"/>
    <w:rsid w:val="060A120F"/>
    <w:rsid w:val="061311DF"/>
    <w:rsid w:val="061458DF"/>
    <w:rsid w:val="061958D7"/>
    <w:rsid w:val="061E030F"/>
    <w:rsid w:val="06836CF3"/>
    <w:rsid w:val="06970A6E"/>
    <w:rsid w:val="06A12946"/>
    <w:rsid w:val="06A35579"/>
    <w:rsid w:val="074269CD"/>
    <w:rsid w:val="076127A5"/>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FC67E8"/>
    <w:rsid w:val="0D307151"/>
    <w:rsid w:val="0D3B2462"/>
    <w:rsid w:val="0DB6219C"/>
    <w:rsid w:val="0DC13D8A"/>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23839"/>
    <w:rsid w:val="185138C0"/>
    <w:rsid w:val="189F058B"/>
    <w:rsid w:val="18D97540"/>
    <w:rsid w:val="19297752"/>
    <w:rsid w:val="196F285C"/>
    <w:rsid w:val="19761FB7"/>
    <w:rsid w:val="198829AE"/>
    <w:rsid w:val="19CD3FB4"/>
    <w:rsid w:val="19D94077"/>
    <w:rsid w:val="19F14852"/>
    <w:rsid w:val="1A061791"/>
    <w:rsid w:val="1A2A76BA"/>
    <w:rsid w:val="1A816311"/>
    <w:rsid w:val="1AE96166"/>
    <w:rsid w:val="1AF2575E"/>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EA35EF"/>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4C14C0"/>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2F0E"/>
    <w:rsid w:val="2D1D4246"/>
    <w:rsid w:val="2D3F144E"/>
    <w:rsid w:val="2DA57572"/>
    <w:rsid w:val="2DAB7387"/>
    <w:rsid w:val="2E317F75"/>
    <w:rsid w:val="2E434F68"/>
    <w:rsid w:val="2E725AC4"/>
    <w:rsid w:val="2EAB14E3"/>
    <w:rsid w:val="2F1828EE"/>
    <w:rsid w:val="2F4239BC"/>
    <w:rsid w:val="2F4D79F2"/>
    <w:rsid w:val="2F680110"/>
    <w:rsid w:val="2F722747"/>
    <w:rsid w:val="2F991EEF"/>
    <w:rsid w:val="2FA36714"/>
    <w:rsid w:val="2FAD1162"/>
    <w:rsid w:val="2FC87DCD"/>
    <w:rsid w:val="2FEB6C42"/>
    <w:rsid w:val="2FF07082"/>
    <w:rsid w:val="300A0067"/>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536793"/>
    <w:rsid w:val="34615900"/>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DB5779"/>
    <w:rsid w:val="40FA288E"/>
    <w:rsid w:val="412F09B5"/>
    <w:rsid w:val="412F4FFD"/>
    <w:rsid w:val="41385BD0"/>
    <w:rsid w:val="414A69FE"/>
    <w:rsid w:val="41843CE9"/>
    <w:rsid w:val="41937963"/>
    <w:rsid w:val="41E325EE"/>
    <w:rsid w:val="41F65DD1"/>
    <w:rsid w:val="4204222F"/>
    <w:rsid w:val="420A0C4E"/>
    <w:rsid w:val="42403984"/>
    <w:rsid w:val="426F4ABD"/>
    <w:rsid w:val="4299523A"/>
    <w:rsid w:val="42B238D5"/>
    <w:rsid w:val="43234FA2"/>
    <w:rsid w:val="432C7DFD"/>
    <w:rsid w:val="43316976"/>
    <w:rsid w:val="433E7DCE"/>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667940"/>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4E3E05"/>
    <w:rsid w:val="4F913918"/>
    <w:rsid w:val="4FD8420E"/>
    <w:rsid w:val="4FE8616E"/>
    <w:rsid w:val="4FEE09FE"/>
    <w:rsid w:val="501C7A34"/>
    <w:rsid w:val="503C1750"/>
    <w:rsid w:val="5053496D"/>
    <w:rsid w:val="5087011D"/>
    <w:rsid w:val="508E49E6"/>
    <w:rsid w:val="509515D3"/>
    <w:rsid w:val="50C73EFD"/>
    <w:rsid w:val="50FC442C"/>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DA0710"/>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413693"/>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B6304"/>
    <w:rsid w:val="5D3C3C86"/>
    <w:rsid w:val="5D466002"/>
    <w:rsid w:val="5D5C2DBD"/>
    <w:rsid w:val="5D84726F"/>
    <w:rsid w:val="5D8D5040"/>
    <w:rsid w:val="5DB12C6D"/>
    <w:rsid w:val="5DF86089"/>
    <w:rsid w:val="5E570355"/>
    <w:rsid w:val="5E654A3F"/>
    <w:rsid w:val="5E68070E"/>
    <w:rsid w:val="5E6A305B"/>
    <w:rsid w:val="5E701944"/>
    <w:rsid w:val="5E833B80"/>
    <w:rsid w:val="5EBA09EF"/>
    <w:rsid w:val="5ECC3544"/>
    <w:rsid w:val="5F0955F5"/>
    <w:rsid w:val="5F0E4D1D"/>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615891"/>
    <w:rsid w:val="618A53C3"/>
    <w:rsid w:val="61E360F6"/>
    <w:rsid w:val="62137AD9"/>
    <w:rsid w:val="62154579"/>
    <w:rsid w:val="62260CC7"/>
    <w:rsid w:val="62A551E6"/>
    <w:rsid w:val="62E16AB1"/>
    <w:rsid w:val="639107B4"/>
    <w:rsid w:val="63C441CF"/>
    <w:rsid w:val="63CB2D0B"/>
    <w:rsid w:val="63FB66E5"/>
    <w:rsid w:val="63FE5FFF"/>
    <w:rsid w:val="64186D6F"/>
    <w:rsid w:val="644756E6"/>
    <w:rsid w:val="646F1B1A"/>
    <w:rsid w:val="64A35E6B"/>
    <w:rsid w:val="64DE1782"/>
    <w:rsid w:val="64EC1EDD"/>
    <w:rsid w:val="6573187F"/>
    <w:rsid w:val="65DC2687"/>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AE1D98"/>
    <w:rsid w:val="68CA3EF1"/>
    <w:rsid w:val="693938FE"/>
    <w:rsid w:val="693C7828"/>
    <w:rsid w:val="69466F3B"/>
    <w:rsid w:val="69652A6D"/>
    <w:rsid w:val="698452BC"/>
    <w:rsid w:val="69A61B16"/>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836BBD120CED40A088BFE9698A49BD43</cp:lastModifiedBy>
  <dcterms:modified xsi:type="dcterms:W3CDTF">2024-08-02T09:00:32Z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EB6D602A431A4CD1A24B421D9F2D60E7</vt:lpwstr>
  </property>
</Properties>
</file>