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b/>
          <w:bCs/>
          <w:sz w:val="36"/>
          <w:szCs w:val="36"/>
        </w:rPr>
      </w:pPr>
      <w:r>
        <w:rPr>
          <w:rFonts w:hint="eastAsia" w:ascii="宋体" w:hAnsi="宋体" w:eastAsia="宋体"/>
          <w:b/>
          <w:bCs/>
          <w:sz w:val="36"/>
          <w:szCs w:val="36"/>
        </w:rPr>
        <w:t>云南送变电工程有限公司2024年特征库升级及硬件质保延期服务采购项目技术规范书</w:t>
      </w:r>
    </w:p>
    <w:p>
      <w:pPr>
        <w:numPr>
          <w:ilvl w:val="0"/>
          <w:numId w:val="1"/>
        </w:numPr>
        <w:spacing w:line="360" w:lineRule="auto"/>
        <w:rPr>
          <w:rFonts w:hint="eastAsia" w:ascii="宋体" w:hAnsi="宋体" w:eastAsia="宋体"/>
          <w:b/>
          <w:bCs/>
          <w:sz w:val="30"/>
          <w:szCs w:val="30"/>
        </w:rPr>
      </w:pPr>
      <w:r>
        <w:rPr>
          <w:rFonts w:hint="eastAsia" w:ascii="宋体" w:hAnsi="宋体" w:eastAsia="宋体"/>
          <w:b/>
          <w:bCs/>
          <w:sz w:val="30"/>
          <w:szCs w:val="30"/>
        </w:rPr>
        <w:t>采购清单及供货要求</w:t>
      </w:r>
    </w:p>
    <w:p>
      <w:pPr>
        <w:spacing w:line="360" w:lineRule="auto"/>
        <w:ind w:firstLine="480" w:firstLineChars="200"/>
        <w:rPr>
          <w:rFonts w:hint="eastAsia"/>
          <w:b/>
          <w:bCs/>
          <w:sz w:val="24"/>
          <w:szCs w:val="24"/>
        </w:rPr>
      </w:pPr>
      <w:r>
        <w:rPr>
          <w:rFonts w:hint="eastAsia"/>
          <w:sz w:val="24"/>
          <w:szCs w:val="24"/>
        </w:rPr>
        <w:t>针对云南送变电工程有限公司2024年特征库升级及硬件质保延期服务采购项目的供货一览表如下：</w:t>
      </w:r>
    </w:p>
    <w:tbl>
      <w:tblPr>
        <w:tblStyle w:val="6"/>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62"/>
        <w:gridCol w:w="2673"/>
        <w:gridCol w:w="1068"/>
        <w:gridCol w:w="1467"/>
        <w:gridCol w:w="1623"/>
        <w:gridCol w:w="25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3" w:hRule="atLeast"/>
          <w:jc w:val="center"/>
        </w:trPr>
        <w:tc>
          <w:tcPr>
            <w:tcW w:w="510"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序号</w:t>
            </w:r>
          </w:p>
        </w:tc>
        <w:tc>
          <w:tcPr>
            <w:tcW w:w="1284"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服务内容</w:t>
            </w:r>
          </w:p>
        </w:tc>
        <w:tc>
          <w:tcPr>
            <w:tcW w:w="513" w:type="pct"/>
            <w:shd w:val="clear" w:color="auto" w:fill="D8D8D8" w:themeFill="background1" w:themeFillShade="D9"/>
            <w:vAlign w:val="center"/>
          </w:tcPr>
          <w:p>
            <w:pPr>
              <w:jc w:val="center"/>
              <w:rPr>
                <w:rFonts w:hint="default" w:cs="仿宋" w:asciiTheme="minorEastAsia" w:hAnsiTheme="minorEastAsia" w:eastAsiaTheme="minorEastAsia"/>
                <w:b/>
                <w:sz w:val="24"/>
                <w:szCs w:val="21"/>
                <w:lang w:val="en-US" w:eastAsia="zh-CN"/>
              </w:rPr>
            </w:pPr>
            <w:r>
              <w:rPr>
                <w:rFonts w:hint="eastAsia" w:cs="仿宋" w:asciiTheme="minorEastAsia" w:hAnsiTheme="minorEastAsia"/>
                <w:b/>
                <w:sz w:val="24"/>
                <w:szCs w:val="21"/>
                <w:lang w:val="en-US" w:eastAsia="zh-CN"/>
              </w:rPr>
              <w:t>有效期</w:t>
            </w:r>
          </w:p>
        </w:tc>
        <w:tc>
          <w:tcPr>
            <w:tcW w:w="705"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数量</w:t>
            </w:r>
          </w:p>
        </w:tc>
        <w:tc>
          <w:tcPr>
            <w:tcW w:w="780"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时间要求</w:t>
            </w:r>
          </w:p>
        </w:tc>
        <w:tc>
          <w:tcPr>
            <w:tcW w:w="1208" w:type="pct"/>
            <w:shd w:val="clear" w:color="auto" w:fill="D8D8D8" w:themeFill="background1" w:themeFillShade="D9"/>
            <w:vAlign w:val="center"/>
          </w:tcPr>
          <w:p>
            <w:pPr>
              <w:jc w:val="center"/>
              <w:rPr>
                <w:rFonts w:hint="eastAsia" w:cs="仿宋" w:asciiTheme="minorEastAsia" w:hAnsiTheme="minorEastAsia"/>
                <w:b/>
                <w:sz w:val="24"/>
                <w:szCs w:val="21"/>
              </w:rPr>
            </w:pPr>
            <w:r>
              <w:rPr>
                <w:rFonts w:hint="eastAsia" w:cs="仿宋" w:asciiTheme="minorEastAsia" w:hAnsiTheme="minorEastAsia"/>
                <w:b/>
                <w:sz w:val="24"/>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pct"/>
            <w:vAlign w:val="center"/>
          </w:tcPr>
          <w:p>
            <w:pPr>
              <w:widowControl/>
              <w:snapToGrid w:val="0"/>
              <w:jc w:val="center"/>
              <w:rPr>
                <w:rFonts w:hint="eastAsia" w:cs="仿宋" w:asciiTheme="minorEastAsia" w:hAnsiTheme="minorEastAsia"/>
                <w:szCs w:val="21"/>
              </w:rPr>
            </w:pPr>
            <w:r>
              <w:rPr>
                <w:rFonts w:hint="eastAsia" w:cs="仿宋" w:asciiTheme="minorEastAsia" w:hAnsiTheme="minorEastAsia"/>
                <w:szCs w:val="21"/>
              </w:rPr>
              <w:t>1</w:t>
            </w:r>
          </w:p>
        </w:tc>
        <w:tc>
          <w:tcPr>
            <w:tcW w:w="1284" w:type="pct"/>
            <w:vAlign w:val="center"/>
          </w:tcPr>
          <w:p>
            <w:pPr>
              <w:jc w:val="center"/>
              <w:rPr>
                <w:rFonts w:hint="eastAsia" w:asciiTheme="minorEastAsia" w:hAnsiTheme="minorEastAsia"/>
                <w:sz w:val="20"/>
                <w:szCs w:val="20"/>
              </w:rPr>
            </w:pPr>
            <w:r>
              <w:rPr>
                <w:rFonts w:hint="eastAsia" w:asciiTheme="minorEastAsia" w:hAnsiTheme="minorEastAsia"/>
                <w:sz w:val="20"/>
                <w:szCs w:val="20"/>
              </w:rPr>
              <w:t>1套深信服SdSec-1000-C602产品质保延保服务</w:t>
            </w:r>
          </w:p>
        </w:tc>
        <w:tc>
          <w:tcPr>
            <w:tcW w:w="513" w:type="pct"/>
            <w:vAlign w:val="center"/>
          </w:tcPr>
          <w:p>
            <w:pPr>
              <w:jc w:val="center"/>
              <w:rPr>
                <w:rFonts w:hint="eastAsia"/>
                <w:sz w:val="20"/>
                <w:szCs w:val="20"/>
              </w:rPr>
            </w:pPr>
            <w:r>
              <w:rPr>
                <w:rFonts w:hint="eastAsia"/>
                <w:sz w:val="20"/>
                <w:szCs w:val="20"/>
              </w:rPr>
              <w:t>年</w:t>
            </w:r>
          </w:p>
        </w:tc>
        <w:tc>
          <w:tcPr>
            <w:tcW w:w="705" w:type="pct"/>
            <w:vAlign w:val="center"/>
          </w:tcPr>
          <w:p>
            <w:pPr>
              <w:jc w:val="center"/>
              <w:rPr>
                <w:rFonts w:hint="eastAsia"/>
                <w:color w:val="000000"/>
                <w:sz w:val="20"/>
                <w:szCs w:val="20"/>
              </w:rPr>
            </w:pPr>
            <w:r>
              <w:rPr>
                <w:rFonts w:hint="eastAsia"/>
                <w:color w:val="000000"/>
                <w:sz w:val="20"/>
                <w:szCs w:val="20"/>
              </w:rPr>
              <w:t>2</w:t>
            </w:r>
          </w:p>
        </w:tc>
        <w:tc>
          <w:tcPr>
            <w:tcW w:w="780" w:type="pct"/>
            <w:vMerge w:val="restart"/>
            <w:vAlign w:val="center"/>
          </w:tcPr>
          <w:p>
            <w:pPr>
              <w:widowControl/>
              <w:spacing w:before="100" w:beforeAutospacing="1" w:after="100" w:afterAutospacing="1"/>
              <w:jc w:val="center"/>
              <w:rPr>
                <w:rFonts w:hint="eastAsia" w:cs="仿宋" w:asciiTheme="minorEastAsia" w:hAnsiTheme="minorEastAsia"/>
                <w:szCs w:val="21"/>
              </w:rPr>
            </w:pPr>
            <w:r>
              <w:rPr>
                <w:rFonts w:hint="eastAsia" w:cs="仿宋" w:asciiTheme="minorEastAsia" w:hAnsiTheme="minorEastAsia"/>
                <w:szCs w:val="21"/>
              </w:rPr>
              <w:t>合同签订后30日内</w:t>
            </w:r>
          </w:p>
        </w:tc>
        <w:tc>
          <w:tcPr>
            <w:tcW w:w="1208" w:type="pct"/>
            <w:vMerge w:val="restart"/>
            <w:vAlign w:val="center"/>
          </w:tcPr>
          <w:p>
            <w:pPr>
              <w:widowControl/>
              <w:spacing w:before="100" w:beforeAutospacing="1" w:after="100" w:afterAutospacing="1"/>
              <w:jc w:val="center"/>
              <w:rPr>
                <w:rFonts w:hint="eastAsia" w:cs="仿宋" w:asciiTheme="minorEastAsia" w:hAnsiTheme="minorEastAsia"/>
                <w:szCs w:val="21"/>
              </w:rPr>
            </w:pPr>
            <w:r>
              <w:rPr>
                <w:rFonts w:hint="eastAsia" w:cs="仿宋" w:asciiTheme="minorEastAsia" w:hAnsiTheme="minorEastAsia"/>
                <w:szCs w:val="21"/>
              </w:rPr>
              <w:t>接受设备制造商或代理商投标，代理商需提供设备制造商的授权证明及售后服务承诺函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pct"/>
            <w:vAlign w:val="center"/>
          </w:tcPr>
          <w:p>
            <w:pPr>
              <w:widowControl/>
              <w:snapToGrid w:val="0"/>
              <w:jc w:val="center"/>
              <w:rPr>
                <w:rFonts w:hint="eastAsia" w:cs="仿宋" w:asciiTheme="minorEastAsia" w:hAnsiTheme="minorEastAsia"/>
                <w:szCs w:val="21"/>
              </w:rPr>
            </w:pPr>
            <w:r>
              <w:rPr>
                <w:rFonts w:cs="仿宋" w:asciiTheme="minorEastAsia" w:hAnsiTheme="minorEastAsia"/>
                <w:szCs w:val="21"/>
              </w:rPr>
              <w:t>2</w:t>
            </w:r>
          </w:p>
        </w:tc>
        <w:tc>
          <w:tcPr>
            <w:tcW w:w="1284" w:type="pct"/>
            <w:vAlign w:val="center"/>
          </w:tcPr>
          <w:p>
            <w:pPr>
              <w:jc w:val="center"/>
              <w:rPr>
                <w:rFonts w:hint="eastAsia"/>
                <w:sz w:val="20"/>
                <w:szCs w:val="20"/>
              </w:rPr>
            </w:pPr>
            <w:r>
              <w:rPr>
                <w:rFonts w:hint="eastAsia"/>
                <w:sz w:val="20"/>
                <w:szCs w:val="20"/>
              </w:rPr>
              <w:t>2套深信服SD-AC-200云安全服务平台软件升级与规则库更新授权</w:t>
            </w:r>
          </w:p>
        </w:tc>
        <w:tc>
          <w:tcPr>
            <w:tcW w:w="513" w:type="pct"/>
            <w:vAlign w:val="center"/>
          </w:tcPr>
          <w:p>
            <w:pPr>
              <w:jc w:val="center"/>
              <w:rPr>
                <w:rFonts w:hint="eastAsia"/>
                <w:sz w:val="20"/>
                <w:szCs w:val="20"/>
              </w:rPr>
            </w:pPr>
            <w:r>
              <w:rPr>
                <w:rFonts w:hint="eastAsia"/>
                <w:sz w:val="20"/>
                <w:szCs w:val="20"/>
              </w:rPr>
              <w:t>年</w:t>
            </w:r>
          </w:p>
        </w:tc>
        <w:tc>
          <w:tcPr>
            <w:tcW w:w="705" w:type="pct"/>
            <w:vAlign w:val="center"/>
          </w:tcPr>
          <w:p>
            <w:pPr>
              <w:jc w:val="center"/>
              <w:rPr>
                <w:rFonts w:hint="eastAsia"/>
                <w:color w:val="000000"/>
                <w:sz w:val="20"/>
                <w:szCs w:val="20"/>
              </w:rPr>
            </w:pPr>
            <w:r>
              <w:rPr>
                <w:rFonts w:hint="eastAsia"/>
                <w:color w:val="000000"/>
                <w:sz w:val="20"/>
                <w:szCs w:val="20"/>
              </w:rPr>
              <w:t>2</w:t>
            </w:r>
          </w:p>
        </w:tc>
        <w:tc>
          <w:tcPr>
            <w:tcW w:w="780"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Merge w:val="continue"/>
            <w:vAlign w:val="center"/>
          </w:tcPr>
          <w:p>
            <w:pPr>
              <w:widowControl/>
              <w:spacing w:before="100" w:beforeAutospacing="1" w:after="100" w:afterAutospacing="1"/>
              <w:jc w:val="center"/>
              <w:rPr>
                <w:rFonts w:hint="eastAsia" w:cs="仿宋" w:asciiTheme="minorEastAsia" w:hAnsiTheme="minorEastAsia"/>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pct"/>
            <w:vAlign w:val="center"/>
          </w:tcPr>
          <w:p>
            <w:pPr>
              <w:widowControl/>
              <w:snapToGrid w:val="0"/>
              <w:jc w:val="center"/>
              <w:rPr>
                <w:rFonts w:hint="eastAsia" w:cs="仿宋" w:asciiTheme="minorEastAsia" w:hAnsiTheme="minorEastAsia"/>
                <w:szCs w:val="21"/>
              </w:rPr>
            </w:pPr>
            <w:r>
              <w:rPr>
                <w:rFonts w:cs="仿宋" w:asciiTheme="minorEastAsia" w:hAnsiTheme="minorEastAsia"/>
                <w:szCs w:val="21"/>
              </w:rPr>
              <w:t>3</w:t>
            </w:r>
          </w:p>
        </w:tc>
        <w:tc>
          <w:tcPr>
            <w:tcW w:w="1284" w:type="pct"/>
            <w:vAlign w:val="center"/>
          </w:tcPr>
          <w:p>
            <w:pPr>
              <w:jc w:val="center"/>
              <w:rPr>
                <w:rFonts w:hint="eastAsia"/>
                <w:sz w:val="20"/>
                <w:szCs w:val="20"/>
              </w:rPr>
            </w:pPr>
            <w:r>
              <w:rPr>
                <w:rFonts w:hint="eastAsia"/>
                <w:sz w:val="20"/>
                <w:szCs w:val="20"/>
              </w:rPr>
              <w:t>2套深信服SD-AF-200云安全服务平台软件升级与规则库更新授权</w:t>
            </w:r>
          </w:p>
        </w:tc>
        <w:tc>
          <w:tcPr>
            <w:tcW w:w="513" w:type="pct"/>
            <w:vAlign w:val="center"/>
          </w:tcPr>
          <w:p>
            <w:pPr>
              <w:jc w:val="center"/>
              <w:rPr>
                <w:rFonts w:hint="eastAsia"/>
                <w:sz w:val="20"/>
                <w:szCs w:val="20"/>
              </w:rPr>
            </w:pPr>
            <w:r>
              <w:rPr>
                <w:rFonts w:hint="eastAsia"/>
                <w:sz w:val="20"/>
                <w:szCs w:val="20"/>
              </w:rPr>
              <w:t>年</w:t>
            </w:r>
          </w:p>
        </w:tc>
        <w:tc>
          <w:tcPr>
            <w:tcW w:w="705" w:type="pct"/>
            <w:vAlign w:val="center"/>
          </w:tcPr>
          <w:p>
            <w:pPr>
              <w:jc w:val="center"/>
              <w:rPr>
                <w:rFonts w:hint="eastAsia"/>
                <w:color w:val="000000"/>
                <w:sz w:val="20"/>
                <w:szCs w:val="20"/>
              </w:rPr>
            </w:pPr>
            <w:r>
              <w:rPr>
                <w:rFonts w:hint="eastAsia"/>
                <w:color w:val="000000"/>
                <w:sz w:val="20"/>
                <w:szCs w:val="20"/>
              </w:rPr>
              <w:t>2</w:t>
            </w:r>
          </w:p>
        </w:tc>
        <w:tc>
          <w:tcPr>
            <w:tcW w:w="780"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Merge w:val="continue"/>
            <w:vAlign w:val="center"/>
          </w:tcPr>
          <w:p>
            <w:pPr>
              <w:widowControl/>
              <w:spacing w:before="100" w:beforeAutospacing="1" w:after="100" w:afterAutospacing="1"/>
              <w:jc w:val="center"/>
              <w:rPr>
                <w:rFonts w:hint="eastAsia" w:cs="仿宋" w:asciiTheme="minorEastAsia" w:hAnsiTheme="minorEastAsia"/>
                <w:b/>
                <w:bCs/>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10" w:type="pct"/>
            <w:vAlign w:val="center"/>
          </w:tcPr>
          <w:p>
            <w:pPr>
              <w:widowControl/>
              <w:snapToGrid w:val="0"/>
              <w:jc w:val="center"/>
              <w:rPr>
                <w:rFonts w:hint="eastAsia" w:cs="仿宋" w:asciiTheme="minorEastAsia" w:hAnsiTheme="minorEastAsia"/>
                <w:szCs w:val="21"/>
              </w:rPr>
            </w:pPr>
            <w:r>
              <w:rPr>
                <w:rFonts w:cs="仿宋" w:asciiTheme="minorEastAsia" w:hAnsiTheme="minorEastAsia"/>
                <w:szCs w:val="21"/>
              </w:rPr>
              <w:t>4</w:t>
            </w:r>
          </w:p>
        </w:tc>
        <w:tc>
          <w:tcPr>
            <w:tcW w:w="1284" w:type="pct"/>
            <w:vAlign w:val="center"/>
          </w:tcPr>
          <w:p>
            <w:pPr>
              <w:jc w:val="center"/>
              <w:rPr>
                <w:rFonts w:hint="eastAsia"/>
                <w:sz w:val="20"/>
                <w:szCs w:val="20"/>
              </w:rPr>
            </w:pPr>
            <w:r>
              <w:rPr>
                <w:rFonts w:hint="eastAsia"/>
                <w:sz w:val="20"/>
                <w:szCs w:val="20"/>
              </w:rPr>
              <w:t>2套深信服OSM-1000-V20软件升级授权</w:t>
            </w:r>
          </w:p>
        </w:tc>
        <w:tc>
          <w:tcPr>
            <w:tcW w:w="513" w:type="pct"/>
            <w:vAlign w:val="center"/>
          </w:tcPr>
          <w:p>
            <w:pPr>
              <w:jc w:val="center"/>
              <w:rPr>
                <w:rFonts w:hint="eastAsia"/>
                <w:sz w:val="20"/>
                <w:szCs w:val="20"/>
              </w:rPr>
            </w:pPr>
            <w:r>
              <w:rPr>
                <w:rFonts w:hint="eastAsia"/>
                <w:sz w:val="20"/>
                <w:szCs w:val="20"/>
              </w:rPr>
              <w:t>年</w:t>
            </w:r>
          </w:p>
        </w:tc>
        <w:tc>
          <w:tcPr>
            <w:tcW w:w="705" w:type="pct"/>
            <w:vAlign w:val="center"/>
          </w:tcPr>
          <w:p>
            <w:pPr>
              <w:jc w:val="center"/>
              <w:rPr>
                <w:rFonts w:hint="eastAsia"/>
                <w:sz w:val="20"/>
                <w:szCs w:val="20"/>
              </w:rPr>
            </w:pPr>
            <w:r>
              <w:rPr>
                <w:rFonts w:hint="eastAsia"/>
                <w:color w:val="000000"/>
                <w:sz w:val="20"/>
                <w:szCs w:val="20"/>
              </w:rPr>
              <w:t>2</w:t>
            </w:r>
          </w:p>
        </w:tc>
        <w:tc>
          <w:tcPr>
            <w:tcW w:w="780" w:type="pct"/>
            <w:vMerge w:val="continue"/>
            <w:vAlign w:val="center"/>
          </w:tcPr>
          <w:p>
            <w:pPr>
              <w:widowControl/>
              <w:spacing w:before="100" w:beforeAutospacing="1" w:after="100" w:afterAutospacing="1"/>
              <w:jc w:val="center"/>
              <w:rPr>
                <w:rFonts w:hint="eastAsia" w:cs="仿宋" w:asciiTheme="minorEastAsia" w:hAnsiTheme="minorEastAsia"/>
                <w:szCs w:val="21"/>
              </w:rPr>
            </w:pPr>
          </w:p>
        </w:tc>
        <w:tc>
          <w:tcPr>
            <w:tcW w:w="1208" w:type="pct"/>
            <w:vMerge w:val="continue"/>
            <w:vAlign w:val="center"/>
          </w:tcPr>
          <w:p>
            <w:pPr>
              <w:widowControl/>
              <w:spacing w:before="100" w:beforeAutospacing="1" w:after="100" w:afterAutospacing="1"/>
              <w:jc w:val="center"/>
              <w:rPr>
                <w:rFonts w:hint="eastAsia" w:cs="仿宋" w:asciiTheme="minorEastAsia" w:hAnsiTheme="minorEastAsia"/>
                <w:b/>
                <w:bCs/>
                <w:szCs w:val="21"/>
              </w:rPr>
            </w:pPr>
          </w:p>
        </w:tc>
      </w:tr>
    </w:tbl>
    <w:p>
      <w:pPr>
        <w:rPr>
          <w:rFonts w:hint="eastAsia"/>
        </w:rPr>
      </w:pPr>
    </w:p>
    <w:p>
      <w:pPr>
        <w:numPr>
          <w:ilvl w:val="0"/>
          <w:numId w:val="1"/>
        </w:numPr>
        <w:spacing w:line="360" w:lineRule="auto"/>
        <w:rPr>
          <w:rFonts w:hint="eastAsia" w:ascii="宋体" w:hAnsi="宋体" w:eastAsia="宋体"/>
          <w:b/>
          <w:bCs/>
          <w:sz w:val="30"/>
          <w:szCs w:val="30"/>
        </w:rPr>
      </w:pPr>
      <w:r>
        <w:rPr>
          <w:rFonts w:hint="eastAsia" w:ascii="宋体" w:hAnsi="宋体" w:eastAsia="宋体"/>
          <w:b/>
          <w:bCs/>
          <w:sz w:val="30"/>
          <w:szCs w:val="30"/>
        </w:rPr>
        <w:t>验收要求</w:t>
      </w:r>
    </w:p>
    <w:p>
      <w:pPr>
        <w:pStyle w:val="3"/>
        <w:spacing w:before="0" w:after="0" w:line="360" w:lineRule="auto"/>
        <w:rPr>
          <w:rFonts w:hint="eastAsia" w:asciiTheme="minorEastAsia" w:hAnsiTheme="minorEastAsia" w:cstheme="minorEastAsia"/>
          <w:bCs/>
          <w:sz w:val="24"/>
        </w:rPr>
      </w:pPr>
      <w:r>
        <w:rPr>
          <w:rFonts w:hint="eastAsia" w:asciiTheme="minorEastAsia" w:hAnsiTheme="minorEastAsia" w:cstheme="minorEastAsia"/>
          <w:bCs/>
          <w:sz w:val="24"/>
        </w:rPr>
        <w:t>1、验收标准</w:t>
      </w:r>
    </w:p>
    <w:p>
      <w:pPr>
        <w:spacing w:line="360" w:lineRule="auto"/>
        <w:ind w:firstLine="480" w:firstLineChars="200"/>
        <w:rPr>
          <w:rFonts w:hint="eastAsia"/>
          <w:sz w:val="24"/>
          <w:szCs w:val="24"/>
        </w:rPr>
      </w:pPr>
      <w:r>
        <w:rPr>
          <w:rFonts w:hint="eastAsia"/>
          <w:sz w:val="24"/>
          <w:szCs w:val="24"/>
          <w:lang w:val="en-US" w:eastAsia="zh-CN"/>
        </w:rPr>
        <w:t>1</w:t>
      </w:r>
      <w:r>
        <w:rPr>
          <w:rFonts w:hint="eastAsia"/>
          <w:sz w:val="24"/>
          <w:szCs w:val="24"/>
        </w:rPr>
        <w:t>）投标方提供的所有服务内容必须符合采购方的相关标准和管理办法；</w:t>
      </w:r>
    </w:p>
    <w:p>
      <w:pPr>
        <w:spacing w:line="360" w:lineRule="auto"/>
        <w:ind w:firstLine="480" w:firstLineChars="200"/>
        <w:rPr>
          <w:rFonts w:hint="eastAsia"/>
          <w:sz w:val="24"/>
          <w:szCs w:val="24"/>
        </w:rPr>
      </w:pPr>
      <w:r>
        <w:rPr>
          <w:rFonts w:hint="eastAsia"/>
          <w:sz w:val="24"/>
          <w:szCs w:val="24"/>
          <w:lang w:val="en-US" w:eastAsia="zh-CN"/>
        </w:rPr>
        <w:t>2</w:t>
      </w:r>
      <w:r>
        <w:rPr>
          <w:rFonts w:hint="eastAsia"/>
          <w:sz w:val="24"/>
          <w:szCs w:val="24"/>
        </w:rPr>
        <w:t>）投标方必须完成项目要求的所有工作内容。</w:t>
      </w:r>
    </w:p>
    <w:p>
      <w:pPr>
        <w:pStyle w:val="3"/>
        <w:spacing w:before="0" w:after="0" w:line="360" w:lineRule="auto"/>
        <w:ind w:left="0" w:firstLine="0"/>
        <w:rPr>
          <w:rFonts w:hint="eastAsia" w:asciiTheme="minorEastAsia" w:hAnsiTheme="minorEastAsia" w:cstheme="minorEastAsia"/>
          <w:bCs/>
          <w:sz w:val="24"/>
        </w:rPr>
      </w:pPr>
      <w:bookmarkStart w:id="0" w:name="_Toc172737496"/>
      <w:bookmarkStart w:id="1" w:name="_Toc70683319"/>
      <w:r>
        <w:rPr>
          <w:rFonts w:hint="eastAsia" w:asciiTheme="minorEastAsia" w:hAnsiTheme="minorEastAsia" w:cstheme="minorEastAsia"/>
          <w:bCs/>
          <w:sz w:val="24"/>
        </w:rPr>
        <w:t>2、验收内容</w:t>
      </w:r>
      <w:bookmarkEnd w:id="0"/>
      <w:bookmarkEnd w:id="1"/>
    </w:p>
    <w:p>
      <w:pPr>
        <w:spacing w:line="360" w:lineRule="auto"/>
        <w:ind w:firstLine="480" w:firstLineChars="200"/>
        <w:rPr>
          <w:rFonts w:hint="eastAsia"/>
          <w:sz w:val="24"/>
          <w:szCs w:val="24"/>
        </w:rPr>
      </w:pPr>
      <w:r>
        <w:rPr>
          <w:rFonts w:hint="eastAsia"/>
          <w:sz w:val="24"/>
          <w:szCs w:val="24"/>
        </w:rPr>
        <w:t>1）按照设服务内容对投标方提供的延保服务进行验收，中标方提供延保证明</w:t>
      </w:r>
      <w:r>
        <w:rPr>
          <w:rFonts w:hint="eastAsia"/>
          <w:sz w:val="24"/>
          <w:szCs w:val="24"/>
          <w:lang w:val="en-US" w:eastAsia="zh-CN"/>
        </w:rPr>
        <w:t>和保证函</w:t>
      </w:r>
      <w:r>
        <w:rPr>
          <w:rFonts w:hint="eastAsia"/>
          <w:sz w:val="24"/>
          <w:szCs w:val="24"/>
        </w:rPr>
        <w:t>；</w:t>
      </w:r>
    </w:p>
    <w:p>
      <w:pPr>
        <w:spacing w:line="360" w:lineRule="auto"/>
        <w:ind w:firstLine="480" w:firstLineChars="200"/>
        <w:rPr>
          <w:rFonts w:hint="eastAsia"/>
          <w:sz w:val="24"/>
          <w:szCs w:val="24"/>
        </w:rPr>
      </w:pPr>
      <w:r>
        <w:rPr>
          <w:rFonts w:hint="eastAsia"/>
          <w:sz w:val="24"/>
          <w:szCs w:val="24"/>
        </w:rPr>
        <w:t>2）按照服务内容对投标方提供的软件升级授权与规则库升级授权进行验收，中标方提升级授权证明；</w:t>
      </w:r>
      <w:bookmarkStart w:id="26" w:name="_GoBack"/>
      <w:bookmarkEnd w:id="26"/>
    </w:p>
    <w:p>
      <w:pPr>
        <w:pStyle w:val="3"/>
        <w:spacing w:before="0" w:after="0" w:line="360" w:lineRule="auto"/>
        <w:rPr>
          <w:rFonts w:hint="eastAsia" w:asciiTheme="minorEastAsia" w:hAnsiTheme="minorEastAsia" w:cstheme="minorEastAsia"/>
          <w:bCs/>
          <w:sz w:val="24"/>
        </w:rPr>
      </w:pPr>
      <w:bookmarkStart w:id="2" w:name="_Toc70683320"/>
      <w:bookmarkStart w:id="3" w:name="_Toc172737497"/>
      <w:r>
        <w:rPr>
          <w:rFonts w:hint="eastAsia" w:asciiTheme="minorEastAsia" w:hAnsiTheme="minorEastAsia" w:cstheme="minorEastAsia"/>
          <w:bCs/>
          <w:sz w:val="24"/>
        </w:rPr>
        <w:t>3、验收方法</w:t>
      </w:r>
      <w:bookmarkEnd w:id="2"/>
      <w:bookmarkEnd w:id="3"/>
    </w:p>
    <w:p>
      <w:pPr>
        <w:spacing w:line="360" w:lineRule="auto"/>
        <w:ind w:firstLine="480" w:firstLineChars="200"/>
        <w:rPr>
          <w:rFonts w:hint="eastAsia"/>
          <w:sz w:val="24"/>
          <w:szCs w:val="24"/>
        </w:rPr>
      </w:pPr>
      <w:r>
        <w:rPr>
          <w:rFonts w:hint="eastAsia"/>
          <w:sz w:val="24"/>
          <w:szCs w:val="24"/>
        </w:rPr>
        <w:t>1）招标方进行现场验收；</w:t>
      </w:r>
    </w:p>
    <w:p>
      <w:pPr>
        <w:spacing w:line="360" w:lineRule="auto"/>
        <w:ind w:firstLine="480" w:firstLineChars="200"/>
        <w:rPr>
          <w:rFonts w:hint="eastAsia"/>
          <w:sz w:val="24"/>
          <w:szCs w:val="24"/>
        </w:rPr>
      </w:pPr>
      <w:r>
        <w:rPr>
          <w:rFonts w:hint="eastAsia"/>
          <w:sz w:val="24"/>
          <w:szCs w:val="24"/>
        </w:rPr>
        <w:t>2）为便于验收，投标方应派技术专家到招标方现场提供技术支持服务；</w:t>
      </w:r>
    </w:p>
    <w:p>
      <w:pPr>
        <w:spacing w:line="360" w:lineRule="auto"/>
        <w:ind w:firstLine="480" w:firstLineChars="200"/>
        <w:rPr>
          <w:rFonts w:hint="eastAsia"/>
          <w:sz w:val="24"/>
          <w:szCs w:val="24"/>
        </w:rPr>
      </w:pPr>
      <w:r>
        <w:rPr>
          <w:rFonts w:hint="eastAsia"/>
          <w:sz w:val="24"/>
          <w:szCs w:val="24"/>
        </w:rPr>
        <w:t>3）由于投标方的责任导致验收不能按时完成所引起的损失由投标方承担；</w:t>
      </w:r>
    </w:p>
    <w:p>
      <w:pPr>
        <w:spacing w:line="360" w:lineRule="auto"/>
        <w:ind w:firstLine="480" w:firstLineChars="200"/>
        <w:rPr>
          <w:rFonts w:hint="eastAsia"/>
          <w:sz w:val="24"/>
          <w:szCs w:val="24"/>
        </w:rPr>
      </w:pPr>
      <w:r>
        <w:rPr>
          <w:rFonts w:hint="eastAsia"/>
          <w:sz w:val="24"/>
          <w:szCs w:val="24"/>
        </w:rPr>
        <w:t>4）所有验收费用由投标方承担。</w:t>
      </w:r>
    </w:p>
    <w:p>
      <w:pPr>
        <w:pStyle w:val="3"/>
        <w:spacing w:before="0" w:after="0" w:line="360" w:lineRule="auto"/>
        <w:rPr>
          <w:rFonts w:hint="eastAsia" w:asciiTheme="minorEastAsia" w:hAnsiTheme="minorEastAsia" w:cstheme="minorEastAsia"/>
          <w:bCs/>
          <w:sz w:val="24"/>
        </w:rPr>
      </w:pPr>
      <w:bookmarkStart w:id="4" w:name="_Toc70683321"/>
      <w:bookmarkStart w:id="5" w:name="_Toc172737498"/>
      <w:r>
        <w:rPr>
          <w:rFonts w:hint="eastAsia" w:asciiTheme="minorEastAsia" w:hAnsiTheme="minorEastAsia" w:cstheme="minorEastAsia"/>
          <w:bCs/>
          <w:sz w:val="24"/>
        </w:rPr>
        <w:t>4、验收时间与地点</w:t>
      </w:r>
      <w:bookmarkEnd w:id="4"/>
      <w:bookmarkEnd w:id="5"/>
    </w:p>
    <w:p>
      <w:pPr>
        <w:spacing w:line="360" w:lineRule="auto"/>
        <w:ind w:firstLine="480" w:firstLineChars="200"/>
        <w:rPr>
          <w:rFonts w:hint="eastAsia"/>
          <w:sz w:val="24"/>
          <w:szCs w:val="24"/>
        </w:rPr>
      </w:pPr>
      <w:r>
        <w:rPr>
          <w:rFonts w:hint="eastAsia"/>
          <w:sz w:val="24"/>
          <w:szCs w:val="24"/>
        </w:rPr>
        <w:t>1）验收时间：</w:t>
      </w:r>
    </w:p>
    <w:p>
      <w:pPr>
        <w:spacing w:line="360" w:lineRule="auto"/>
        <w:ind w:firstLine="480" w:firstLineChars="200"/>
        <w:rPr>
          <w:rFonts w:hint="eastAsia"/>
          <w:sz w:val="24"/>
          <w:szCs w:val="24"/>
        </w:rPr>
      </w:pPr>
      <w:r>
        <w:rPr>
          <w:rFonts w:hint="eastAsia"/>
          <w:sz w:val="24"/>
          <w:szCs w:val="24"/>
        </w:rPr>
        <w:t>项目工期后五个工作日内。</w:t>
      </w:r>
    </w:p>
    <w:p>
      <w:pPr>
        <w:spacing w:line="360" w:lineRule="auto"/>
        <w:ind w:firstLine="480" w:firstLineChars="200"/>
        <w:rPr>
          <w:rFonts w:hint="eastAsia"/>
          <w:sz w:val="24"/>
          <w:szCs w:val="24"/>
        </w:rPr>
      </w:pPr>
      <w:r>
        <w:rPr>
          <w:rFonts w:hint="eastAsia"/>
          <w:sz w:val="24"/>
          <w:szCs w:val="24"/>
        </w:rPr>
        <w:t>2）验收地点：</w:t>
      </w:r>
    </w:p>
    <w:p>
      <w:pPr>
        <w:spacing w:line="360" w:lineRule="auto"/>
        <w:ind w:firstLine="480" w:firstLineChars="200"/>
        <w:rPr>
          <w:rFonts w:hint="eastAsia"/>
          <w:sz w:val="24"/>
          <w:szCs w:val="24"/>
        </w:rPr>
      </w:pPr>
      <w:r>
        <w:rPr>
          <w:rFonts w:hint="eastAsia"/>
          <w:sz w:val="24"/>
          <w:szCs w:val="24"/>
        </w:rPr>
        <w:t>云南送变电工程有限公司机房。</w:t>
      </w:r>
    </w:p>
    <w:p>
      <w:pPr>
        <w:numPr>
          <w:ilvl w:val="0"/>
          <w:numId w:val="1"/>
        </w:numPr>
        <w:spacing w:line="360" w:lineRule="auto"/>
        <w:rPr>
          <w:rFonts w:hint="eastAsia" w:ascii="宋体" w:hAnsi="宋体" w:eastAsia="宋体"/>
          <w:b/>
          <w:bCs/>
          <w:sz w:val="30"/>
          <w:szCs w:val="30"/>
        </w:rPr>
      </w:pPr>
      <w:bookmarkStart w:id="6" w:name="_Toc7532"/>
      <w:bookmarkStart w:id="7" w:name="_Toc9253384"/>
      <w:bookmarkStart w:id="8" w:name="_Toc19642"/>
      <w:bookmarkStart w:id="9" w:name="_Toc15538"/>
      <w:bookmarkStart w:id="10" w:name="_Toc172737500"/>
      <w:r>
        <w:rPr>
          <w:rFonts w:hint="eastAsia" w:ascii="宋体" w:hAnsi="宋体" w:eastAsia="宋体"/>
          <w:b/>
          <w:bCs/>
          <w:sz w:val="30"/>
          <w:szCs w:val="30"/>
        </w:rPr>
        <w:t>质量保证与</w:t>
      </w:r>
      <w:r>
        <w:rPr>
          <w:rFonts w:hint="eastAsia" w:ascii="宋体" w:hAnsi="宋体" w:eastAsia="宋体"/>
          <w:b/>
          <w:bCs/>
          <w:sz w:val="30"/>
          <w:szCs w:val="30"/>
          <w:lang w:val="en-US" w:eastAsia="zh-CN"/>
        </w:rPr>
        <w:t>延保</w:t>
      </w:r>
      <w:r>
        <w:rPr>
          <w:rFonts w:hint="eastAsia" w:ascii="宋体" w:hAnsi="宋体" w:eastAsia="宋体"/>
          <w:b/>
          <w:bCs/>
          <w:sz w:val="30"/>
          <w:szCs w:val="30"/>
        </w:rPr>
        <w:t>服务</w:t>
      </w:r>
      <w:bookmarkEnd w:id="6"/>
      <w:bookmarkEnd w:id="7"/>
      <w:bookmarkEnd w:id="8"/>
      <w:bookmarkEnd w:id="9"/>
      <w:r>
        <w:rPr>
          <w:rFonts w:hint="eastAsia" w:ascii="宋体" w:hAnsi="宋体" w:eastAsia="宋体"/>
          <w:b/>
          <w:bCs/>
          <w:sz w:val="30"/>
          <w:szCs w:val="30"/>
        </w:rPr>
        <w:t>要求</w:t>
      </w:r>
      <w:bookmarkEnd w:id="10"/>
    </w:p>
    <w:p>
      <w:pPr>
        <w:pStyle w:val="3"/>
        <w:spacing w:before="0" w:after="0" w:line="360" w:lineRule="auto"/>
        <w:rPr>
          <w:rFonts w:hint="eastAsia" w:asciiTheme="minorEastAsia" w:hAnsiTheme="minorEastAsia" w:cstheme="minorEastAsia"/>
          <w:bCs/>
          <w:sz w:val="24"/>
        </w:rPr>
      </w:pPr>
      <w:bookmarkStart w:id="11" w:name="_Toc9253385"/>
      <w:bookmarkStart w:id="12" w:name="_Toc14055"/>
      <w:bookmarkStart w:id="13" w:name="_Toc21341"/>
      <w:bookmarkStart w:id="14" w:name="_Toc172737501"/>
      <w:bookmarkStart w:id="15" w:name="_Toc26992"/>
      <w:r>
        <w:rPr>
          <w:rFonts w:hint="eastAsia" w:asciiTheme="minorEastAsia" w:hAnsiTheme="minorEastAsia" w:cstheme="minorEastAsia"/>
          <w:bCs/>
          <w:sz w:val="24"/>
        </w:rPr>
        <w:t>1、</w:t>
      </w:r>
      <w:r>
        <w:rPr>
          <w:rFonts w:hint="eastAsia" w:asciiTheme="minorEastAsia" w:hAnsiTheme="minorEastAsia" w:cstheme="minorEastAsia"/>
          <w:bCs/>
          <w:sz w:val="24"/>
          <w:lang w:val="en-US" w:eastAsia="zh-CN"/>
        </w:rPr>
        <w:t>延保</w:t>
      </w:r>
      <w:r>
        <w:rPr>
          <w:rFonts w:hint="eastAsia" w:asciiTheme="minorEastAsia" w:hAnsiTheme="minorEastAsia" w:cstheme="minorEastAsia"/>
          <w:bCs/>
          <w:sz w:val="24"/>
        </w:rPr>
        <w:t>服务整体要求</w:t>
      </w:r>
      <w:bookmarkEnd w:id="11"/>
      <w:bookmarkEnd w:id="12"/>
      <w:bookmarkEnd w:id="13"/>
      <w:bookmarkEnd w:id="14"/>
      <w:bookmarkEnd w:id="15"/>
    </w:p>
    <w:p>
      <w:pPr>
        <w:spacing w:line="360" w:lineRule="auto"/>
        <w:ind w:firstLine="480" w:firstLineChars="200"/>
        <w:rPr>
          <w:rFonts w:hint="eastAsia"/>
          <w:sz w:val="24"/>
          <w:szCs w:val="24"/>
        </w:rPr>
      </w:pPr>
      <w:r>
        <w:rPr>
          <w:rFonts w:hint="eastAsia"/>
          <w:sz w:val="24"/>
          <w:szCs w:val="24"/>
        </w:rPr>
        <w:t>1）投标人应提供完整的、贯穿产品全生命周期的服务技术支持。</w:t>
      </w:r>
    </w:p>
    <w:p>
      <w:pPr>
        <w:pStyle w:val="3"/>
        <w:spacing w:before="0" w:after="0" w:line="360" w:lineRule="auto"/>
        <w:rPr>
          <w:rFonts w:hint="eastAsia" w:asciiTheme="minorEastAsia" w:hAnsiTheme="minorEastAsia" w:cstheme="minorEastAsia"/>
          <w:bCs/>
          <w:sz w:val="24"/>
        </w:rPr>
      </w:pPr>
      <w:bookmarkStart w:id="16" w:name="_Toc18691"/>
      <w:bookmarkStart w:id="17" w:name="_Toc9253386"/>
      <w:bookmarkStart w:id="18" w:name="_Toc172737502"/>
      <w:bookmarkStart w:id="19" w:name="_Toc19156"/>
      <w:bookmarkStart w:id="20" w:name="_Toc7953"/>
      <w:r>
        <w:rPr>
          <w:rFonts w:hint="eastAsia" w:asciiTheme="minorEastAsia" w:hAnsiTheme="minorEastAsia" w:cstheme="minorEastAsia"/>
          <w:bCs/>
          <w:sz w:val="24"/>
        </w:rPr>
        <w:t>2、售后服务响应时间要求</w:t>
      </w:r>
      <w:bookmarkEnd w:id="16"/>
      <w:bookmarkEnd w:id="17"/>
      <w:bookmarkEnd w:id="18"/>
      <w:bookmarkEnd w:id="19"/>
      <w:bookmarkEnd w:id="20"/>
    </w:p>
    <w:p>
      <w:pPr>
        <w:spacing w:line="360" w:lineRule="auto"/>
        <w:ind w:firstLine="480" w:firstLineChars="200"/>
        <w:rPr>
          <w:rFonts w:hint="eastAsia"/>
          <w:sz w:val="24"/>
          <w:szCs w:val="24"/>
        </w:rPr>
      </w:pPr>
      <w:r>
        <w:rPr>
          <w:rFonts w:hint="eastAsia"/>
          <w:sz w:val="24"/>
          <w:szCs w:val="24"/>
        </w:rPr>
        <w:t>1）</w:t>
      </w:r>
      <w:r>
        <w:rPr>
          <w:rFonts w:hint="eastAsia"/>
          <w:sz w:val="24"/>
          <w:szCs w:val="24"/>
          <w:lang w:val="en-US" w:eastAsia="zh-CN"/>
        </w:rPr>
        <w:t>延保后，在</w:t>
      </w:r>
      <w:r>
        <w:rPr>
          <w:rFonts w:hint="eastAsia"/>
          <w:sz w:val="24"/>
          <w:szCs w:val="24"/>
        </w:rPr>
        <w:t>质保期内，发生故障时，投标人应派遣维修人员1小时内抵达现场，2小时内解决问题。</w:t>
      </w:r>
    </w:p>
    <w:p>
      <w:pPr>
        <w:spacing w:line="360" w:lineRule="auto"/>
        <w:ind w:firstLine="480" w:firstLineChars="200"/>
        <w:rPr>
          <w:rFonts w:hint="eastAsia"/>
          <w:sz w:val="24"/>
          <w:szCs w:val="24"/>
        </w:rPr>
      </w:pPr>
      <w:r>
        <w:rPr>
          <w:rFonts w:hint="eastAsia"/>
          <w:sz w:val="24"/>
          <w:szCs w:val="24"/>
        </w:rPr>
        <w:t>2）质保期结束后，能随时提供电话技术服务支持，提供远方诊断服务，要求2小时提出解决办法。电话支持无法解决的，投标人应派遣维修人员4小时内抵达现场。</w:t>
      </w:r>
    </w:p>
    <w:p>
      <w:pPr>
        <w:pStyle w:val="3"/>
        <w:spacing w:before="0" w:after="0" w:line="360" w:lineRule="auto"/>
        <w:rPr>
          <w:rFonts w:hint="eastAsia" w:asciiTheme="minorEastAsia" w:hAnsiTheme="minorEastAsia" w:cstheme="minorEastAsia"/>
          <w:bCs/>
          <w:sz w:val="24"/>
        </w:rPr>
      </w:pPr>
      <w:bookmarkStart w:id="21" w:name="_Toc32576"/>
      <w:bookmarkStart w:id="22" w:name="_Toc27022"/>
      <w:bookmarkStart w:id="23" w:name="_Toc13113"/>
      <w:bookmarkStart w:id="24" w:name="_Toc9253387"/>
      <w:bookmarkStart w:id="25" w:name="_Toc172737503"/>
      <w:r>
        <w:rPr>
          <w:rFonts w:hint="eastAsia" w:asciiTheme="minorEastAsia" w:hAnsiTheme="minorEastAsia" w:cstheme="minorEastAsia"/>
          <w:bCs/>
          <w:sz w:val="24"/>
        </w:rPr>
        <w:t>3、 故障维修时间要求</w:t>
      </w:r>
      <w:bookmarkEnd w:id="21"/>
      <w:bookmarkEnd w:id="22"/>
      <w:bookmarkEnd w:id="23"/>
      <w:bookmarkEnd w:id="24"/>
      <w:bookmarkEnd w:id="25"/>
    </w:p>
    <w:p>
      <w:pPr>
        <w:spacing w:line="360" w:lineRule="auto"/>
        <w:ind w:firstLine="480" w:firstLineChars="200"/>
        <w:rPr>
          <w:rFonts w:hint="eastAsia"/>
          <w:sz w:val="24"/>
          <w:szCs w:val="24"/>
        </w:rPr>
      </w:pPr>
      <w:r>
        <w:rPr>
          <w:rFonts w:hint="eastAsia"/>
          <w:sz w:val="24"/>
          <w:szCs w:val="24"/>
        </w:rPr>
        <w:t>1）对于不涉及硬件损坏的简单故障，应能在故障发生后7*24小时，提供电话技术支持予以解决。</w:t>
      </w:r>
    </w:p>
    <w:p>
      <w:pPr>
        <w:spacing w:line="360" w:lineRule="auto"/>
        <w:ind w:firstLine="480" w:firstLineChars="200"/>
        <w:rPr>
          <w:rFonts w:hint="eastAsia"/>
          <w:sz w:val="24"/>
          <w:szCs w:val="24"/>
        </w:rPr>
      </w:pPr>
      <w:r>
        <w:rPr>
          <w:rFonts w:hint="eastAsia"/>
          <w:sz w:val="24"/>
          <w:szCs w:val="24"/>
        </w:rPr>
        <w:t>2）对于需要维修人员抵达现场解决的问题，应在人员抵达后2小时内查明故障原因，提出解决方案，对于可立刻解决的应当场解决。如确因故障情况复杂，特征不明显等原因无法在2小时内查明原因的，维修人员应做出书面解释，让使用单位充分了解情况。</w:t>
      </w:r>
    </w:p>
    <w:p>
      <w:pPr>
        <w:spacing w:line="360" w:lineRule="auto"/>
        <w:ind w:firstLine="480" w:firstLineChars="200"/>
        <w:rPr>
          <w:rFonts w:hint="eastAsia"/>
          <w:sz w:val="24"/>
          <w:szCs w:val="24"/>
        </w:rPr>
      </w:pPr>
      <w:r>
        <w:rPr>
          <w:rFonts w:hint="eastAsia"/>
          <w:sz w:val="24"/>
          <w:szCs w:val="24"/>
        </w:rPr>
        <w:t>3）对于在</w:t>
      </w:r>
      <w:r>
        <w:rPr>
          <w:rFonts w:hint="eastAsia"/>
          <w:sz w:val="24"/>
          <w:szCs w:val="24"/>
          <w:lang w:val="en-US" w:eastAsia="zh-CN"/>
        </w:rPr>
        <w:t>延保后</w:t>
      </w:r>
      <w:r>
        <w:rPr>
          <w:rFonts w:hint="eastAsia"/>
          <w:sz w:val="24"/>
          <w:szCs w:val="24"/>
        </w:rPr>
        <w:t>质保期内，维修人员发现设备无法正常工作时，应能在4小时内提供备件，保障甲方正常工作，一周内完成设备更换。</w:t>
      </w:r>
    </w:p>
    <w:sectPr>
      <w:pgSz w:w="11906" w:h="16838"/>
      <w:pgMar w:top="720" w:right="850" w:bottom="720" w:left="85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A0BD75A"/>
    <w:multiLevelType w:val="singleLevel"/>
    <w:tmpl w:val="FA0BD75A"/>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3F2C"/>
    <w:rsid w:val="00056AB6"/>
    <w:rsid w:val="00056E67"/>
    <w:rsid w:val="000876DF"/>
    <w:rsid w:val="00144A2B"/>
    <w:rsid w:val="00191750"/>
    <w:rsid w:val="001A4714"/>
    <w:rsid w:val="001D53A5"/>
    <w:rsid w:val="001F27C4"/>
    <w:rsid w:val="001F5474"/>
    <w:rsid w:val="00212E4F"/>
    <w:rsid w:val="002467CC"/>
    <w:rsid w:val="002923AD"/>
    <w:rsid w:val="002E532E"/>
    <w:rsid w:val="00353179"/>
    <w:rsid w:val="0036634B"/>
    <w:rsid w:val="00373754"/>
    <w:rsid w:val="004266FD"/>
    <w:rsid w:val="0044691F"/>
    <w:rsid w:val="00507229"/>
    <w:rsid w:val="0053710B"/>
    <w:rsid w:val="00551ABA"/>
    <w:rsid w:val="00551CED"/>
    <w:rsid w:val="005F5E0D"/>
    <w:rsid w:val="00687297"/>
    <w:rsid w:val="00756DF7"/>
    <w:rsid w:val="00773835"/>
    <w:rsid w:val="00833E75"/>
    <w:rsid w:val="00835497"/>
    <w:rsid w:val="008955F3"/>
    <w:rsid w:val="008A3E72"/>
    <w:rsid w:val="008C0886"/>
    <w:rsid w:val="00946575"/>
    <w:rsid w:val="00962531"/>
    <w:rsid w:val="00987E9F"/>
    <w:rsid w:val="00995C25"/>
    <w:rsid w:val="009F582F"/>
    <w:rsid w:val="00A060FE"/>
    <w:rsid w:val="00A42187"/>
    <w:rsid w:val="00A55607"/>
    <w:rsid w:val="00A665A5"/>
    <w:rsid w:val="00AD7F76"/>
    <w:rsid w:val="00AF58DA"/>
    <w:rsid w:val="00B113A4"/>
    <w:rsid w:val="00B51358"/>
    <w:rsid w:val="00B958D0"/>
    <w:rsid w:val="00C219D4"/>
    <w:rsid w:val="00C24F67"/>
    <w:rsid w:val="00C53F2C"/>
    <w:rsid w:val="00C62714"/>
    <w:rsid w:val="00C830B6"/>
    <w:rsid w:val="00CC730E"/>
    <w:rsid w:val="00CE5BFB"/>
    <w:rsid w:val="00D10D89"/>
    <w:rsid w:val="00D5167D"/>
    <w:rsid w:val="00E53D50"/>
    <w:rsid w:val="00E92DB2"/>
    <w:rsid w:val="00EE5B91"/>
    <w:rsid w:val="00F144B3"/>
    <w:rsid w:val="00FF7A28"/>
    <w:rsid w:val="089F43C4"/>
    <w:rsid w:val="1DE0072F"/>
    <w:rsid w:val="2EB414DD"/>
    <w:rsid w:val="396F459D"/>
    <w:rsid w:val="3B3B64A0"/>
    <w:rsid w:val="40497458"/>
    <w:rsid w:val="6C1C1D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14:ligatures w14:val="standardContextual"/>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unhideWhenUsed/>
    <w:qFormat/>
    <w:uiPriority w:val="0"/>
    <w:pPr>
      <w:keepNext/>
      <w:keepLines/>
      <w:tabs>
        <w:tab w:val="left" w:pos="0"/>
      </w:tabs>
      <w:spacing w:before="260" w:after="260"/>
      <w:ind w:left="575" w:hanging="575"/>
      <w:outlineLvl w:val="1"/>
    </w:pPr>
    <w:rPr>
      <w:rFonts w:ascii="Arial" w:hAnsi="Arial"/>
      <w:b/>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4">
    <w:name w:val="footer"/>
    <w:basedOn w:val="1"/>
    <w:link w:val="10"/>
    <w:unhideWhenUsed/>
    <w:uiPriority w:val="99"/>
    <w:pPr>
      <w:tabs>
        <w:tab w:val="center" w:pos="4153"/>
        <w:tab w:val="right" w:pos="8306"/>
      </w:tabs>
      <w:snapToGrid w:val="0"/>
      <w:jc w:val="left"/>
    </w:pPr>
    <w:rPr>
      <w:sz w:val="18"/>
      <w:szCs w:val="18"/>
    </w:rPr>
  </w:style>
  <w:style w:type="paragraph" w:styleId="5">
    <w:name w:val="header"/>
    <w:basedOn w:val="1"/>
    <w:link w:val="9"/>
    <w:unhideWhenUsed/>
    <w:uiPriority w:val="99"/>
    <w:pPr>
      <w:tabs>
        <w:tab w:val="center" w:pos="4153"/>
        <w:tab w:val="right" w:pos="8306"/>
      </w:tabs>
      <w:snapToGrid w:val="0"/>
      <w:jc w:val="center"/>
    </w:pPr>
    <w:rPr>
      <w:sz w:val="18"/>
      <w:szCs w:val="18"/>
    </w:rPr>
  </w:style>
  <w:style w:type="table" w:styleId="7">
    <w:name w:val="Table Grid"/>
    <w:basedOn w:val="6"/>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页眉 字符"/>
    <w:basedOn w:val="8"/>
    <w:link w:val="5"/>
    <w:uiPriority w:val="99"/>
    <w:rPr>
      <w:sz w:val="18"/>
      <w:szCs w:val="18"/>
    </w:rPr>
  </w:style>
  <w:style w:type="character" w:customStyle="1" w:styleId="10">
    <w:name w:val="页脚 字符"/>
    <w:basedOn w:val="8"/>
    <w:link w:val="4"/>
    <w:uiPriority w:val="99"/>
    <w:rPr>
      <w:sz w:val="18"/>
      <w:szCs w:val="18"/>
    </w:rPr>
  </w:style>
  <w:style w:type="paragraph" w:customStyle="1" w:styleId="11">
    <w:name w:val="列出段落1"/>
    <w:basedOn w:val="1"/>
    <w:qFormat/>
    <w:uiPriority w:val="34"/>
    <w:pPr>
      <w:spacing w:line="360" w:lineRule="auto"/>
      <w:ind w:firstLine="420" w:firstLineChars="200"/>
    </w:pPr>
    <w:rPr>
      <w:rFonts w:ascii="Times New Roman" w:hAnsi="Times New Roman" w:eastAsia="宋体" w:cs="Times New Roman"/>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162</Words>
  <Characters>924</Characters>
  <Lines>7</Lines>
  <Paragraphs>2</Paragraphs>
  <TotalTime>34</TotalTime>
  <ScaleCrop>false</ScaleCrop>
  <LinksUpToDate>false</LinksUpToDate>
  <CharactersWithSpaces>1084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2024-08-04T07:07:00Z</dcterms:created>
  <dc:creator>如胜 李</dc:creator>
  <cp:lastModifiedBy>HTD</cp:lastModifiedBy>
  <dcterms:modified xsi:type="dcterms:W3CDTF">2024-08-04T09:16:00Z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891268B888004DB682D938F1310BAAE1</vt:lpwstr>
  </property>
</Properties>
</file>