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center"/>
        <w:rPr>
          <w:rFonts w:ascii="隶书" w:eastAsia="隶书"/>
          <w:sz w:val="56"/>
          <w:szCs w:val="56"/>
          <w:highlight w:val="none"/>
        </w:rPr>
      </w:pPr>
    </w:p>
    <w:p>
      <w:pPr>
        <w:pStyle w:val="17"/>
        <w:rPr>
          <w:rFonts w:hint="eastAsia" w:ascii="黑体" w:hAnsi="黑体" w:eastAsia="黑体" w:cs="黑体"/>
          <w:sz w:val="48"/>
          <w:szCs w:val="48"/>
          <w:highlight w:val="none"/>
          <w:lang w:val="en-US" w:eastAsia="zh-CN"/>
        </w:rPr>
      </w:pPr>
    </w:p>
    <w:p>
      <w:pPr>
        <w:pStyle w:val="7"/>
        <w:jc w:val="center"/>
        <w:rPr>
          <w:rFonts w:ascii="隶书" w:eastAsia="隶书"/>
          <w:sz w:val="48"/>
          <w:szCs w:val="48"/>
          <w:highlight w:val="none"/>
        </w:rPr>
      </w:pPr>
      <w:r>
        <w:rPr>
          <w:rFonts w:hint="eastAsia" w:ascii="黑体" w:hAnsi="黑体" w:eastAsia="黑体" w:cs="黑体"/>
          <w:sz w:val="48"/>
          <w:szCs w:val="48"/>
          <w:highlight w:val="none"/>
        </w:rPr>
        <w:t>广州供电局知识产权代理采购招标控制价编制造价咨询服务</w:t>
      </w:r>
    </w:p>
    <w:p>
      <w:pPr>
        <w:pStyle w:val="7"/>
        <w:jc w:val="center"/>
        <w:rPr>
          <w:rFonts w:ascii="隶书" w:eastAsia="隶书"/>
          <w:sz w:val="48"/>
          <w:szCs w:val="48"/>
          <w:highlight w:val="none"/>
        </w:rPr>
      </w:pPr>
    </w:p>
    <w:p>
      <w:pPr>
        <w:pStyle w:val="7"/>
        <w:jc w:val="center"/>
        <w:rPr>
          <w:rFonts w:ascii="隶书" w:eastAsia="隶书"/>
          <w:sz w:val="48"/>
          <w:szCs w:val="48"/>
          <w:highlight w:val="none"/>
        </w:rPr>
      </w:pPr>
    </w:p>
    <w:p>
      <w:pPr>
        <w:pStyle w:val="7"/>
        <w:jc w:val="center"/>
        <w:rPr>
          <w:rFonts w:ascii="黑体" w:hAnsi="黑体" w:eastAsia="黑体" w:cs="黑体"/>
          <w:sz w:val="52"/>
          <w:szCs w:val="52"/>
          <w:highlight w:val="none"/>
        </w:rPr>
      </w:pPr>
      <w:r>
        <w:rPr>
          <w:rFonts w:hint="eastAsia" w:ascii="黑体" w:hAnsi="黑体" w:eastAsia="黑体" w:cs="黑体"/>
          <w:sz w:val="52"/>
          <w:szCs w:val="52"/>
          <w:highlight w:val="none"/>
        </w:rPr>
        <w:t>技术规范书</w:t>
      </w:r>
    </w:p>
    <w:p>
      <w:pPr>
        <w:spacing w:before="156" w:beforeLines="50"/>
        <w:rPr>
          <w:rFonts w:ascii="楷体_GB2312" w:hAnsi="宋体" w:eastAsia="楷体_GB2312"/>
          <w:sz w:val="32"/>
          <w:szCs w:val="32"/>
          <w:highlight w:val="none"/>
        </w:rPr>
      </w:pPr>
    </w:p>
    <w:p>
      <w:pPr>
        <w:spacing w:before="156" w:beforeLines="50"/>
        <w:jc w:val="center"/>
        <w:rPr>
          <w:rFonts w:ascii="楷体_GB2312" w:hAnsi="宋体" w:eastAsia="楷体_GB2312"/>
          <w:sz w:val="32"/>
          <w:szCs w:val="32"/>
          <w:highlight w:val="none"/>
        </w:rPr>
      </w:pPr>
    </w:p>
    <w:p>
      <w:pPr>
        <w:spacing w:before="156" w:beforeLines="50"/>
        <w:rPr>
          <w:rFonts w:ascii="楷体_GB2312" w:hAnsi="宋体" w:eastAsia="楷体_GB2312"/>
          <w:sz w:val="32"/>
          <w:szCs w:val="32"/>
          <w:highlight w:val="none"/>
        </w:rPr>
      </w:pPr>
    </w:p>
    <w:p>
      <w:pPr>
        <w:pStyle w:val="18"/>
        <w:rPr>
          <w:rStyle w:val="20"/>
          <w:rFonts w:ascii="黑体" w:hAnsi="黑体" w:eastAsia="黑体" w:cs="黑体"/>
          <w:highlight w:val="none"/>
        </w:rPr>
      </w:pPr>
    </w:p>
    <w:p>
      <w:pPr>
        <w:pStyle w:val="18"/>
        <w:rPr>
          <w:rStyle w:val="20"/>
          <w:rFonts w:ascii="黑体" w:hAnsi="黑体" w:eastAsia="黑体" w:cs="黑体"/>
          <w:highlight w:val="none"/>
        </w:rPr>
      </w:pPr>
    </w:p>
    <w:p>
      <w:pPr>
        <w:pStyle w:val="18"/>
        <w:rPr>
          <w:rFonts w:ascii="黑体" w:hAnsi="黑体" w:eastAsia="黑体" w:cs="黑体"/>
          <w:highlight w:val="none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Style w:val="20"/>
          <w:rFonts w:hint="eastAsia" w:ascii="黑体" w:hAnsi="黑体" w:eastAsia="黑体" w:cs="黑体"/>
          <w:highlight w:val="none"/>
          <w:lang w:val="en-US" w:eastAsia="zh-CN"/>
        </w:rPr>
        <w:t>2024</w:t>
      </w:r>
      <w:r>
        <w:rPr>
          <w:rStyle w:val="20"/>
          <w:rFonts w:hint="eastAsia" w:ascii="黑体" w:hAnsi="黑体" w:eastAsia="黑体" w:cs="黑体"/>
          <w:highlight w:val="none"/>
        </w:rPr>
        <w:t>年</w:t>
      </w:r>
      <w:r>
        <w:rPr>
          <w:rStyle w:val="20"/>
          <w:rFonts w:hint="eastAsia" w:ascii="黑体" w:hAnsi="黑体" w:eastAsia="黑体" w:cs="黑体"/>
          <w:highlight w:val="none"/>
          <w:lang w:val="en-US" w:eastAsia="zh-CN"/>
        </w:rPr>
        <w:t>7</w:t>
      </w:r>
      <w:r>
        <w:rPr>
          <w:rStyle w:val="20"/>
          <w:rFonts w:hint="eastAsia" w:ascii="黑体" w:hAnsi="黑体" w:eastAsia="黑体" w:cs="黑体"/>
          <w:highlight w:val="none"/>
        </w:rPr>
        <w:t>月</w:t>
      </w:r>
    </w:p>
    <w:p>
      <w:pPr>
        <w:spacing w:line="480" w:lineRule="auto"/>
        <w:jc w:val="center"/>
        <w:outlineLvl w:val="0"/>
        <w:rPr>
          <w:rFonts w:asciiTheme="minorEastAsia" w:hAnsiTheme="minorEastAsia" w:eastAsiaTheme="minorEastAsia" w:cstheme="minorEastAsia"/>
          <w:bCs/>
          <w:sz w:val="44"/>
          <w:szCs w:val="36"/>
          <w:highlight w:val="none"/>
        </w:rPr>
      </w:pPr>
      <w:bookmarkStart w:id="0" w:name="_Toc6059"/>
      <w:bookmarkStart w:id="1" w:name="_Toc26266"/>
      <w:bookmarkStart w:id="2" w:name="_Toc29868"/>
    </w:p>
    <w:p>
      <w:pPr>
        <w:spacing w:line="480" w:lineRule="auto"/>
        <w:jc w:val="center"/>
        <w:outlineLvl w:val="0"/>
        <w:rPr>
          <w:rFonts w:asciiTheme="minorEastAsia" w:hAnsiTheme="minorEastAsia" w:eastAsiaTheme="minorEastAsia" w:cstheme="minorEastAsia"/>
          <w:bCs/>
          <w:sz w:val="44"/>
          <w:szCs w:val="36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sz w:val="44"/>
          <w:szCs w:val="36"/>
          <w:highlight w:val="none"/>
        </w:rPr>
        <w:t>目录</w:t>
      </w:r>
      <w:bookmarkEnd w:id="0"/>
      <w:bookmarkEnd w:id="1"/>
      <w:bookmarkEnd w:id="2"/>
    </w:p>
    <w:p>
      <w:pPr>
        <w:pStyle w:val="10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  <w:highlight w:val="none"/>
        </w:rPr>
      </w:pPr>
      <w:r>
        <w:rPr>
          <w:rFonts w:hint="eastAsia" w:ascii="黑体" w:hAnsi="黑体" w:eastAsia="黑体" w:cs="黑体"/>
          <w:b/>
          <w:sz w:val="24"/>
          <w:highlight w:val="none"/>
        </w:rPr>
        <w:fldChar w:fldCharType="begin"/>
      </w:r>
      <w:r>
        <w:rPr>
          <w:rFonts w:hint="eastAsia" w:ascii="黑体" w:hAnsi="黑体" w:eastAsia="黑体" w:cs="黑体"/>
          <w:b/>
          <w:sz w:val="24"/>
          <w:highlight w:val="none"/>
        </w:rPr>
        <w:instrText xml:space="preserve">TOC \o "1-2" \h \u </w:instrText>
      </w:r>
      <w:r>
        <w:rPr>
          <w:rFonts w:hint="eastAsia" w:ascii="黑体" w:hAnsi="黑体" w:eastAsia="黑体" w:cs="黑体"/>
          <w:b/>
          <w:sz w:val="24"/>
          <w:highlight w:val="none"/>
        </w:rPr>
        <w:fldChar w:fldCharType="separate"/>
      </w:r>
    </w:p>
    <w:p>
      <w:pPr>
        <w:pStyle w:val="10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  <w:highlight w:val="none"/>
        </w:rPr>
      </w:pPr>
      <w:r>
        <w:rPr>
          <w:highlight w:val="none"/>
        </w:rPr>
        <w:fldChar w:fldCharType="begin"/>
      </w:r>
      <w:r>
        <w:rPr>
          <w:highlight w:val="none"/>
        </w:rPr>
        <w:instrText xml:space="preserve"> HYPERLINK \l "_Toc16459" </w:instrText>
      </w:r>
      <w:r>
        <w:rPr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 xml:space="preserve">1  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项目</w:t>
      </w:r>
      <w:r>
        <w:rPr>
          <w:rFonts w:hint="eastAsia" w:ascii="黑体" w:hAnsi="黑体" w:eastAsia="黑体" w:cs="黑体"/>
          <w:sz w:val="24"/>
          <w:highlight w:val="none"/>
        </w:rPr>
        <w:t>概况</w:t>
      </w:r>
      <w:r>
        <w:rPr>
          <w:rFonts w:hint="eastAsia" w:ascii="黑体" w:hAnsi="黑体" w:eastAsia="黑体" w:cs="黑体"/>
          <w:sz w:val="24"/>
          <w:highlight w:val="none"/>
        </w:rPr>
        <w:tab/>
      </w:r>
      <w:r>
        <w:rPr>
          <w:rFonts w:hint="eastAsia" w:ascii="黑体" w:hAnsi="黑体" w:eastAsia="黑体" w:cs="黑体"/>
          <w:sz w:val="24"/>
          <w:highlight w:val="none"/>
        </w:rPr>
        <w:fldChar w:fldCharType="begin"/>
      </w:r>
      <w:r>
        <w:rPr>
          <w:rFonts w:hint="eastAsia" w:ascii="黑体" w:hAnsi="黑体" w:eastAsia="黑体" w:cs="黑体"/>
          <w:sz w:val="24"/>
          <w:highlight w:val="none"/>
        </w:rPr>
        <w:instrText xml:space="preserve"> PAGEREF _Toc16459 </w:instrText>
      </w:r>
      <w:r>
        <w:rPr>
          <w:rFonts w:hint="eastAsia" w:ascii="黑体" w:hAnsi="黑体" w:eastAsia="黑体" w:cs="黑体"/>
          <w:sz w:val="24"/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3</w:t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</w:p>
    <w:p>
      <w:pPr>
        <w:pStyle w:val="10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  <w:highlight w:val="none"/>
        </w:rPr>
      </w:pPr>
      <w:r>
        <w:rPr>
          <w:highlight w:val="none"/>
        </w:rPr>
        <w:fldChar w:fldCharType="begin"/>
      </w:r>
      <w:r>
        <w:rPr>
          <w:highlight w:val="none"/>
        </w:rPr>
        <w:instrText xml:space="preserve"> HYPERLINK \l "_Toc7671" </w:instrText>
      </w:r>
      <w:r>
        <w:rPr>
          <w:highlight w:val="none"/>
        </w:rPr>
        <w:fldChar w:fldCharType="separate"/>
      </w:r>
      <w:r>
        <w:rPr>
          <w:rFonts w:hint="eastAsia" w:ascii="黑体" w:hAnsi="黑体" w:eastAsia="黑体" w:cs="黑体"/>
          <w:kern w:val="0"/>
          <w:sz w:val="24"/>
          <w:highlight w:val="none"/>
        </w:rPr>
        <w:t xml:space="preserve">2  </w:t>
      </w:r>
      <w:r>
        <w:rPr>
          <w:rFonts w:hint="eastAsia" w:ascii="黑体" w:hAnsi="黑体" w:eastAsia="黑体" w:cs="黑体"/>
          <w:sz w:val="24"/>
          <w:highlight w:val="none"/>
        </w:rPr>
        <w:t>项目要求</w:t>
      </w:r>
      <w:r>
        <w:rPr>
          <w:rFonts w:hint="eastAsia" w:ascii="黑体" w:hAnsi="黑体" w:eastAsia="黑体" w:cs="黑体"/>
          <w:sz w:val="24"/>
          <w:highlight w:val="none"/>
        </w:rPr>
        <w:tab/>
      </w:r>
      <w:r>
        <w:rPr>
          <w:rFonts w:hint="eastAsia" w:ascii="黑体" w:hAnsi="黑体" w:eastAsia="黑体" w:cs="黑体"/>
          <w:sz w:val="24"/>
          <w:highlight w:val="none"/>
        </w:rPr>
        <w:fldChar w:fldCharType="begin"/>
      </w:r>
      <w:r>
        <w:rPr>
          <w:rFonts w:hint="eastAsia" w:ascii="黑体" w:hAnsi="黑体" w:eastAsia="黑体" w:cs="黑体"/>
          <w:sz w:val="24"/>
          <w:highlight w:val="none"/>
        </w:rPr>
        <w:instrText xml:space="preserve"> PAGEREF _Toc7671 </w:instrText>
      </w:r>
      <w:r>
        <w:rPr>
          <w:rFonts w:hint="eastAsia" w:ascii="黑体" w:hAnsi="黑体" w:eastAsia="黑体" w:cs="黑体"/>
          <w:sz w:val="24"/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3</w:t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</w:p>
    <w:p>
      <w:pPr>
        <w:pStyle w:val="10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  <w:highlight w:val="none"/>
        </w:rPr>
      </w:pPr>
      <w:r>
        <w:rPr>
          <w:highlight w:val="none"/>
        </w:rPr>
        <w:fldChar w:fldCharType="begin"/>
      </w:r>
      <w:r>
        <w:rPr>
          <w:highlight w:val="none"/>
        </w:rPr>
        <w:instrText xml:space="preserve"> HYPERLINK \l "_Toc16082" </w:instrText>
      </w:r>
      <w:r>
        <w:rPr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3  技术服务的要求</w:t>
      </w:r>
      <w:r>
        <w:rPr>
          <w:rFonts w:hint="eastAsia" w:ascii="黑体" w:hAnsi="黑体" w:eastAsia="黑体" w:cs="黑体"/>
          <w:sz w:val="24"/>
          <w:highlight w:val="none"/>
        </w:rPr>
        <w:tab/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3</w:t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</w:p>
    <w:p>
      <w:pPr>
        <w:pStyle w:val="10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  <w:highlight w:val="none"/>
        </w:rPr>
      </w:pPr>
      <w:r>
        <w:rPr>
          <w:highlight w:val="none"/>
        </w:rPr>
        <w:fldChar w:fldCharType="begin"/>
      </w:r>
      <w:r>
        <w:rPr>
          <w:highlight w:val="none"/>
        </w:rPr>
        <w:instrText xml:space="preserve"> HYPERLINK \l "_Toc21612" </w:instrText>
      </w:r>
      <w:r>
        <w:rPr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4  时间进度要求</w:t>
      </w:r>
      <w:r>
        <w:rPr>
          <w:rFonts w:hint="eastAsia" w:ascii="黑体" w:hAnsi="黑体" w:eastAsia="黑体" w:cs="黑体"/>
          <w:sz w:val="24"/>
          <w:highlight w:val="none"/>
        </w:rPr>
        <w:tab/>
      </w:r>
      <w:r>
        <w:rPr>
          <w:rFonts w:hint="eastAsia" w:ascii="黑体" w:hAnsi="黑体" w:eastAsia="黑体" w:cs="黑体"/>
          <w:sz w:val="24"/>
          <w:highlight w:val="none"/>
        </w:rPr>
        <w:fldChar w:fldCharType="begin"/>
      </w:r>
      <w:r>
        <w:rPr>
          <w:rFonts w:hint="eastAsia" w:ascii="黑体" w:hAnsi="黑体" w:eastAsia="黑体" w:cs="黑体"/>
          <w:sz w:val="24"/>
          <w:highlight w:val="none"/>
        </w:rPr>
        <w:instrText xml:space="preserve"> PAGEREF _Toc21612 </w:instrText>
      </w:r>
      <w:r>
        <w:rPr>
          <w:rFonts w:hint="eastAsia" w:ascii="黑体" w:hAnsi="黑体" w:eastAsia="黑体" w:cs="黑体"/>
          <w:sz w:val="24"/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3</w:t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</w:p>
    <w:p>
      <w:pPr>
        <w:pStyle w:val="10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  <w:highlight w:val="none"/>
        </w:rPr>
      </w:pPr>
      <w:r>
        <w:rPr>
          <w:highlight w:val="none"/>
        </w:rPr>
        <w:fldChar w:fldCharType="begin"/>
      </w:r>
      <w:r>
        <w:rPr>
          <w:highlight w:val="none"/>
        </w:rPr>
        <w:instrText xml:space="preserve"> HYPERLINK \l "_Toc8651" </w:instrText>
      </w:r>
      <w:r>
        <w:rPr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5  交付与验收</w:t>
      </w:r>
      <w:r>
        <w:rPr>
          <w:rFonts w:hint="eastAsia" w:ascii="黑体" w:hAnsi="黑体" w:eastAsia="黑体" w:cs="黑体"/>
          <w:sz w:val="24"/>
          <w:highlight w:val="none"/>
        </w:rPr>
        <w:tab/>
      </w:r>
      <w:r>
        <w:rPr>
          <w:rFonts w:hint="eastAsia" w:ascii="黑体" w:hAnsi="黑体" w:eastAsia="黑体" w:cs="黑体"/>
          <w:sz w:val="24"/>
          <w:highlight w:val="none"/>
        </w:rPr>
        <w:fldChar w:fldCharType="begin"/>
      </w:r>
      <w:r>
        <w:rPr>
          <w:rFonts w:hint="eastAsia" w:ascii="黑体" w:hAnsi="黑体" w:eastAsia="黑体" w:cs="黑体"/>
          <w:sz w:val="24"/>
          <w:highlight w:val="none"/>
        </w:rPr>
        <w:instrText xml:space="preserve"> PAGEREF _Toc8651 </w:instrText>
      </w:r>
      <w:r>
        <w:rPr>
          <w:rFonts w:hint="eastAsia" w:ascii="黑体" w:hAnsi="黑体" w:eastAsia="黑体" w:cs="黑体"/>
          <w:sz w:val="24"/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4</w:t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</w:p>
    <w:p>
      <w:pPr>
        <w:pStyle w:val="10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  <w:highlight w:val="none"/>
        </w:rPr>
      </w:pPr>
      <w:r>
        <w:rPr>
          <w:highlight w:val="none"/>
        </w:rPr>
        <w:fldChar w:fldCharType="begin"/>
      </w:r>
      <w:r>
        <w:rPr>
          <w:highlight w:val="none"/>
        </w:rPr>
        <w:instrText xml:space="preserve"> HYPERLINK \l "_Toc859" </w:instrText>
      </w:r>
      <w:r>
        <w:rPr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6  投标技术文件要求</w:t>
      </w:r>
      <w:r>
        <w:rPr>
          <w:rFonts w:hint="eastAsia" w:ascii="黑体" w:hAnsi="黑体" w:eastAsia="黑体" w:cs="黑体"/>
          <w:sz w:val="24"/>
          <w:highlight w:val="none"/>
        </w:rPr>
        <w:tab/>
      </w:r>
      <w:r>
        <w:rPr>
          <w:rFonts w:hint="eastAsia" w:ascii="黑体" w:hAnsi="黑体" w:eastAsia="黑体" w:cs="黑体"/>
          <w:sz w:val="24"/>
          <w:highlight w:val="none"/>
        </w:rPr>
        <w:fldChar w:fldCharType="begin"/>
      </w:r>
      <w:r>
        <w:rPr>
          <w:rFonts w:hint="eastAsia" w:ascii="黑体" w:hAnsi="黑体" w:eastAsia="黑体" w:cs="黑体"/>
          <w:sz w:val="24"/>
          <w:highlight w:val="none"/>
        </w:rPr>
        <w:instrText xml:space="preserve"> PAGEREF _Toc859 </w:instrText>
      </w:r>
      <w:r>
        <w:rPr>
          <w:rFonts w:hint="eastAsia" w:ascii="黑体" w:hAnsi="黑体" w:eastAsia="黑体" w:cs="黑体"/>
          <w:sz w:val="24"/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4</w:t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</w:p>
    <w:p>
      <w:pPr>
        <w:spacing w:line="560" w:lineRule="exact"/>
        <w:rPr>
          <w:rFonts w:hint="eastAsia" w:ascii="黑体" w:hAnsi="黑体" w:eastAsia="黑体" w:cs="黑体"/>
          <w:sz w:val="24"/>
          <w:highlight w:val="none"/>
        </w:rPr>
      </w:pP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</w:p>
    <w:p>
      <w:pPr>
        <w:rPr>
          <w:rFonts w:hint="eastAsia" w:ascii="黑体" w:hAnsi="黑体" w:eastAsia="黑体" w:cs="黑体"/>
          <w:sz w:val="24"/>
          <w:highlight w:val="none"/>
        </w:rPr>
      </w:pPr>
      <w:r>
        <w:rPr>
          <w:rFonts w:hint="eastAsia" w:ascii="黑体" w:hAnsi="黑体" w:eastAsia="黑体" w:cs="黑体"/>
          <w:sz w:val="24"/>
          <w:highlight w:val="none"/>
        </w:rPr>
        <w:br w:type="page"/>
      </w:r>
    </w:p>
    <w:p>
      <w:pPr>
        <w:pStyle w:val="2"/>
        <w:rPr>
          <w:highlight w:val="none"/>
        </w:rPr>
      </w:pPr>
    </w:p>
    <w:p>
      <w:pPr>
        <w:spacing w:line="480" w:lineRule="auto"/>
        <w:jc w:val="center"/>
        <w:outlineLvl w:val="0"/>
        <w:rPr>
          <w:rFonts w:ascii="宋体" w:hAnsi="宋体"/>
          <w:b/>
          <w:sz w:val="32"/>
          <w:highlight w:val="none"/>
        </w:rPr>
      </w:pPr>
      <w:bookmarkStart w:id="3" w:name="_Toc9243"/>
      <w:bookmarkStart w:id="4" w:name="_Toc32342"/>
      <w:bookmarkStart w:id="5" w:name="_Toc266713645"/>
      <w:bookmarkStart w:id="6" w:name="_Toc19589"/>
      <w:r>
        <w:rPr>
          <w:rFonts w:hint="eastAsia" w:ascii="宋体" w:hAnsi="宋体"/>
          <w:b/>
          <w:sz w:val="32"/>
          <w:highlight w:val="none"/>
        </w:rPr>
        <w:t>总 则</w:t>
      </w:r>
      <w:bookmarkEnd w:id="3"/>
      <w:bookmarkEnd w:id="4"/>
      <w:bookmarkEnd w:id="5"/>
      <w:bookmarkEnd w:id="6"/>
    </w:p>
    <w:p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本文件为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该采购项目的</w:t>
      </w:r>
      <w:r>
        <w:rPr>
          <w:rFonts w:hint="eastAsia" w:ascii="宋体" w:hAnsi="宋体"/>
          <w:bCs/>
          <w:sz w:val="24"/>
          <w:highlight w:val="none"/>
        </w:rPr>
        <w:t>技术招标文件。</w:t>
      </w:r>
    </w:p>
    <w:p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本文件所描述的各</w:t>
      </w:r>
      <w:r>
        <w:rPr>
          <w:rFonts w:hint="eastAsia" w:hAnsi="宋体"/>
          <w:bCs/>
          <w:sz w:val="24"/>
          <w:highlight w:val="none"/>
        </w:rPr>
        <w:t>项技术要求</w:t>
      </w:r>
      <w:r>
        <w:rPr>
          <w:rFonts w:hint="eastAsia" w:ascii="宋体" w:hAnsi="宋体"/>
          <w:bCs/>
          <w:sz w:val="24"/>
          <w:highlight w:val="none"/>
        </w:rPr>
        <w:t>仅供投标方编制投标文件之用。</w:t>
      </w:r>
    </w:p>
    <w:p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本标书仅描述基本的技术需求，并未对一切技术细节做出规定，也未充分引述有关标准和技术条文，投标方应根据需求目标提供进一步具体的可满足要求的</w:t>
      </w:r>
      <w:r>
        <w:rPr>
          <w:rFonts w:hint="eastAsia" w:hAnsi="宋体"/>
          <w:bCs/>
          <w:sz w:val="24"/>
          <w:highlight w:val="none"/>
        </w:rPr>
        <w:t>技术</w:t>
      </w:r>
      <w:r>
        <w:rPr>
          <w:rFonts w:hint="eastAsia" w:ascii="宋体" w:hAnsi="宋体"/>
          <w:bCs/>
          <w:sz w:val="24"/>
          <w:highlight w:val="none"/>
        </w:rPr>
        <w:t>指标。</w:t>
      </w:r>
    </w:p>
    <w:p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投标技术文件要求文字精练、数据准确、表述及图示清晰明确，具有针对性。</w:t>
      </w:r>
    </w:p>
    <w:p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szCs w:val="22"/>
          <w:highlight w:val="none"/>
        </w:rPr>
        <w:t>投标方在投标技术文件中应对本标书逐项予以说明和答复,应如实反映投标</w:t>
      </w:r>
      <w:r>
        <w:rPr>
          <w:rFonts w:hint="eastAsia" w:hAnsi="宋体"/>
          <w:bCs/>
          <w:sz w:val="24"/>
          <w:szCs w:val="22"/>
          <w:highlight w:val="none"/>
        </w:rPr>
        <w:t>服务</w:t>
      </w:r>
      <w:r>
        <w:rPr>
          <w:rFonts w:hint="eastAsia" w:ascii="宋体" w:hAnsi="宋体"/>
          <w:bCs/>
          <w:sz w:val="24"/>
          <w:szCs w:val="22"/>
          <w:highlight w:val="none"/>
        </w:rPr>
        <w:t>与本技术规范书的技术差异。如果投标方没有提出技术差异，而在执行合同的过程中，招标方发现投标方提供的</w:t>
      </w:r>
      <w:r>
        <w:rPr>
          <w:rFonts w:hint="eastAsia" w:hAnsi="宋体"/>
          <w:bCs/>
          <w:sz w:val="24"/>
          <w:szCs w:val="22"/>
          <w:highlight w:val="none"/>
        </w:rPr>
        <w:t>服务</w:t>
      </w:r>
      <w:r>
        <w:rPr>
          <w:rFonts w:hint="eastAsia" w:ascii="宋体" w:hAnsi="宋体"/>
          <w:bCs/>
          <w:sz w:val="24"/>
          <w:szCs w:val="22"/>
          <w:highlight w:val="none"/>
        </w:rPr>
        <w:t>与其投标技术文件的条文存在差异，招标方</w:t>
      </w:r>
      <w:r>
        <w:rPr>
          <w:rFonts w:hint="eastAsia" w:hAnsi="宋体"/>
          <w:bCs/>
          <w:sz w:val="24"/>
          <w:szCs w:val="22"/>
          <w:highlight w:val="none"/>
        </w:rPr>
        <w:t>将</w:t>
      </w:r>
      <w:r>
        <w:rPr>
          <w:rFonts w:hint="eastAsia" w:ascii="宋体" w:hAnsi="宋体"/>
          <w:bCs/>
          <w:sz w:val="24"/>
          <w:szCs w:val="22"/>
          <w:highlight w:val="none"/>
        </w:rPr>
        <w:t>追究投标方违约责任</w:t>
      </w:r>
      <w:r>
        <w:rPr>
          <w:rFonts w:hint="eastAsia" w:ascii="宋体" w:hAnsi="宋体"/>
          <w:bCs/>
          <w:sz w:val="24"/>
          <w:highlight w:val="none"/>
        </w:rPr>
        <w:t>。</w:t>
      </w:r>
    </w:p>
    <w:p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szCs w:val="22"/>
          <w:highlight w:val="none"/>
        </w:rPr>
        <w:t>投标方应在投标技术部分按本技术规范书的要求</w:t>
      </w:r>
      <w:r>
        <w:rPr>
          <w:rFonts w:hint="eastAsia" w:hAnsi="宋体"/>
          <w:bCs/>
          <w:sz w:val="24"/>
          <w:szCs w:val="22"/>
          <w:highlight w:val="none"/>
        </w:rPr>
        <w:t>内容</w:t>
      </w:r>
      <w:r>
        <w:rPr>
          <w:rFonts w:hint="eastAsia" w:ascii="宋体" w:hAnsi="宋体"/>
          <w:bCs/>
          <w:sz w:val="24"/>
          <w:szCs w:val="22"/>
          <w:highlight w:val="none"/>
        </w:rPr>
        <w:t>如实详细填写投标</w:t>
      </w:r>
      <w:r>
        <w:rPr>
          <w:rFonts w:hint="eastAsia" w:hAnsi="宋体"/>
          <w:bCs/>
          <w:sz w:val="24"/>
          <w:szCs w:val="22"/>
          <w:highlight w:val="none"/>
        </w:rPr>
        <w:t>服务</w:t>
      </w:r>
      <w:r>
        <w:rPr>
          <w:rFonts w:hint="eastAsia" w:ascii="宋体" w:hAnsi="宋体"/>
          <w:bCs/>
          <w:sz w:val="24"/>
          <w:szCs w:val="22"/>
          <w:highlight w:val="none"/>
        </w:rPr>
        <w:t>的</w:t>
      </w:r>
      <w:r>
        <w:rPr>
          <w:rFonts w:hint="eastAsia" w:hAnsi="宋体"/>
          <w:bCs/>
          <w:sz w:val="24"/>
          <w:szCs w:val="22"/>
          <w:highlight w:val="none"/>
        </w:rPr>
        <w:t>范围及明细</w:t>
      </w:r>
      <w:r>
        <w:rPr>
          <w:rFonts w:hint="eastAsia" w:ascii="宋体" w:hAnsi="宋体"/>
          <w:bCs/>
          <w:sz w:val="24"/>
          <w:szCs w:val="22"/>
          <w:highlight w:val="none"/>
        </w:rPr>
        <w:t>，并在投标商务部分</w:t>
      </w:r>
      <w:r>
        <w:rPr>
          <w:rFonts w:hint="eastAsia" w:hAnsi="宋体"/>
          <w:bCs/>
          <w:sz w:val="24"/>
          <w:szCs w:val="22"/>
          <w:highlight w:val="none"/>
        </w:rPr>
        <w:t>（或报价部分）</w:t>
      </w:r>
      <w:r>
        <w:rPr>
          <w:rFonts w:hint="eastAsia" w:ascii="宋体" w:hAnsi="宋体"/>
          <w:bCs/>
          <w:sz w:val="24"/>
          <w:szCs w:val="22"/>
          <w:highlight w:val="none"/>
        </w:rPr>
        <w:t>按</w:t>
      </w:r>
      <w:r>
        <w:rPr>
          <w:rFonts w:hint="eastAsia" w:hAnsi="宋体"/>
          <w:bCs/>
          <w:sz w:val="24"/>
          <w:szCs w:val="22"/>
          <w:highlight w:val="none"/>
        </w:rPr>
        <w:t>此范围及明细</w:t>
      </w:r>
      <w:r>
        <w:rPr>
          <w:rFonts w:hint="eastAsia" w:ascii="宋体" w:hAnsi="宋体"/>
          <w:bCs/>
          <w:sz w:val="24"/>
          <w:szCs w:val="22"/>
          <w:highlight w:val="none"/>
        </w:rPr>
        <w:t>进行</w:t>
      </w:r>
      <w:r>
        <w:rPr>
          <w:rFonts w:hint="eastAsia" w:hAnsi="宋体"/>
          <w:bCs/>
          <w:sz w:val="24"/>
          <w:szCs w:val="22"/>
          <w:highlight w:val="none"/>
        </w:rPr>
        <w:t>分项</w:t>
      </w:r>
      <w:r>
        <w:rPr>
          <w:rFonts w:hint="eastAsia" w:ascii="宋体" w:hAnsi="宋体"/>
          <w:bCs/>
          <w:sz w:val="24"/>
          <w:szCs w:val="22"/>
          <w:highlight w:val="none"/>
        </w:rPr>
        <w:t>报价，如发现</w:t>
      </w:r>
      <w:r>
        <w:rPr>
          <w:rFonts w:hint="eastAsia" w:hAnsi="宋体"/>
          <w:bCs/>
          <w:sz w:val="24"/>
          <w:szCs w:val="22"/>
          <w:highlight w:val="none"/>
        </w:rPr>
        <w:t>总报价与分项报价</w:t>
      </w:r>
      <w:r>
        <w:rPr>
          <w:rFonts w:hint="eastAsia" w:ascii="宋体" w:hAnsi="宋体"/>
          <w:bCs/>
          <w:sz w:val="24"/>
          <w:szCs w:val="22"/>
          <w:highlight w:val="none"/>
        </w:rPr>
        <w:t>有矛盾之处，将按有利于招标方的条款执行</w:t>
      </w:r>
      <w:r>
        <w:rPr>
          <w:rFonts w:hint="eastAsia" w:hAnsi="宋体"/>
          <w:bCs/>
          <w:sz w:val="24"/>
          <w:szCs w:val="22"/>
          <w:highlight w:val="none"/>
        </w:rPr>
        <w:t>。</w:t>
      </w:r>
      <w:r>
        <w:rPr>
          <w:rFonts w:hint="eastAsia" w:ascii="宋体" w:hAnsi="宋体"/>
          <w:bCs/>
          <w:sz w:val="24"/>
          <w:szCs w:val="22"/>
          <w:highlight w:val="none"/>
        </w:rPr>
        <w:t xml:space="preserve"> </w:t>
      </w:r>
    </w:p>
    <w:p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投标方必须仔细阅读采购文件的全部条款，并作出明确响应。采购文件带“★”号的条款及要求，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投标</w:t>
      </w:r>
      <w:r>
        <w:rPr>
          <w:rFonts w:hint="eastAsia" w:ascii="宋体" w:hAnsi="宋体"/>
          <w:bCs/>
          <w:sz w:val="24"/>
          <w:highlight w:val="none"/>
        </w:rPr>
        <w:t>方必须满足，若有一项不满足将否决投标。</w:t>
      </w:r>
    </w:p>
    <w:p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szCs w:val="22"/>
          <w:highlight w:val="none"/>
        </w:rPr>
      </w:pPr>
      <w:r>
        <w:rPr>
          <w:rFonts w:hint="eastAsia" w:ascii="宋体" w:hAnsi="宋体"/>
          <w:bCs/>
          <w:sz w:val="24"/>
          <w:szCs w:val="22"/>
          <w:highlight w:val="none"/>
        </w:rPr>
        <w:t>本技术规范书未尽事宜，由双方协商确定。</w:t>
      </w:r>
    </w:p>
    <w:p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本标书的最终解释权归招标方。</w:t>
      </w:r>
    </w:p>
    <w:p>
      <w:pPr>
        <w:pStyle w:val="21"/>
        <w:spacing w:before="312"/>
        <w:rPr>
          <w:szCs w:val="22"/>
          <w:highlight w:val="none"/>
        </w:rPr>
      </w:pPr>
      <w:r>
        <w:rPr>
          <w:rFonts w:hint="eastAsia"/>
          <w:szCs w:val="22"/>
          <w:highlight w:val="none"/>
        </w:rPr>
        <w:br w:type="page"/>
      </w:r>
    </w:p>
    <w:p>
      <w:pPr>
        <w:pStyle w:val="21"/>
        <w:spacing w:before="312"/>
        <w:outlineLvl w:val="0"/>
        <w:rPr>
          <w:rFonts w:ascii="黑体" w:hAnsi="黑体" w:eastAsia="黑体" w:cs="黑体"/>
          <w:sz w:val="28"/>
          <w:szCs w:val="28"/>
          <w:highlight w:val="none"/>
        </w:rPr>
      </w:pPr>
      <w:bookmarkStart w:id="7" w:name="_Toc16459"/>
      <w:r>
        <w:rPr>
          <w:rFonts w:hint="eastAsia" w:ascii="黑体" w:hAnsi="黑体" w:eastAsia="黑体" w:cs="黑体"/>
          <w:sz w:val="28"/>
          <w:szCs w:val="28"/>
          <w:highlight w:val="none"/>
        </w:rPr>
        <w:t xml:space="preserve">1  </w:t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项目</w:t>
      </w:r>
      <w:r>
        <w:rPr>
          <w:rFonts w:hint="eastAsia" w:ascii="黑体" w:hAnsi="黑体" w:eastAsia="黑体" w:cs="黑体"/>
          <w:sz w:val="28"/>
          <w:szCs w:val="28"/>
          <w:highlight w:val="none"/>
        </w:rPr>
        <w:t>概况</w:t>
      </w:r>
      <w:bookmarkEnd w:id="7"/>
      <w:bookmarkStart w:id="8" w:name="_Toc17049"/>
      <w:bookmarkStart w:id="9" w:name="_Toc7301"/>
    </w:p>
    <w:bookmarkEnd w:id="8"/>
    <w:bookmarkEnd w:id="9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0"/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项目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名称：广州供电局知识产权代理采购招标控制价编制造价咨询服务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概况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：本项目主要为广州供电局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招标知识产权代理所服务提供造价咨询服务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。</w:t>
      </w:r>
    </w:p>
    <w:p>
      <w:pPr>
        <w:spacing w:line="360" w:lineRule="auto"/>
        <w:ind w:left="720" w:hanging="720" w:hangingChars="300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工期：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业主通过下达工程量确认表为准进行相关的造价服务咨询，下达工程量确认表后7日内，供应商应出具工程招标控制价汇总表、工程招标控制价报告，并邮寄至指定地点。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outlineLvl w:val="9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交付物及数量：交付书面成果《文件工程招标控制价汇总表》一式三份、《工程招标控制价报告》一式三份，及对应交付物电子版各一份。</w:t>
      </w:r>
    </w:p>
    <w:p>
      <w:pPr>
        <w:spacing w:line="360" w:lineRule="auto"/>
        <w:ind w:left="720" w:hanging="720" w:hangingChars="300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 xml:space="preserve">造价服务范围及工作量：以具体的工程量确认表为准。 </w:t>
      </w:r>
    </w:p>
    <w:p>
      <w:pPr>
        <w:pStyle w:val="21"/>
        <w:spacing w:before="312"/>
        <w:outlineLvl w:val="0"/>
        <w:rPr>
          <w:rFonts w:ascii="黑体" w:hAnsi="黑体" w:eastAsia="黑体" w:cs="黑体"/>
          <w:sz w:val="28"/>
          <w:szCs w:val="28"/>
          <w:highlight w:val="none"/>
        </w:rPr>
      </w:pPr>
      <w:bookmarkStart w:id="10" w:name="_Toc7671"/>
      <w:r>
        <w:rPr>
          <w:rFonts w:hint="eastAsia" w:ascii="黑体" w:hAnsi="黑体" w:eastAsia="黑体" w:cs="黑体"/>
          <w:sz w:val="28"/>
          <w:szCs w:val="28"/>
          <w:highlight w:val="none"/>
        </w:rPr>
        <w:t>2  项目要求</w:t>
      </w:r>
      <w:bookmarkEnd w:id="10"/>
    </w:p>
    <w:p>
      <w:pPr>
        <w:spacing w:line="360" w:lineRule="auto"/>
        <w:outlineLvl w:val="1"/>
        <w:rPr>
          <w:rFonts w:hint="eastAsia" w:ascii="黑体" w:hAnsi="黑体" w:eastAsia="黑体" w:cs="黑体"/>
          <w:bCs/>
          <w:sz w:val="24"/>
          <w:highlight w:val="none"/>
        </w:rPr>
      </w:pPr>
      <w:bookmarkStart w:id="11" w:name="_Toc9074"/>
      <w:r>
        <w:rPr>
          <w:rFonts w:hint="eastAsia" w:ascii="黑体" w:hAnsi="黑体" w:eastAsia="黑体" w:cs="黑体"/>
          <w:bCs/>
          <w:sz w:val="24"/>
          <w:highlight w:val="none"/>
        </w:rPr>
        <w:t xml:space="preserve">2.1 </w:t>
      </w:r>
      <w:r>
        <w:rPr>
          <w:rFonts w:hint="eastAsia" w:ascii="黑体" w:hAnsi="黑体" w:eastAsia="黑体" w:cs="黑体"/>
          <w:bCs/>
          <w:sz w:val="24"/>
          <w:highlight w:val="none"/>
          <w:lang w:val="en-US" w:eastAsia="zh-CN"/>
        </w:rPr>
        <w:t>造价服务要求</w:t>
      </w:r>
      <w:r>
        <w:rPr>
          <w:rFonts w:hint="eastAsia" w:ascii="黑体" w:hAnsi="黑体" w:eastAsia="黑体" w:cs="黑体"/>
          <w:bCs/>
          <w:sz w:val="24"/>
          <w:highlight w:val="none"/>
        </w:rPr>
        <w:t>及标准</w:t>
      </w:r>
      <w:bookmarkEnd w:id="11"/>
    </w:p>
    <w:p>
      <w:pPr>
        <w:spacing w:line="360" w:lineRule="auto"/>
        <w:ind w:firstLine="480" w:firstLineChars="200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供应商在获取需要造价的有关资料信息后，应进行必要的建设工程招标标底、投标报价的编制、审核。具体的造价要求如下：</w:t>
      </w:r>
    </w:p>
    <w:tbl>
      <w:tblPr>
        <w:tblStyle w:val="12"/>
        <w:tblW w:w="8693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3"/>
        <w:gridCol w:w="3809"/>
        <w:gridCol w:w="403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53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序号</w:t>
            </w:r>
          </w:p>
        </w:tc>
        <w:tc>
          <w:tcPr>
            <w:tcW w:w="38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服务要求</w:t>
            </w:r>
          </w:p>
        </w:tc>
        <w:tc>
          <w:tcPr>
            <w:tcW w:w="403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宋体" w:hAnsi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交付物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853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80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both"/>
              <w:rPr>
                <w:rFonts w:hint="default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  <w:lang w:val="en-US" w:eastAsia="zh-CN"/>
              </w:rPr>
              <w:t>根据业主提供的造价工程量确认表，供应商为该项项目进行建设工程招标标底、投标报价的编制、审核</w:t>
            </w:r>
          </w:p>
        </w:tc>
        <w:tc>
          <w:tcPr>
            <w:tcW w:w="4031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1、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  <w:lang w:val="en-US" w:eastAsia="zh-CN"/>
              </w:rPr>
              <w:t>《文件工程招标控制价汇总表》一式三份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  <w:jc w:val="center"/>
        </w:trPr>
        <w:tc>
          <w:tcPr>
            <w:tcW w:w="85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</w:pPr>
            <w:bookmarkStart w:id="12" w:name="_Toc30644"/>
          </w:p>
        </w:tc>
        <w:tc>
          <w:tcPr>
            <w:tcW w:w="38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</w:p>
        </w:tc>
        <w:tc>
          <w:tcPr>
            <w:tcW w:w="4031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2、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  <w:lang w:val="en-US" w:eastAsia="zh-CN"/>
              </w:rPr>
              <w:t>《工程招标控制价报告》一式三份</w:t>
            </w:r>
          </w:p>
        </w:tc>
      </w:tr>
    </w:tbl>
    <w:p>
      <w:pPr>
        <w:spacing w:line="360" w:lineRule="auto"/>
        <w:outlineLvl w:val="1"/>
        <w:rPr>
          <w:rFonts w:hint="eastAsia" w:ascii="黑体" w:hAnsi="黑体" w:eastAsia="黑体" w:cs="黑体"/>
          <w:bCs/>
          <w:sz w:val="24"/>
          <w:highlight w:val="none"/>
        </w:rPr>
      </w:pPr>
      <w:r>
        <w:rPr>
          <w:rFonts w:hint="eastAsia" w:ascii="黑体" w:hAnsi="黑体" w:eastAsia="黑体" w:cs="黑体"/>
          <w:bCs/>
          <w:sz w:val="24"/>
          <w:highlight w:val="none"/>
        </w:rPr>
        <w:t>2.2 运输方式</w:t>
      </w:r>
      <w:bookmarkEnd w:id="12"/>
    </w:p>
    <w:p>
      <w:pPr>
        <w:spacing w:line="360" w:lineRule="auto"/>
        <w:ind w:firstLine="480" w:firstLineChars="200"/>
        <w:outlineLvl w:val="1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邮寄交付物或人工送达至指定地点，因交付物产生的运费由供应商承担。</w:t>
      </w:r>
    </w:p>
    <w:p>
      <w:pPr>
        <w:pStyle w:val="21"/>
        <w:spacing w:before="312"/>
        <w:outlineLvl w:val="0"/>
        <w:rPr>
          <w:rFonts w:ascii="黑体" w:hAnsi="黑体" w:eastAsia="黑体" w:cs="黑体"/>
          <w:sz w:val="28"/>
          <w:szCs w:val="28"/>
          <w:highlight w:val="none"/>
        </w:rPr>
      </w:pPr>
      <w:bookmarkStart w:id="13" w:name="_Toc16082"/>
      <w:r>
        <w:rPr>
          <w:rFonts w:hint="eastAsia" w:ascii="黑体" w:hAnsi="黑体" w:eastAsia="黑体" w:cs="黑体"/>
          <w:sz w:val="28"/>
          <w:szCs w:val="28"/>
          <w:highlight w:val="none"/>
        </w:rPr>
        <w:t>3  技术服务的要求</w:t>
      </w:r>
      <w:bookmarkEnd w:id="13"/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</w:pPr>
      <w:bookmarkStart w:id="14" w:name="_Toc1749"/>
      <w:r>
        <w:rPr>
          <w:rFonts w:hint="eastAsia" w:ascii="黑体" w:hAnsi="黑体" w:eastAsia="黑体" w:cs="黑体"/>
          <w:bCs/>
          <w:sz w:val="24"/>
          <w:highlight w:val="none"/>
        </w:rPr>
        <w:t>3.1 资质要求</w:t>
      </w:r>
      <w:bookmarkEnd w:id="14"/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</w:pPr>
      <w:bookmarkStart w:id="15" w:name="_Toc16023"/>
      <w:r>
        <w:rPr>
          <w:rFonts w:hint="eastAsia" w:ascii="黑体" w:hAnsi="黑体" w:eastAsia="黑体" w:cs="黑体"/>
          <w:bCs/>
          <w:sz w:val="24"/>
          <w:highlight w:val="none"/>
        </w:rPr>
        <w:t>3.2 人员、设备及场地要求</w:t>
      </w:r>
      <w:bookmarkEnd w:id="15"/>
    </w:p>
    <w:p>
      <w:pPr>
        <w:spacing w:line="360" w:lineRule="auto"/>
        <w:ind w:firstLine="480" w:firstLineChars="200"/>
        <w:outlineLvl w:val="1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无</w:t>
      </w:r>
    </w:p>
    <w:p>
      <w:pPr>
        <w:rPr>
          <w:rFonts w:hint="eastAsia" w:ascii="黑体" w:hAnsi="黑体" w:eastAsia="黑体" w:cs="黑体"/>
          <w:bCs/>
          <w:sz w:val="24"/>
          <w:highlight w:val="none"/>
        </w:rPr>
      </w:pPr>
      <w:bookmarkStart w:id="16" w:name="_Toc9853"/>
      <w:r>
        <w:rPr>
          <w:rFonts w:hint="eastAsia" w:ascii="黑体" w:hAnsi="黑体" w:eastAsia="黑体" w:cs="黑体"/>
          <w:bCs/>
          <w:sz w:val="24"/>
          <w:highlight w:val="none"/>
        </w:rPr>
        <w:t xml:space="preserve">3.3 </w:t>
      </w:r>
      <w:bookmarkEnd w:id="16"/>
      <w:bookmarkStart w:id="17" w:name="_Toc22454"/>
      <w:r>
        <w:rPr>
          <w:rFonts w:hint="eastAsia" w:ascii="黑体" w:hAnsi="黑体" w:eastAsia="黑体" w:cs="黑体"/>
          <w:bCs/>
          <w:sz w:val="24"/>
          <w:highlight w:val="none"/>
        </w:rPr>
        <w:t>信息保密要求</w:t>
      </w:r>
      <w:bookmarkEnd w:id="17"/>
      <w:bookmarkStart w:id="18" w:name="_Toc23607"/>
    </w:p>
    <w:p>
      <w:pPr>
        <w:spacing w:line="360" w:lineRule="auto"/>
        <w:ind w:firstLine="480" w:firstLineChars="200"/>
        <w:outlineLvl w:val="1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无</w:t>
      </w:r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</w:pPr>
      <w:r>
        <w:rPr>
          <w:rFonts w:hint="eastAsia" w:ascii="黑体" w:hAnsi="黑体" w:eastAsia="黑体" w:cs="黑体"/>
          <w:bCs/>
          <w:sz w:val="24"/>
          <w:highlight w:val="none"/>
        </w:rPr>
        <w:t>3.</w:t>
      </w:r>
      <w:r>
        <w:rPr>
          <w:rFonts w:hint="eastAsia" w:ascii="黑体" w:hAnsi="黑体" w:eastAsia="黑体" w:cs="黑体"/>
          <w:bCs/>
          <w:sz w:val="24"/>
          <w:highlight w:val="none"/>
          <w:lang w:val="en-US" w:eastAsia="zh-CN"/>
        </w:rPr>
        <w:t>4</w:t>
      </w:r>
      <w:r>
        <w:rPr>
          <w:rFonts w:hint="eastAsia" w:ascii="黑体" w:hAnsi="黑体" w:eastAsia="黑体" w:cs="黑体"/>
          <w:bCs/>
          <w:sz w:val="24"/>
          <w:highlight w:val="none"/>
        </w:rPr>
        <w:t xml:space="preserve"> 其他要求</w:t>
      </w:r>
      <w:bookmarkEnd w:id="18"/>
      <w:bookmarkStart w:id="19" w:name="_Toc30921"/>
      <w:bookmarkStart w:id="20" w:name="_Toc17063"/>
    </w:p>
    <w:bookmarkEnd w:id="19"/>
    <w:bookmarkEnd w:id="20"/>
    <w:p>
      <w:pPr>
        <w:spacing w:line="360" w:lineRule="auto"/>
        <w:ind w:firstLine="480" w:firstLineChars="200"/>
        <w:outlineLvl w:val="1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无</w:t>
      </w:r>
    </w:p>
    <w:p>
      <w:pPr>
        <w:pStyle w:val="21"/>
        <w:spacing w:before="312"/>
        <w:outlineLvl w:val="0"/>
        <w:rPr>
          <w:rFonts w:asciiTheme="minorEastAsia" w:hAnsiTheme="minorEastAsia" w:eastAsiaTheme="minorEastAsia" w:cstheme="minorEastAsia"/>
          <w:color w:val="000000"/>
          <w:highlight w:val="none"/>
        </w:rPr>
      </w:pPr>
      <w:bookmarkStart w:id="21" w:name="_Toc21612"/>
      <w:bookmarkStart w:id="22" w:name="_Toc266713650"/>
      <w:r>
        <w:rPr>
          <w:rFonts w:hint="eastAsia" w:ascii="黑体" w:hAnsi="黑体" w:eastAsia="黑体" w:cs="黑体"/>
          <w:sz w:val="28"/>
          <w:szCs w:val="28"/>
          <w:highlight w:val="none"/>
        </w:rPr>
        <w:t>4  时间进度要求</w:t>
      </w:r>
      <w:bookmarkEnd w:id="21"/>
      <w:bookmarkEnd w:id="22"/>
      <w:bookmarkStart w:id="23" w:name="_Toc11533"/>
      <w:bookmarkStart w:id="24" w:name="_Toc27224"/>
    </w:p>
    <w:bookmarkEnd w:id="23"/>
    <w:bookmarkEnd w:id="24"/>
    <w:p>
      <w:pPr>
        <w:spacing w:line="360" w:lineRule="auto"/>
        <w:ind w:firstLine="480" w:firstLineChars="200"/>
        <w:outlineLvl w:val="1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bookmarkStart w:id="25" w:name="_Toc8651"/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下达工程量确认表后7日内，供应商应出具《工程招标控制价汇总表》、《工程招标控制价报告》。并尽快安排邮寄至指定地点。</w:t>
      </w:r>
    </w:p>
    <w:p>
      <w:pPr>
        <w:pStyle w:val="21"/>
        <w:spacing w:before="312"/>
        <w:outlineLvl w:val="0"/>
        <w:rPr>
          <w:rFonts w:ascii="黑体" w:hAnsi="黑体" w:eastAsia="黑体" w:cs="黑体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sz w:val="28"/>
          <w:szCs w:val="28"/>
          <w:highlight w:val="none"/>
        </w:rPr>
        <w:t>5  交付与验收</w:t>
      </w:r>
      <w:bookmarkEnd w:id="25"/>
    </w:p>
    <w:p>
      <w:pPr>
        <w:spacing w:line="360" w:lineRule="auto"/>
        <w:outlineLvl w:val="1"/>
        <w:rPr>
          <w:rFonts w:hint="eastAsia" w:ascii="黑体" w:hAnsi="黑体" w:eastAsia="黑体" w:cs="黑体"/>
          <w:bCs/>
          <w:sz w:val="24"/>
          <w:highlight w:val="none"/>
        </w:rPr>
      </w:pPr>
      <w:bookmarkStart w:id="26" w:name="_Toc3677"/>
      <w:r>
        <w:rPr>
          <w:rFonts w:hint="eastAsia" w:ascii="黑体" w:hAnsi="黑体" w:eastAsia="黑体" w:cs="黑体"/>
          <w:bCs/>
          <w:sz w:val="24"/>
          <w:highlight w:val="none"/>
        </w:rPr>
        <w:t>5.1 交付形式及数量要求</w:t>
      </w:r>
      <w:bookmarkEnd w:id="26"/>
    </w:p>
    <w:p>
      <w:pPr>
        <w:spacing w:line="360" w:lineRule="auto"/>
        <w:ind w:firstLine="480" w:firstLineChars="200"/>
        <w:outlineLvl w:val="1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交付形式：供应商应将《工程招标控制价汇总表》、《工程招标控制价报告》邮寄至指定地点。</w:t>
      </w:r>
    </w:p>
    <w:p>
      <w:pPr>
        <w:spacing w:line="360" w:lineRule="auto"/>
        <w:ind w:firstLine="480" w:firstLineChars="200"/>
        <w:outlineLvl w:val="1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造价服务范围及工作量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：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以具体的工程量确认表为准。</w:t>
      </w:r>
    </w:p>
    <w:p>
      <w:pPr>
        <w:pStyle w:val="2"/>
        <w:spacing w:line="360" w:lineRule="auto"/>
        <w:ind w:firstLine="480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交付物及数量：交付书面成果《文件工程招标控制价汇总表》一式三份、《工程招标控制价报告》一式三份，及对应交付物电子版各一份。</w:t>
      </w:r>
    </w:p>
    <w:p>
      <w:pPr>
        <w:pStyle w:val="2"/>
        <w:ind w:firstLine="480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</w:pPr>
      <w:bookmarkStart w:id="27" w:name="_Toc21560"/>
      <w:r>
        <w:rPr>
          <w:rFonts w:hint="eastAsia" w:ascii="黑体" w:hAnsi="黑体" w:eastAsia="黑体" w:cs="黑体"/>
          <w:bCs/>
          <w:sz w:val="24"/>
          <w:highlight w:val="none"/>
        </w:rPr>
        <w:t>5.2 验收</w:t>
      </w:r>
      <w:bookmarkEnd w:id="27"/>
      <w:bookmarkStart w:id="28" w:name="_Toc23588"/>
      <w:bookmarkStart w:id="29" w:name="_Toc536"/>
    </w:p>
    <w:bookmarkEnd w:id="28"/>
    <w:bookmarkEnd w:id="29"/>
    <w:p>
      <w:pPr>
        <w:spacing w:line="360" w:lineRule="auto"/>
        <w:ind w:firstLine="480" w:firstLineChars="200"/>
        <w:outlineLvl w:val="1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供应商根据下达的工程量确认表开展造价服务工作，在完成工程招标控制价汇总表、工程招标控制价报告的交付后，根据任务工程量确认表的工作量进行结算。</w:t>
      </w:r>
    </w:p>
    <w:p>
      <w:pPr>
        <w:pStyle w:val="21"/>
        <w:spacing w:before="312"/>
        <w:outlineLvl w:val="0"/>
        <w:rPr>
          <w:rFonts w:asciiTheme="minorEastAsia" w:hAnsiTheme="minorEastAsia" w:eastAsiaTheme="minorEastAsia" w:cstheme="minorEastAsia"/>
          <w:color w:val="000000"/>
          <w:highlight w:val="none"/>
        </w:rPr>
      </w:pPr>
      <w:bookmarkStart w:id="30" w:name="_Toc859"/>
      <w:r>
        <w:rPr>
          <w:rFonts w:hint="eastAsia" w:ascii="黑体" w:hAnsi="黑体" w:eastAsia="黑体" w:cs="黑体"/>
          <w:sz w:val="28"/>
          <w:szCs w:val="28"/>
          <w:highlight w:val="none"/>
        </w:rPr>
        <w:t>6  投标技术文件要求</w:t>
      </w:r>
      <w:bookmarkEnd w:id="30"/>
      <w:bookmarkStart w:id="31" w:name="_Toc11892"/>
      <w:bookmarkStart w:id="32" w:name="_Toc8189"/>
    </w:p>
    <w:bookmarkEnd w:id="31"/>
    <w:bookmarkEnd w:id="32"/>
    <w:p>
      <w:pPr>
        <w:spacing w:line="360" w:lineRule="auto"/>
        <w:outlineLvl w:val="1"/>
        <w:rPr>
          <w:rFonts w:ascii="黑体" w:hAnsi="黑体" w:eastAsia="黑体" w:cs="黑体"/>
          <w:bCs/>
          <w:sz w:val="24"/>
          <w:highlight w:val="none"/>
        </w:rPr>
      </w:pPr>
      <w:bookmarkStart w:id="33" w:name="_Toc29154"/>
      <w:r>
        <w:rPr>
          <w:rFonts w:hint="eastAsia" w:ascii="宋体" w:hAnsi="宋体"/>
          <w:bCs/>
          <w:sz w:val="24"/>
          <w:highlight w:val="none"/>
        </w:rPr>
        <w:t>★</w:t>
      </w:r>
      <w:r>
        <w:rPr>
          <w:rFonts w:hint="eastAsia" w:ascii="黑体" w:hAnsi="黑体" w:eastAsia="黑体" w:cs="黑体"/>
          <w:bCs/>
          <w:sz w:val="24"/>
          <w:highlight w:val="none"/>
        </w:rPr>
        <w:t xml:space="preserve">6.1 </w:t>
      </w:r>
      <w:r>
        <w:rPr>
          <w:rFonts w:hint="eastAsia" w:ascii="黑体" w:hAnsi="黑体" w:eastAsia="黑体" w:cs="黑体"/>
          <w:bCs/>
          <w:sz w:val="24"/>
          <w:highlight w:val="none"/>
          <w:lang w:val="en-US" w:eastAsia="zh-CN"/>
        </w:rPr>
        <w:t>报价单</w:t>
      </w:r>
      <w:bookmarkEnd w:id="33"/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投标方应提供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的造价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服务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的报价单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eastAsia="zh-CN"/>
        </w:rPr>
        <w:t>。</w:t>
      </w:r>
    </w:p>
    <w:p>
      <w:pPr>
        <w:spacing w:line="360" w:lineRule="auto"/>
        <w:outlineLvl w:val="1"/>
        <w:rPr>
          <w:rFonts w:hint="default" w:ascii="黑体" w:hAnsi="黑体" w:eastAsia="黑体" w:cs="黑体"/>
          <w:bCs/>
          <w:sz w:val="24"/>
          <w:highlight w:val="none"/>
          <w:lang w:val="en-US" w:eastAsia="zh-CN"/>
        </w:rPr>
      </w:pPr>
      <w:r>
        <w:rPr>
          <w:rFonts w:hint="eastAsia" w:ascii="宋体" w:hAnsi="宋体"/>
          <w:bCs/>
          <w:sz w:val="24"/>
          <w:highlight w:val="none"/>
        </w:rPr>
        <w:t>★</w:t>
      </w:r>
      <w:r>
        <w:rPr>
          <w:rFonts w:hint="eastAsia" w:ascii="黑体" w:hAnsi="黑体" w:eastAsia="黑体" w:cs="黑体"/>
          <w:bCs/>
          <w:sz w:val="24"/>
          <w:highlight w:val="none"/>
        </w:rPr>
        <w:t>6.</w:t>
      </w:r>
      <w:r>
        <w:rPr>
          <w:rFonts w:hint="eastAsia" w:ascii="黑体" w:hAnsi="黑体" w:eastAsia="黑体" w:cs="黑体"/>
          <w:bCs/>
          <w:sz w:val="24"/>
          <w:highlight w:val="none"/>
          <w:lang w:val="en-US" w:eastAsia="zh-CN"/>
        </w:rPr>
        <w:t>2</w:t>
      </w:r>
      <w:r>
        <w:rPr>
          <w:rFonts w:hint="eastAsia" w:ascii="黑体" w:hAnsi="黑体" w:eastAsia="黑体" w:cs="黑体"/>
          <w:bCs/>
          <w:sz w:val="24"/>
          <w:highlight w:val="none"/>
        </w:rPr>
        <w:t xml:space="preserve"> </w:t>
      </w:r>
      <w:r>
        <w:rPr>
          <w:rFonts w:hint="eastAsia" w:ascii="黑体" w:hAnsi="黑体" w:eastAsia="黑体" w:cs="黑体"/>
          <w:bCs/>
          <w:sz w:val="24"/>
          <w:highlight w:val="none"/>
          <w:lang w:val="en-US" w:eastAsia="zh-CN"/>
        </w:rPr>
        <w:t>供应商资质文件</w:t>
      </w:r>
    </w:p>
    <w:p>
      <w:pPr>
        <w:pStyle w:val="2"/>
        <w:spacing w:line="360" w:lineRule="auto"/>
        <w:ind w:firstLine="480"/>
        <w:rPr>
          <w:rFonts w:hint="eastAsia" w:asciiTheme="minorEastAsia" w:hAnsiTheme="minorEastAsia" w:eastAsiaTheme="minorEastAsia" w:cstheme="minorEastAsia"/>
          <w:color w:val="0000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2"/>
          <w:sz w:val="24"/>
          <w:szCs w:val="24"/>
          <w:highlight w:val="none"/>
          <w:lang w:val="en-US" w:eastAsia="zh-CN" w:bidi="ar-SA"/>
        </w:rPr>
        <w:t>投标方应提供公司资质文件，包括但不限于：营业执照、中国工程造价管理协会企业信用评价证书</w:t>
      </w:r>
    </w:p>
    <w:p>
      <w:pPr>
        <w:spacing w:line="360" w:lineRule="auto"/>
        <w:outlineLvl w:val="1"/>
        <w:rPr>
          <w:rFonts w:hint="default" w:ascii="黑体" w:hAnsi="黑体" w:eastAsia="黑体" w:cs="黑体"/>
          <w:bCs/>
          <w:sz w:val="24"/>
          <w:highlight w:val="none"/>
          <w:lang w:val="en-US" w:eastAsia="zh-CN"/>
        </w:rPr>
      </w:pPr>
      <w:r>
        <w:rPr>
          <w:rFonts w:hint="eastAsia" w:ascii="宋体" w:hAnsi="宋体"/>
          <w:bCs/>
          <w:sz w:val="24"/>
          <w:highlight w:val="none"/>
        </w:rPr>
        <w:t>★</w:t>
      </w:r>
      <w:r>
        <w:rPr>
          <w:rFonts w:hint="eastAsia" w:ascii="黑体" w:hAnsi="黑体" w:eastAsia="黑体" w:cs="黑体"/>
          <w:bCs/>
          <w:sz w:val="24"/>
          <w:highlight w:val="none"/>
        </w:rPr>
        <w:t>6.</w:t>
      </w:r>
      <w:r>
        <w:rPr>
          <w:rFonts w:hint="eastAsia" w:ascii="黑体" w:hAnsi="黑体" w:eastAsia="黑体" w:cs="黑体"/>
          <w:bCs/>
          <w:sz w:val="24"/>
          <w:highlight w:val="none"/>
          <w:lang w:val="en-US" w:eastAsia="zh-CN"/>
        </w:rPr>
        <w:t>3</w:t>
      </w:r>
      <w:r>
        <w:rPr>
          <w:rFonts w:hint="eastAsia" w:ascii="黑体" w:hAnsi="黑体" w:eastAsia="黑体" w:cs="黑体"/>
          <w:bCs/>
          <w:sz w:val="24"/>
          <w:highlight w:val="none"/>
        </w:rPr>
        <w:t xml:space="preserve"> </w:t>
      </w:r>
      <w:r>
        <w:rPr>
          <w:rFonts w:hint="eastAsia" w:ascii="黑体" w:hAnsi="黑体" w:eastAsia="黑体" w:cs="黑体"/>
          <w:bCs/>
          <w:sz w:val="24"/>
          <w:highlight w:val="none"/>
          <w:lang w:val="en-US" w:eastAsia="zh-CN"/>
        </w:rPr>
        <w:t>供应商项目负责人资质文件</w:t>
      </w:r>
    </w:p>
    <w:p>
      <w:pPr>
        <w:pStyle w:val="2"/>
        <w:spacing w:line="360" w:lineRule="auto"/>
        <w:ind w:firstLine="480"/>
        <w:rPr>
          <w:rFonts w:hint="default" w:asciiTheme="minorEastAsia" w:hAnsiTheme="minorEastAsia" w:eastAsiaTheme="minorEastAsia" w:cstheme="minorEastAsia"/>
          <w:color w:val="0000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2"/>
          <w:sz w:val="24"/>
          <w:szCs w:val="24"/>
          <w:highlight w:val="none"/>
          <w:lang w:val="en-US" w:eastAsia="zh-CN" w:bidi="ar-SA"/>
        </w:rPr>
        <w:t>投标方应提供本项目负责人资质文件，包括但不限于：注册造价工程师证书</w:t>
      </w:r>
    </w:p>
    <w:p>
      <w:pPr>
        <w:spacing w:line="360" w:lineRule="auto"/>
        <w:rPr>
          <w:color w:val="000000"/>
          <w:sz w:val="24"/>
          <w:highlight w:val="none"/>
        </w:rPr>
      </w:pPr>
      <w:bookmarkStart w:id="34" w:name="_GoBack"/>
      <w:bookmarkEnd w:id="34"/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cMibgsAgAAV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FwyJu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2C290B"/>
    <w:multiLevelType w:val="singleLevel"/>
    <w:tmpl w:val="D12C290B"/>
    <w:lvl w:ilvl="0" w:tentative="0">
      <w:start w:val="1"/>
      <w:numFmt w:val="decimal"/>
      <w:pStyle w:val="16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5E537055"/>
    <w:multiLevelType w:val="singleLevel"/>
    <w:tmpl w:val="5E53705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112EA9"/>
    <w:rsid w:val="000C764F"/>
    <w:rsid w:val="00DE6232"/>
    <w:rsid w:val="01D35542"/>
    <w:rsid w:val="027C11FC"/>
    <w:rsid w:val="0295401A"/>
    <w:rsid w:val="0303051E"/>
    <w:rsid w:val="03621A92"/>
    <w:rsid w:val="047B7BC4"/>
    <w:rsid w:val="04BF0B83"/>
    <w:rsid w:val="04FE4EAD"/>
    <w:rsid w:val="05312146"/>
    <w:rsid w:val="056D4E14"/>
    <w:rsid w:val="066E2C1A"/>
    <w:rsid w:val="06F52B3B"/>
    <w:rsid w:val="07362663"/>
    <w:rsid w:val="086C26E0"/>
    <w:rsid w:val="08A32594"/>
    <w:rsid w:val="09BE45E6"/>
    <w:rsid w:val="09F078C2"/>
    <w:rsid w:val="0A9773AF"/>
    <w:rsid w:val="0B715FA9"/>
    <w:rsid w:val="0BD1033B"/>
    <w:rsid w:val="0BFD7548"/>
    <w:rsid w:val="0C8C1EEF"/>
    <w:rsid w:val="0D0C14ED"/>
    <w:rsid w:val="0D4D51DE"/>
    <w:rsid w:val="0D6039E5"/>
    <w:rsid w:val="0DB6446C"/>
    <w:rsid w:val="0DDE0C6E"/>
    <w:rsid w:val="0E92274B"/>
    <w:rsid w:val="0ECF0DC1"/>
    <w:rsid w:val="0FBF064C"/>
    <w:rsid w:val="10011F66"/>
    <w:rsid w:val="10972384"/>
    <w:rsid w:val="11402C86"/>
    <w:rsid w:val="12976F0D"/>
    <w:rsid w:val="13566E57"/>
    <w:rsid w:val="13A42991"/>
    <w:rsid w:val="13B66003"/>
    <w:rsid w:val="14421D4B"/>
    <w:rsid w:val="147F0C66"/>
    <w:rsid w:val="14D37A1A"/>
    <w:rsid w:val="1558413F"/>
    <w:rsid w:val="155E4129"/>
    <w:rsid w:val="16232935"/>
    <w:rsid w:val="16CE51A3"/>
    <w:rsid w:val="16F77748"/>
    <w:rsid w:val="1761752A"/>
    <w:rsid w:val="187D19AC"/>
    <w:rsid w:val="18B4592A"/>
    <w:rsid w:val="19BC6CC5"/>
    <w:rsid w:val="1A1F085A"/>
    <w:rsid w:val="1A316175"/>
    <w:rsid w:val="1A830B36"/>
    <w:rsid w:val="1ADD4B0E"/>
    <w:rsid w:val="1B1C576F"/>
    <w:rsid w:val="1B1F0398"/>
    <w:rsid w:val="1B843116"/>
    <w:rsid w:val="1BF021DF"/>
    <w:rsid w:val="1BFA3C82"/>
    <w:rsid w:val="1C4F52EF"/>
    <w:rsid w:val="1C672B50"/>
    <w:rsid w:val="1CC57F42"/>
    <w:rsid w:val="1D8D437A"/>
    <w:rsid w:val="1DA01B05"/>
    <w:rsid w:val="1E6B60E6"/>
    <w:rsid w:val="1E800217"/>
    <w:rsid w:val="1FBD1E67"/>
    <w:rsid w:val="1FD9003C"/>
    <w:rsid w:val="21CA3C88"/>
    <w:rsid w:val="234277A0"/>
    <w:rsid w:val="234B187D"/>
    <w:rsid w:val="23A116F1"/>
    <w:rsid w:val="24C9435F"/>
    <w:rsid w:val="24EA7C79"/>
    <w:rsid w:val="24F2272A"/>
    <w:rsid w:val="24F72435"/>
    <w:rsid w:val="250F564D"/>
    <w:rsid w:val="252B1EB7"/>
    <w:rsid w:val="256870E0"/>
    <w:rsid w:val="25E42BF8"/>
    <w:rsid w:val="265249D6"/>
    <w:rsid w:val="275D5D26"/>
    <w:rsid w:val="275F7D29"/>
    <w:rsid w:val="27F81146"/>
    <w:rsid w:val="28943549"/>
    <w:rsid w:val="28BE48E2"/>
    <w:rsid w:val="29B03153"/>
    <w:rsid w:val="29F81415"/>
    <w:rsid w:val="2A441357"/>
    <w:rsid w:val="2B552424"/>
    <w:rsid w:val="2B6721B0"/>
    <w:rsid w:val="2C191EA0"/>
    <w:rsid w:val="2CA3124A"/>
    <w:rsid w:val="2CC203FD"/>
    <w:rsid w:val="2D8F39A1"/>
    <w:rsid w:val="2DAC4578"/>
    <w:rsid w:val="2DB36870"/>
    <w:rsid w:val="2DEA6350"/>
    <w:rsid w:val="2E260032"/>
    <w:rsid w:val="2E2E5B4F"/>
    <w:rsid w:val="2E380045"/>
    <w:rsid w:val="2EFA1D2E"/>
    <w:rsid w:val="2F2E6BFF"/>
    <w:rsid w:val="2FC241F2"/>
    <w:rsid w:val="30045C2F"/>
    <w:rsid w:val="30DF2B6C"/>
    <w:rsid w:val="30F444D2"/>
    <w:rsid w:val="313E1E7A"/>
    <w:rsid w:val="32653DEB"/>
    <w:rsid w:val="32887BF4"/>
    <w:rsid w:val="330E4E8B"/>
    <w:rsid w:val="33161353"/>
    <w:rsid w:val="334E3954"/>
    <w:rsid w:val="33BC7371"/>
    <w:rsid w:val="34255CC8"/>
    <w:rsid w:val="347E10AE"/>
    <w:rsid w:val="34B829C9"/>
    <w:rsid w:val="34E21B0E"/>
    <w:rsid w:val="357C3ACE"/>
    <w:rsid w:val="358A1AD4"/>
    <w:rsid w:val="358B06A1"/>
    <w:rsid w:val="35DF4389"/>
    <w:rsid w:val="35E41FA9"/>
    <w:rsid w:val="360B40D3"/>
    <w:rsid w:val="3661221B"/>
    <w:rsid w:val="372E794B"/>
    <w:rsid w:val="37495343"/>
    <w:rsid w:val="37A433E0"/>
    <w:rsid w:val="37A46956"/>
    <w:rsid w:val="37AE0477"/>
    <w:rsid w:val="38004B22"/>
    <w:rsid w:val="38242125"/>
    <w:rsid w:val="38292433"/>
    <w:rsid w:val="382A7EB4"/>
    <w:rsid w:val="38D05FCB"/>
    <w:rsid w:val="390A3500"/>
    <w:rsid w:val="39140E3A"/>
    <w:rsid w:val="394B4B39"/>
    <w:rsid w:val="39855B4F"/>
    <w:rsid w:val="398C2739"/>
    <w:rsid w:val="39E974DB"/>
    <w:rsid w:val="3A9C5BA6"/>
    <w:rsid w:val="3BEE7DFA"/>
    <w:rsid w:val="3C1315AB"/>
    <w:rsid w:val="3C4C5078"/>
    <w:rsid w:val="3D263ADF"/>
    <w:rsid w:val="3DDE3626"/>
    <w:rsid w:val="3DFE37C3"/>
    <w:rsid w:val="401C5798"/>
    <w:rsid w:val="404B47FE"/>
    <w:rsid w:val="405D45A6"/>
    <w:rsid w:val="40794199"/>
    <w:rsid w:val="408A19B3"/>
    <w:rsid w:val="40F0643B"/>
    <w:rsid w:val="410217F6"/>
    <w:rsid w:val="419C13AE"/>
    <w:rsid w:val="41A73FEA"/>
    <w:rsid w:val="41B40E40"/>
    <w:rsid w:val="42A30678"/>
    <w:rsid w:val="42A37264"/>
    <w:rsid w:val="42DF02D2"/>
    <w:rsid w:val="44C917FC"/>
    <w:rsid w:val="45AD67D6"/>
    <w:rsid w:val="45CF1EF0"/>
    <w:rsid w:val="46CD35B6"/>
    <w:rsid w:val="47097B32"/>
    <w:rsid w:val="47194E6E"/>
    <w:rsid w:val="472C45A4"/>
    <w:rsid w:val="47382C50"/>
    <w:rsid w:val="48205CF0"/>
    <w:rsid w:val="48AE5D4E"/>
    <w:rsid w:val="499C7ED1"/>
    <w:rsid w:val="49B12980"/>
    <w:rsid w:val="49E6704C"/>
    <w:rsid w:val="49F22A9F"/>
    <w:rsid w:val="4A4B4604"/>
    <w:rsid w:val="4A566A25"/>
    <w:rsid w:val="4A7A1254"/>
    <w:rsid w:val="4A9A3B4D"/>
    <w:rsid w:val="4B18258B"/>
    <w:rsid w:val="4C3F54C3"/>
    <w:rsid w:val="4CE147A6"/>
    <w:rsid w:val="4CF766DE"/>
    <w:rsid w:val="4D1E1AE4"/>
    <w:rsid w:val="4DBF3FC8"/>
    <w:rsid w:val="4DDB7BC5"/>
    <w:rsid w:val="4E287A4C"/>
    <w:rsid w:val="4E53210E"/>
    <w:rsid w:val="4EDE6AF3"/>
    <w:rsid w:val="4F327D5F"/>
    <w:rsid w:val="505B24E3"/>
    <w:rsid w:val="50692104"/>
    <w:rsid w:val="50C4507C"/>
    <w:rsid w:val="50CF02A4"/>
    <w:rsid w:val="50E83C80"/>
    <w:rsid w:val="50E84976"/>
    <w:rsid w:val="523A289F"/>
    <w:rsid w:val="52D27864"/>
    <w:rsid w:val="52EF5062"/>
    <w:rsid w:val="539233BA"/>
    <w:rsid w:val="53CD308F"/>
    <w:rsid w:val="54C17E31"/>
    <w:rsid w:val="54E75E4E"/>
    <w:rsid w:val="54EC5F00"/>
    <w:rsid w:val="5575509E"/>
    <w:rsid w:val="55933D75"/>
    <w:rsid w:val="55BB08CE"/>
    <w:rsid w:val="55F5265A"/>
    <w:rsid w:val="56112EA9"/>
    <w:rsid w:val="56634F6B"/>
    <w:rsid w:val="56FE5647"/>
    <w:rsid w:val="572004CE"/>
    <w:rsid w:val="576E3E36"/>
    <w:rsid w:val="57D62605"/>
    <w:rsid w:val="586A7C9A"/>
    <w:rsid w:val="59BD7DED"/>
    <w:rsid w:val="59E4535B"/>
    <w:rsid w:val="5AE252E1"/>
    <w:rsid w:val="5BAC42C7"/>
    <w:rsid w:val="5BFB3FFB"/>
    <w:rsid w:val="5CBC1717"/>
    <w:rsid w:val="5D944335"/>
    <w:rsid w:val="5E0B23A4"/>
    <w:rsid w:val="5E712C01"/>
    <w:rsid w:val="5E79378D"/>
    <w:rsid w:val="5E7F2B1D"/>
    <w:rsid w:val="5E9479C8"/>
    <w:rsid w:val="5EFF55AD"/>
    <w:rsid w:val="600C74D8"/>
    <w:rsid w:val="60446F8A"/>
    <w:rsid w:val="609B3FFE"/>
    <w:rsid w:val="60A8111F"/>
    <w:rsid w:val="60B802FB"/>
    <w:rsid w:val="60F4061E"/>
    <w:rsid w:val="61633BDA"/>
    <w:rsid w:val="61B23647"/>
    <w:rsid w:val="61E33B45"/>
    <w:rsid w:val="623B447A"/>
    <w:rsid w:val="62464748"/>
    <w:rsid w:val="62542CC4"/>
    <w:rsid w:val="630015B9"/>
    <w:rsid w:val="63FE5340"/>
    <w:rsid w:val="640B1F26"/>
    <w:rsid w:val="64132F2C"/>
    <w:rsid w:val="650664D0"/>
    <w:rsid w:val="65355760"/>
    <w:rsid w:val="666908C2"/>
    <w:rsid w:val="668274B1"/>
    <w:rsid w:val="673113AB"/>
    <w:rsid w:val="67593ED7"/>
    <w:rsid w:val="689C2C37"/>
    <w:rsid w:val="68AC152E"/>
    <w:rsid w:val="68CD4B9F"/>
    <w:rsid w:val="695323C7"/>
    <w:rsid w:val="69C30412"/>
    <w:rsid w:val="69EA7D86"/>
    <w:rsid w:val="6A2D0FBD"/>
    <w:rsid w:val="6A3E7D5B"/>
    <w:rsid w:val="6B023115"/>
    <w:rsid w:val="6BBF7607"/>
    <w:rsid w:val="6C987B75"/>
    <w:rsid w:val="6D2B4CBE"/>
    <w:rsid w:val="6D401C96"/>
    <w:rsid w:val="6D4A0BE9"/>
    <w:rsid w:val="6D7875A9"/>
    <w:rsid w:val="6E06100F"/>
    <w:rsid w:val="6E5B1FD7"/>
    <w:rsid w:val="6EC64CFC"/>
    <w:rsid w:val="6F1D1E58"/>
    <w:rsid w:val="708F1B04"/>
    <w:rsid w:val="70E237AF"/>
    <w:rsid w:val="710C1A65"/>
    <w:rsid w:val="71497715"/>
    <w:rsid w:val="715E368C"/>
    <w:rsid w:val="71C94BB9"/>
    <w:rsid w:val="72A801AB"/>
    <w:rsid w:val="7377313A"/>
    <w:rsid w:val="73C23115"/>
    <w:rsid w:val="73FA6E86"/>
    <w:rsid w:val="744F7DDF"/>
    <w:rsid w:val="74572EAA"/>
    <w:rsid w:val="74E106B7"/>
    <w:rsid w:val="75700D85"/>
    <w:rsid w:val="75715F41"/>
    <w:rsid w:val="76497732"/>
    <w:rsid w:val="76890F73"/>
    <w:rsid w:val="76F173CA"/>
    <w:rsid w:val="770F4753"/>
    <w:rsid w:val="78376D79"/>
    <w:rsid w:val="790428F9"/>
    <w:rsid w:val="7A126AE1"/>
    <w:rsid w:val="7ABE2378"/>
    <w:rsid w:val="7AFB3926"/>
    <w:rsid w:val="7B6130E0"/>
    <w:rsid w:val="7BFC3589"/>
    <w:rsid w:val="7C185614"/>
    <w:rsid w:val="7C257594"/>
    <w:rsid w:val="7C9503D6"/>
    <w:rsid w:val="7CD02D3B"/>
    <w:rsid w:val="7E352FE9"/>
    <w:rsid w:val="7E6214B0"/>
    <w:rsid w:val="7E6E2528"/>
    <w:rsid w:val="7EB61EE5"/>
    <w:rsid w:val="7F1C3BD4"/>
    <w:rsid w:val="7FCE0606"/>
    <w:rsid w:val="7FF1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tabs>
        <w:tab w:val="left" w:pos="720"/>
      </w:tabs>
      <w:adjustRightInd w:val="0"/>
      <w:spacing w:line="320" w:lineRule="atLeast"/>
      <w:ind w:left="720" w:hanging="720"/>
      <w:outlineLvl w:val="1"/>
    </w:pPr>
    <w:rPr>
      <w:rFonts w:ascii="黑体" w:hAnsi="Arial" w:eastAsia="黑体" w:cs="宋体"/>
      <w:kern w:val="0"/>
      <w:sz w:val="28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0">
    <w:name w:val="toc 1"/>
    <w:basedOn w:val="1"/>
    <w:next w:val="1"/>
    <w:qFormat/>
    <w:uiPriority w:val="0"/>
  </w:style>
  <w:style w:type="paragraph" w:styleId="11">
    <w:name w:val="toc 2"/>
    <w:basedOn w:val="1"/>
    <w:next w:val="1"/>
    <w:qFormat/>
    <w:uiPriority w:val="0"/>
    <w:pPr>
      <w:tabs>
        <w:tab w:val="right" w:leader="dot" w:pos="8302"/>
      </w:tabs>
      <w:snapToGrid w:val="0"/>
      <w:spacing w:line="360" w:lineRule="auto"/>
      <w:ind w:left="525" w:hanging="4"/>
    </w:pPr>
    <w:rPr>
      <w:sz w:val="24"/>
      <w:szCs w:val="20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Hyperlink"/>
    <w:basedOn w:val="14"/>
    <w:qFormat/>
    <w:uiPriority w:val="0"/>
  </w:style>
  <w:style w:type="paragraph" w:customStyle="1" w:styleId="16">
    <w:name w:val="标题1"/>
    <w:basedOn w:val="4"/>
    <w:next w:val="1"/>
    <w:qFormat/>
    <w:uiPriority w:val="0"/>
    <w:pPr>
      <w:numPr>
        <w:ilvl w:val="0"/>
        <w:numId w:val="1"/>
      </w:numPr>
    </w:pPr>
    <w:rPr>
      <w:rFonts w:hAnsi="黑体"/>
    </w:rPr>
  </w:style>
  <w:style w:type="paragraph" w:customStyle="1" w:styleId="17">
    <w:name w:val="首页项目名称"/>
    <w:link w:val="19"/>
    <w:qFormat/>
    <w:uiPriority w:val="0"/>
    <w:pPr>
      <w:jc w:val="center"/>
    </w:pPr>
    <w:rPr>
      <w:rFonts w:ascii="Times New Roman" w:hAnsi="Times New Roman" w:eastAsia="隶书" w:cs="Times New Roman"/>
      <w:sz w:val="52"/>
      <w:lang w:val="en-US" w:eastAsia="zh-CN" w:bidi="ar-SA"/>
    </w:rPr>
  </w:style>
  <w:style w:type="paragraph" w:customStyle="1" w:styleId="18">
    <w:name w:val="首页日期"/>
    <w:basedOn w:val="1"/>
    <w:link w:val="20"/>
    <w:qFormat/>
    <w:uiPriority w:val="0"/>
    <w:pPr>
      <w:jc w:val="center"/>
    </w:pPr>
    <w:rPr>
      <w:rFonts w:eastAsia="楷体"/>
      <w:sz w:val="32"/>
    </w:rPr>
  </w:style>
  <w:style w:type="character" w:customStyle="1" w:styleId="19">
    <w:name w:val="首页项目名称 Char"/>
    <w:link w:val="17"/>
    <w:qFormat/>
    <w:uiPriority w:val="0"/>
    <w:rPr>
      <w:rFonts w:ascii="Times New Roman" w:hAnsi="Times New Roman" w:eastAsia="隶书"/>
      <w:sz w:val="52"/>
    </w:rPr>
  </w:style>
  <w:style w:type="character" w:customStyle="1" w:styleId="20">
    <w:name w:val="首页日期 Char"/>
    <w:link w:val="18"/>
    <w:qFormat/>
    <w:uiPriority w:val="0"/>
    <w:rPr>
      <w:rFonts w:ascii="Times New Roman" w:hAnsi="Times New Roman" w:eastAsia="楷体"/>
      <w:sz w:val="32"/>
    </w:rPr>
  </w:style>
  <w:style w:type="paragraph" w:customStyle="1" w:styleId="21">
    <w:name w:val="一标题"/>
    <w:link w:val="22"/>
    <w:qFormat/>
    <w:uiPriority w:val="0"/>
    <w:pPr>
      <w:spacing w:before="100" w:beforeLines="100" w:line="360" w:lineRule="auto"/>
    </w:pPr>
    <w:rPr>
      <w:rFonts w:ascii="宋体" w:hAnsi="宋体" w:eastAsia="宋体" w:cs="Times New Roman"/>
      <w:b/>
      <w:sz w:val="24"/>
      <w:lang w:val="en-US" w:eastAsia="zh-CN" w:bidi="ar-SA"/>
    </w:rPr>
  </w:style>
  <w:style w:type="character" w:customStyle="1" w:styleId="22">
    <w:name w:val="一标题 Char"/>
    <w:link w:val="21"/>
    <w:qFormat/>
    <w:uiPriority w:val="0"/>
    <w:rPr>
      <w:rFonts w:ascii="宋体" w:hAnsi="宋体" w:eastAsia="宋体" w:cs="Times New Roman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2036</Words>
  <Characters>1503</Characters>
  <Lines>12</Lines>
  <Paragraphs>7</Paragraphs>
  <TotalTime>47</TotalTime>
  <ScaleCrop>false</ScaleCrop>
  <LinksUpToDate>false</LinksUpToDate>
  <CharactersWithSpaces>3532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2020-01-03T01:39:00Z</dcterms:created>
  <dc:creator>shenpeiyi</dc:creator>
  <cp:lastModifiedBy>5E6A8342ABFC4D72A9E2A8EBC15397C0</cp:lastModifiedBy>
  <cp:lastPrinted>2024-08-02T09:30:00Z</cp:lastPrinted>
  <dcterms:modified xsi:type="dcterms:W3CDTF">2024-08-05T08:03:52Z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0790FF56280B4853858BB3359B92BB35</vt:lpwstr>
  </property>
</Properties>
</file>