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10"/>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1"/>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rPr>
        <w:t>超高压输电公司昆明局2024年档案整理劳务服务零星采购项目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center"/>
        <w:rPr>
          <w:rFonts w:hint="eastAsia" w:ascii="黑体" w:hAnsi="黑体" w:eastAsia="黑体"/>
          <w:b/>
          <w:color w:val="auto"/>
          <w:sz w:val="36"/>
          <w:szCs w:val="36"/>
          <w:highlight w:val="none"/>
          <w:lang w:eastAsia="zh-CN"/>
        </w:rPr>
      </w:pP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昆明局归档文件总量较大，年度形成的案卷或在220卷以上，为满足昆明局各类档案整理工作的规范性和及时性，同时进一步提升局档案数字化率，保障局顺利通过数字档案馆验收，故采购档案整理劳务，以加快文件整理进度，满足国家规范要求。</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档案整理；按照《归档文件整理规则》（DAT/22-2015）及《科学技术档案案卷构成的一般要求》（GB/T 11822—2008）对归档文件进行分类编页、加盖档号章、装订</w:t>
      </w:r>
      <w:r>
        <w:rPr>
          <w:rFonts w:hint="eastAsia" w:ascii="宋体" w:hAnsi="宋体" w:cs="宋体"/>
          <w:color w:val="auto"/>
          <w:sz w:val="28"/>
          <w:szCs w:val="28"/>
          <w:highlight w:val="none"/>
          <w:lang w:val="en-US" w:eastAsia="zh-CN"/>
        </w:rPr>
        <w:t>录入</w:t>
      </w:r>
      <w:r>
        <w:rPr>
          <w:rFonts w:hint="eastAsia" w:ascii="宋体" w:hAnsi="宋体" w:eastAsia="宋体" w:cs="宋体"/>
          <w:color w:val="auto"/>
          <w:sz w:val="28"/>
          <w:szCs w:val="28"/>
          <w:highlight w:val="none"/>
          <w:lang w:val="en-US" w:eastAsia="zh-CN"/>
        </w:rPr>
        <w:t>、整理组卷，装盒上架等</w:t>
      </w:r>
      <w:r>
        <w:rPr>
          <w:rFonts w:hint="eastAsia" w:ascii="宋体" w:hAnsi="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（2）数字化扫描；</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（3）打印装订文件；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（4）电子附件数字化更新挂接。</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eastAsia="宋体" w:cs="宋体"/>
          <w:color w:val="auto"/>
          <w:sz w:val="28"/>
          <w:szCs w:val="28"/>
          <w:highlight w:val="none"/>
          <w:u w:val="none"/>
          <w:lang w:val="en-US" w:eastAsia="zh-CN"/>
        </w:rPr>
        <w:t>202</w:t>
      </w:r>
      <w:r>
        <w:rPr>
          <w:rFonts w:hint="eastAsia" w:ascii="宋体" w:hAnsi="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lang w:val="en-US" w:eastAsia="zh-CN"/>
        </w:rPr>
        <w:t>年8月至202</w:t>
      </w:r>
      <w:r>
        <w:rPr>
          <w:rFonts w:hint="eastAsia" w:ascii="宋体" w:hAnsi="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lang w:val="en-US" w:eastAsia="zh-CN"/>
        </w:rPr>
        <w:t>年12月</w:t>
      </w:r>
      <w:r>
        <w:rPr>
          <w:rFonts w:hint="eastAsia" w:ascii="宋体" w:hAnsi="宋体" w:eastAsia="宋体" w:cs="宋体"/>
          <w:color w:val="auto"/>
          <w:sz w:val="28"/>
          <w:szCs w:val="28"/>
          <w:highlight w:val="none"/>
          <w:lang w:val="en-US" w:eastAsia="zh-CN"/>
        </w:rPr>
        <w:t>，若定标时间晚于起始时间，服务期限顺延</w:t>
      </w:r>
      <w:r>
        <w:rPr>
          <w:rFonts w:hint="eastAsia" w:ascii="宋体" w:hAnsi="宋体" w:cs="宋体"/>
          <w:color w:val="auto"/>
          <w:sz w:val="28"/>
          <w:szCs w:val="28"/>
          <w:highlight w:val="none"/>
          <w:u w:val="none"/>
          <w:lang w:val="en-US" w:eastAsia="zh-CN"/>
        </w:rPr>
        <w:t>，</w:t>
      </w:r>
      <w:r>
        <w:rPr>
          <w:rFonts w:hint="eastAsia" w:ascii="宋体" w:hAnsi="宋体" w:cs="宋体"/>
          <w:b w:val="0"/>
          <w:bCs/>
          <w:color w:val="auto"/>
          <w:sz w:val="28"/>
          <w:szCs w:val="28"/>
          <w:highlight w:val="none"/>
          <w:u w:val="none"/>
          <w:lang w:val="en-US" w:eastAsia="zh-CN"/>
        </w:rPr>
        <w:t>以双方函件为准</w:t>
      </w:r>
      <w:r>
        <w:rPr>
          <w:rFonts w:hint="eastAsia" w:ascii="宋体" w:hAnsi="宋体" w:eastAsia="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none"/>
          <w:lang w:val="en-US" w:eastAsia="zh-CN"/>
        </w:rPr>
        <w:t xml:space="preserve"> 超高压输电公司昆明局</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 xml:space="preserve">2.4其他要求：  </w:t>
      </w:r>
      <w:r>
        <w:rPr>
          <w:rFonts w:hint="eastAsia" w:ascii="宋体" w:hAnsi="宋体" w:eastAsia="宋体" w:cs="宋体"/>
          <w:color w:val="auto"/>
          <w:sz w:val="28"/>
          <w:szCs w:val="28"/>
          <w:highlight w:val="none"/>
          <w:u w:val="none"/>
          <w:lang w:val="en-US" w:eastAsia="zh-CN"/>
        </w:rPr>
        <w:t>无</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2.5采购明细详见“六</w:t>
      </w:r>
      <w:r>
        <w:rPr>
          <w:rFonts w:hint="eastAsia" w:ascii="宋体" w:hAnsi="宋体" w:cs="宋体"/>
          <w:color w:val="auto"/>
          <w:sz w:val="28"/>
          <w:szCs w:val="28"/>
          <w:highlight w:val="none"/>
          <w:lang w:val="en-US" w:eastAsia="zh-CN"/>
        </w:rPr>
        <w:t>采购内容明细</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4.2.6其他要求</w:t>
      </w:r>
      <w:r>
        <w:rPr>
          <w:rFonts w:hint="eastAsia" w:ascii="宋体" w:hAnsi="宋体" w:eastAsia="宋体" w:cs="宋体"/>
          <w:color w:val="auto"/>
          <w:sz w:val="28"/>
          <w:szCs w:val="28"/>
          <w:highlight w:val="none"/>
          <w:u w:val="single"/>
          <w:lang w:val="en-US" w:eastAsia="zh-CN"/>
        </w:rPr>
        <w:t xml:space="preserve">     无        </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wordWrap/>
        <w:spacing w:line="360" w:lineRule="auto"/>
        <w:jc w:val="center"/>
        <w:rPr>
          <w:rFonts w:hint="eastAsia" w:ascii="宋体" w:hAnsi="宋体"/>
          <w:bCs/>
          <w:color w:val="auto"/>
          <w:spacing w:val="15"/>
          <w:szCs w:val="21"/>
          <w:highlight w:val="none"/>
          <w:lang w:eastAsia="zh-CN"/>
        </w:rPr>
      </w:pPr>
      <w:r>
        <w:rPr>
          <w:rFonts w:hint="eastAsia" w:ascii="宋体" w:hAnsi="宋体" w:cs="宋体"/>
          <w:color w:val="auto"/>
          <w:sz w:val="21"/>
          <w:szCs w:val="21"/>
          <w:highlight w:val="none"/>
          <w:lang w:val="en-US" w:eastAsia="zh-CN"/>
        </w:rPr>
        <w:t xml:space="preserve">   </w:t>
      </w:r>
    </w:p>
    <w:p>
      <w:pPr>
        <w:spacing w:line="360" w:lineRule="auto"/>
        <w:rPr>
          <w:rFonts w:hint="eastAsia" w:ascii="宋体" w:hAnsi="宋体" w:cs="宋体"/>
          <w:color w:val="auto"/>
          <w:spacing w:val="-1"/>
          <w:szCs w:val="21"/>
          <w:highlight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w:t>
      </w:r>
      <w:r>
        <w:rPr>
          <w:rFonts w:hint="eastAsia" w:cs="Times New Roman"/>
          <w:b/>
          <w:color w:val="auto"/>
          <w:sz w:val="28"/>
          <w:szCs w:val="28"/>
          <w:highlight w:val="none"/>
          <w:lang w:val="en-US" w:eastAsia="zh-CN"/>
        </w:rPr>
        <w:t>采购内容明细</w:t>
      </w: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575"/>
        <w:gridCol w:w="2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line="240" w:lineRule="auto"/>
              <w:jc w:val="center"/>
              <w:rPr>
                <w:rFonts w:ascii="宋体" w:hAnsi="宋体" w:cs="宋体"/>
                <w:b/>
                <w:bCs/>
                <w:color w:val="auto"/>
                <w:kern w:val="0"/>
                <w:sz w:val="18"/>
                <w:szCs w:val="20"/>
                <w:highlight w:val="none"/>
              </w:rPr>
            </w:pPr>
            <w:r>
              <w:rPr>
                <w:rFonts w:hint="eastAsia" w:ascii="宋体" w:hAnsi="宋体" w:eastAsia="宋体" w:cs="宋体"/>
                <w:b/>
                <w:bCs/>
                <w:color w:val="auto"/>
                <w:kern w:val="0"/>
                <w:sz w:val="20"/>
                <w:szCs w:val="21"/>
                <w:highlight w:val="none"/>
                <w:lang w:val="en-US" w:eastAsia="zh-CN"/>
              </w:rPr>
              <w:t>采购</w:t>
            </w:r>
            <w:r>
              <w:rPr>
                <w:rFonts w:hint="eastAsia" w:ascii="宋体" w:hAnsi="宋体" w:cs="宋体"/>
                <w:b/>
                <w:bCs/>
                <w:color w:val="auto"/>
                <w:kern w:val="0"/>
                <w:sz w:val="20"/>
                <w:szCs w:val="21"/>
                <w:highlight w:val="none"/>
                <w:lang w:val="en-US" w:eastAsia="zh-CN"/>
              </w:rPr>
              <w:t>子项</w:t>
            </w:r>
          </w:p>
        </w:tc>
        <w:tc>
          <w:tcPr>
            <w:tcW w:w="1075"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cs="宋体"/>
                <w:b/>
                <w:bCs/>
                <w:color w:val="auto"/>
                <w:kern w:val="0"/>
                <w:sz w:val="20"/>
                <w:szCs w:val="21"/>
                <w:highlight w:val="none"/>
                <w:lang w:val="en-US" w:eastAsia="zh-CN"/>
              </w:rPr>
              <w:t>单位</w:t>
            </w:r>
          </w:p>
        </w:tc>
        <w:tc>
          <w:tcPr>
            <w:tcW w:w="3575" w:type="dxa"/>
            <w:noWrap w:val="0"/>
            <w:vAlign w:val="center"/>
          </w:tcPr>
          <w:p>
            <w:pPr>
              <w:adjustRightInd w:val="0"/>
              <w:snapToGrid w:val="0"/>
              <w:spacing w:line="240" w:lineRule="auto"/>
              <w:jc w:val="center"/>
              <w:rPr>
                <w:rFonts w:ascii="宋体" w:hAnsi="宋体" w:cs="宋体"/>
                <w:b/>
                <w:bCs/>
                <w:color w:val="auto"/>
                <w:kern w:val="0"/>
                <w:sz w:val="18"/>
                <w:szCs w:val="20"/>
                <w:highlight w:val="none"/>
              </w:rPr>
            </w:pPr>
            <w:r>
              <w:rPr>
                <w:rFonts w:hint="eastAsia" w:ascii="宋体" w:hAnsi="宋体" w:eastAsia="宋体" w:cs="宋体"/>
                <w:b/>
                <w:bCs/>
                <w:color w:val="auto"/>
                <w:kern w:val="0"/>
                <w:sz w:val="20"/>
                <w:szCs w:val="21"/>
                <w:highlight w:val="none"/>
                <w:lang w:val="en-US" w:eastAsia="zh-CN"/>
              </w:rPr>
              <w:t>数量</w:t>
            </w:r>
          </w:p>
        </w:tc>
        <w:tc>
          <w:tcPr>
            <w:tcW w:w="289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eastAsia="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1</w:t>
            </w:r>
          </w:p>
        </w:tc>
        <w:tc>
          <w:tcPr>
            <w:tcW w:w="1987" w:type="dxa"/>
            <w:noWrap w:val="0"/>
            <w:vAlign w:val="center"/>
          </w:tcPr>
          <w:p>
            <w:pPr>
              <w:adjustRightInd w:val="0"/>
              <w:snapToGrid w:val="0"/>
              <w:spacing w:beforeLines="0" w:afterLines="0"/>
              <w:jc w:val="center"/>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olor w:val="auto"/>
                <w:kern w:val="0"/>
                <w:sz w:val="20"/>
                <w:highlight w:val="none"/>
                <w:lang w:val="en-US" w:eastAsia="zh-CN"/>
              </w:rPr>
              <w:t>档案整理劳务服务</w:t>
            </w:r>
          </w:p>
        </w:tc>
        <w:tc>
          <w:tcPr>
            <w:tcW w:w="1075" w:type="dxa"/>
            <w:noWrap w:val="0"/>
            <w:vAlign w:val="center"/>
          </w:tcPr>
          <w:p>
            <w:pPr>
              <w:adjustRightInd w:val="0"/>
              <w:snapToGrid w:val="0"/>
              <w:spacing w:beforeLines="0" w:afterLines="0"/>
              <w:jc w:val="center"/>
              <w:rPr>
                <w:rFonts w:hint="eastAsia" w:ascii="宋体" w:hAnsi="宋体" w:eastAsia="宋体" w:cs="宋体"/>
                <w:b w:val="0"/>
                <w:bCs w:val="0"/>
                <w:color w:val="auto"/>
                <w:kern w:val="0"/>
                <w:sz w:val="18"/>
                <w:szCs w:val="18"/>
                <w:highlight w:val="none"/>
                <w:u w:val="single"/>
                <w:lang w:val="en-US" w:eastAsia="zh-CN"/>
              </w:rPr>
            </w:pPr>
            <w:r>
              <w:rPr>
                <w:rFonts w:hint="eastAsia" w:ascii="宋体" w:hAnsi="宋体" w:eastAsia="宋体" w:cs="宋体"/>
                <w:color w:val="auto"/>
                <w:kern w:val="0"/>
                <w:sz w:val="20"/>
                <w:szCs w:val="21"/>
                <w:highlight w:val="none"/>
                <w:lang w:val="en-US" w:eastAsia="zh-CN"/>
              </w:rPr>
              <w:t>CM</w:t>
            </w:r>
          </w:p>
        </w:tc>
        <w:tc>
          <w:tcPr>
            <w:tcW w:w="3575" w:type="dxa"/>
            <w:noWrap w:val="0"/>
            <w:vAlign w:val="center"/>
          </w:tcPr>
          <w:p>
            <w:pPr>
              <w:adjustRightInd w:val="0"/>
              <w:snapToGrid w:val="0"/>
              <w:spacing w:beforeLines="0" w:afterLines="0"/>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20"/>
                <w:szCs w:val="21"/>
                <w:highlight w:val="none"/>
                <w:lang w:val="en-US" w:eastAsia="zh-CN"/>
              </w:rPr>
              <w:t>约</w:t>
            </w:r>
            <w:r>
              <w:rPr>
                <w:rFonts w:hint="eastAsia" w:ascii="宋体" w:hAnsi="宋体" w:cs="宋体"/>
                <w:color w:val="auto"/>
                <w:kern w:val="0"/>
                <w:sz w:val="20"/>
                <w:szCs w:val="21"/>
                <w:highlight w:val="none"/>
                <w:lang w:val="en-US" w:eastAsia="zh-CN"/>
              </w:rPr>
              <w:t>880</w:t>
            </w:r>
            <w:r>
              <w:rPr>
                <w:rFonts w:hint="eastAsia" w:ascii="宋体" w:hAnsi="宋体" w:eastAsia="宋体" w:cs="宋体"/>
                <w:color w:val="auto"/>
                <w:kern w:val="0"/>
                <w:sz w:val="20"/>
                <w:szCs w:val="21"/>
                <w:highlight w:val="none"/>
                <w:lang w:val="en-US" w:eastAsia="zh-CN"/>
              </w:rPr>
              <w:t>CM（约</w:t>
            </w:r>
            <w:r>
              <w:rPr>
                <w:rFonts w:hint="eastAsia" w:ascii="宋体" w:hAnsi="宋体" w:cs="宋体"/>
                <w:color w:val="auto"/>
                <w:kern w:val="0"/>
                <w:sz w:val="20"/>
                <w:szCs w:val="21"/>
                <w:highlight w:val="none"/>
                <w:lang w:val="en-US" w:eastAsia="zh-CN"/>
              </w:rPr>
              <w:t>220</w:t>
            </w:r>
            <w:r>
              <w:rPr>
                <w:rFonts w:hint="eastAsia" w:ascii="宋体" w:hAnsi="宋体" w:eastAsia="宋体" w:cs="宋体"/>
                <w:color w:val="auto"/>
                <w:kern w:val="0"/>
                <w:sz w:val="20"/>
                <w:szCs w:val="21"/>
                <w:highlight w:val="none"/>
                <w:lang w:val="en-US" w:eastAsia="zh-CN"/>
              </w:rPr>
              <w:t>卷，每卷约</w:t>
            </w:r>
            <w:r>
              <w:rPr>
                <w:rFonts w:hint="eastAsia" w:ascii="宋体" w:hAnsi="宋体" w:cs="宋体"/>
                <w:color w:val="auto"/>
                <w:kern w:val="0"/>
                <w:sz w:val="20"/>
                <w:szCs w:val="21"/>
                <w:highlight w:val="none"/>
                <w:lang w:val="en-US" w:eastAsia="zh-CN"/>
              </w:rPr>
              <w:t>4</w:t>
            </w:r>
            <w:r>
              <w:rPr>
                <w:rFonts w:hint="eastAsia" w:ascii="宋体" w:hAnsi="宋体" w:eastAsia="宋体" w:cs="宋体"/>
                <w:color w:val="auto"/>
                <w:kern w:val="0"/>
                <w:sz w:val="20"/>
                <w:szCs w:val="21"/>
                <w:highlight w:val="none"/>
                <w:lang w:val="en-US" w:eastAsia="zh-CN"/>
              </w:rPr>
              <w:t>CM）</w:t>
            </w:r>
          </w:p>
        </w:tc>
        <w:tc>
          <w:tcPr>
            <w:tcW w:w="2892" w:type="dxa"/>
            <w:noWrap w:val="0"/>
            <w:vAlign w:val="center"/>
          </w:tcPr>
          <w:p>
            <w:pPr>
              <w:adjustRightInd w:val="0"/>
              <w:snapToGrid w:val="0"/>
              <w:spacing w:line="240" w:lineRule="auto"/>
              <w:jc w:val="both"/>
              <w:rPr>
                <w:rFonts w:hint="eastAsia" w:ascii="宋体" w:hAnsi="宋体" w:eastAsia="宋体"/>
                <w:color w:val="auto"/>
                <w:kern w:val="0"/>
                <w:sz w:val="20"/>
                <w:highlight w:val="none"/>
                <w:lang w:val="en-US" w:eastAsia="zh-CN"/>
              </w:rPr>
            </w:pPr>
            <w:r>
              <w:rPr>
                <w:rFonts w:hint="eastAsia" w:ascii="宋体" w:hAnsi="宋体"/>
                <w:color w:val="auto"/>
                <w:kern w:val="0"/>
                <w:sz w:val="20"/>
                <w:highlight w:val="none"/>
                <w:lang w:val="en-US" w:eastAsia="zh-CN"/>
              </w:rPr>
              <w:t>报价时，需同步明确采购子项单价。</w:t>
            </w:r>
            <w:r>
              <w:rPr>
                <w:rFonts w:hint="eastAsia" w:ascii="宋体" w:hAnsi="宋体" w:eastAsia="宋体"/>
                <w:color w:val="auto"/>
                <w:kern w:val="0"/>
                <w:sz w:val="20"/>
                <w:highlight w:val="none"/>
                <w:lang w:val="en-US" w:eastAsia="zh-CN"/>
              </w:rPr>
              <w:t>如果整理数量与实际出现偏差，根据实际整理文件数量及单价结算。</w:t>
            </w:r>
          </w:p>
          <w:p>
            <w:pPr>
              <w:adjustRightInd w:val="0"/>
              <w:snapToGrid w:val="0"/>
              <w:spacing w:line="360" w:lineRule="auto"/>
              <w:jc w:val="both"/>
              <w:rPr>
                <w:rFonts w:hint="eastAsia" w:ascii="宋体" w:hAnsi="宋体" w:eastAsia="宋体" w:cs="宋体"/>
                <w:b w:val="0"/>
                <w:bCs w:val="0"/>
                <w:color w:val="FF0000"/>
                <w:kern w:val="0"/>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default" w:ascii="宋体" w:hAnsi="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2</w:t>
            </w:r>
          </w:p>
        </w:tc>
        <w:tc>
          <w:tcPr>
            <w:tcW w:w="1987" w:type="dxa"/>
            <w:noWrap w:val="0"/>
            <w:vAlign w:val="center"/>
          </w:tcPr>
          <w:p>
            <w:pPr>
              <w:adjustRightInd w:val="0"/>
              <w:snapToGrid w:val="0"/>
              <w:spacing w:line="240" w:lineRule="auto"/>
              <w:jc w:val="center"/>
              <w:rPr>
                <w:rFonts w:hint="eastAsia" w:ascii="宋体" w:hAnsi="宋体" w:eastAsia="宋体" w:cs="宋体"/>
                <w:b w:val="0"/>
                <w:bCs w:val="0"/>
                <w:color w:val="auto"/>
                <w:kern w:val="0"/>
                <w:sz w:val="18"/>
                <w:szCs w:val="18"/>
                <w:highlight w:val="none"/>
                <w:lang w:val="en-US" w:eastAsia="zh-CN"/>
              </w:rPr>
            </w:pPr>
            <w:r>
              <w:rPr>
                <w:rFonts w:hint="default" w:ascii="宋体" w:hAnsi="宋体" w:cs="宋体"/>
                <w:color w:val="auto"/>
                <w:kern w:val="0"/>
                <w:sz w:val="20"/>
                <w:szCs w:val="21"/>
                <w:highlight w:val="none"/>
                <w:lang w:val="en-US" w:eastAsia="zh-CN"/>
              </w:rPr>
              <w:t>数字化扫描</w:t>
            </w:r>
          </w:p>
        </w:tc>
        <w:tc>
          <w:tcPr>
            <w:tcW w:w="1075" w:type="dxa"/>
            <w:noWrap w:val="0"/>
            <w:vAlign w:val="center"/>
          </w:tcPr>
          <w:p>
            <w:pPr>
              <w:adjustRightInd w:val="0"/>
              <w:snapToGrid w:val="0"/>
              <w:spacing w:line="240" w:lineRule="auto"/>
              <w:jc w:val="center"/>
              <w:rPr>
                <w:rFonts w:hint="eastAsia" w:ascii="宋体" w:hAnsi="宋体" w:eastAsia="宋体" w:cs="宋体"/>
                <w:b w:val="0"/>
                <w:bCs w:val="0"/>
                <w:color w:val="auto"/>
                <w:kern w:val="0"/>
                <w:sz w:val="18"/>
                <w:szCs w:val="18"/>
                <w:highlight w:val="none"/>
                <w:u w:val="single"/>
                <w:lang w:val="en-US" w:eastAsia="zh-CN"/>
              </w:rPr>
            </w:pPr>
            <w:r>
              <w:rPr>
                <w:rFonts w:hint="eastAsia" w:ascii="宋体" w:hAnsi="宋体" w:cs="宋体"/>
                <w:color w:val="auto"/>
                <w:kern w:val="0"/>
                <w:sz w:val="20"/>
                <w:szCs w:val="21"/>
                <w:highlight w:val="none"/>
                <w:lang w:val="en-US" w:eastAsia="zh-CN"/>
              </w:rPr>
              <w:t>页</w:t>
            </w:r>
          </w:p>
        </w:tc>
        <w:tc>
          <w:tcPr>
            <w:tcW w:w="3575" w:type="dxa"/>
            <w:noWrap w:val="0"/>
            <w:vAlign w:val="center"/>
          </w:tcPr>
          <w:p>
            <w:pPr>
              <w:adjustRightInd w:val="0"/>
              <w:snapToGrid w:val="0"/>
              <w:spacing w:line="240" w:lineRule="auto"/>
              <w:jc w:val="center"/>
              <w:rPr>
                <w:rFonts w:hint="eastAsia" w:ascii="宋体" w:hAnsi="宋体" w:eastAsia="宋体" w:cs="宋体"/>
                <w:color w:val="auto"/>
                <w:kern w:val="2"/>
                <w:sz w:val="18"/>
                <w:szCs w:val="18"/>
                <w:highlight w:val="none"/>
                <w:lang w:val="en-US" w:eastAsia="zh-CN" w:bidi="ar-SA"/>
              </w:rPr>
            </w:pPr>
            <w:r>
              <w:rPr>
                <w:rFonts w:hint="eastAsia" w:ascii="宋体" w:hAnsi="宋体" w:cs="宋体"/>
                <w:color w:val="auto"/>
                <w:kern w:val="0"/>
                <w:sz w:val="20"/>
                <w:szCs w:val="21"/>
                <w:highlight w:val="none"/>
                <w:lang w:val="en-US" w:eastAsia="zh-CN"/>
              </w:rPr>
              <w:t>约2000页</w:t>
            </w:r>
          </w:p>
        </w:tc>
        <w:tc>
          <w:tcPr>
            <w:tcW w:w="2892" w:type="dxa"/>
            <w:noWrap w:val="0"/>
            <w:vAlign w:val="center"/>
          </w:tcPr>
          <w:p>
            <w:pPr>
              <w:adjustRightInd w:val="0"/>
              <w:snapToGrid w:val="0"/>
              <w:spacing w:line="240" w:lineRule="auto"/>
              <w:jc w:val="both"/>
              <w:rPr>
                <w:rFonts w:hint="eastAsia" w:ascii="宋体" w:hAnsi="宋体" w:eastAsia="宋体" w:cs="宋体"/>
                <w:b w:val="0"/>
                <w:bCs w:val="0"/>
                <w:color w:val="FF0000"/>
                <w:kern w:val="0"/>
                <w:sz w:val="18"/>
                <w:szCs w:val="18"/>
                <w:highlight w:val="none"/>
                <w:lang w:val="en-US" w:eastAsia="zh-CN"/>
              </w:rPr>
            </w:pPr>
            <w:r>
              <w:rPr>
                <w:rFonts w:hint="eastAsia" w:ascii="宋体" w:hAnsi="宋体"/>
                <w:color w:val="auto"/>
                <w:kern w:val="0"/>
                <w:sz w:val="20"/>
                <w:highlight w:val="none"/>
                <w:lang w:val="en-US" w:eastAsia="zh-CN"/>
              </w:rPr>
              <w:t>报价时，需同步明确采购子项单价。</w:t>
            </w:r>
            <w:r>
              <w:rPr>
                <w:rFonts w:hint="eastAsia" w:ascii="宋体" w:hAnsi="宋体" w:eastAsia="宋体"/>
                <w:color w:val="auto"/>
                <w:kern w:val="0"/>
                <w:sz w:val="20"/>
                <w:highlight w:val="none"/>
                <w:lang w:val="en-US" w:eastAsia="zh-CN"/>
              </w:rPr>
              <w:t>如果整理数量与实际出现偏差，根据实际整理文件数量及单价结算。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default" w:ascii="宋体" w:hAnsi="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3</w:t>
            </w:r>
          </w:p>
        </w:tc>
        <w:tc>
          <w:tcPr>
            <w:tcW w:w="1987" w:type="dxa"/>
            <w:noWrap w:val="0"/>
            <w:vAlign w:val="center"/>
          </w:tcPr>
          <w:p>
            <w:pPr>
              <w:adjustRightInd w:val="0"/>
              <w:snapToGrid w:val="0"/>
              <w:spacing w:line="240" w:lineRule="auto"/>
              <w:jc w:val="center"/>
              <w:rPr>
                <w:rFonts w:hint="eastAsia" w:ascii="宋体" w:hAnsi="宋体" w:eastAsia="宋体" w:cs="宋体"/>
                <w:b w:val="0"/>
                <w:bCs w:val="0"/>
                <w:color w:val="auto"/>
                <w:kern w:val="0"/>
                <w:sz w:val="18"/>
                <w:szCs w:val="18"/>
                <w:highlight w:val="none"/>
                <w:lang w:val="en-US" w:eastAsia="zh-CN"/>
              </w:rPr>
            </w:pPr>
            <w:r>
              <w:rPr>
                <w:rFonts w:hint="default" w:ascii="宋体" w:hAnsi="宋体" w:cs="宋体"/>
                <w:color w:val="auto"/>
                <w:kern w:val="0"/>
                <w:sz w:val="20"/>
                <w:szCs w:val="21"/>
                <w:highlight w:val="none"/>
                <w:lang w:val="en-US" w:eastAsia="zh-CN"/>
              </w:rPr>
              <w:t>打印装订文件</w:t>
            </w:r>
          </w:p>
        </w:tc>
        <w:tc>
          <w:tcPr>
            <w:tcW w:w="1075" w:type="dxa"/>
            <w:noWrap w:val="0"/>
            <w:vAlign w:val="center"/>
          </w:tcPr>
          <w:p>
            <w:pPr>
              <w:adjustRightInd w:val="0"/>
              <w:snapToGrid w:val="0"/>
              <w:spacing w:line="240" w:lineRule="auto"/>
              <w:jc w:val="center"/>
              <w:rPr>
                <w:rFonts w:hint="eastAsia" w:ascii="宋体" w:hAnsi="宋体" w:eastAsia="宋体" w:cs="宋体"/>
                <w:b w:val="0"/>
                <w:bCs w:val="0"/>
                <w:color w:val="auto"/>
                <w:kern w:val="0"/>
                <w:sz w:val="18"/>
                <w:szCs w:val="18"/>
                <w:highlight w:val="none"/>
                <w:u w:val="single"/>
                <w:lang w:val="en-US" w:eastAsia="zh-CN"/>
              </w:rPr>
            </w:pPr>
            <w:r>
              <w:rPr>
                <w:rFonts w:hint="eastAsia" w:ascii="宋体" w:hAnsi="宋体" w:cs="宋体"/>
                <w:color w:val="auto"/>
                <w:kern w:val="0"/>
                <w:sz w:val="20"/>
                <w:szCs w:val="21"/>
                <w:highlight w:val="none"/>
                <w:lang w:val="en-US" w:eastAsia="zh-CN"/>
              </w:rPr>
              <w:t>页</w:t>
            </w:r>
          </w:p>
        </w:tc>
        <w:tc>
          <w:tcPr>
            <w:tcW w:w="3575" w:type="dxa"/>
            <w:noWrap w:val="0"/>
            <w:vAlign w:val="center"/>
          </w:tcPr>
          <w:p>
            <w:pPr>
              <w:adjustRightInd w:val="0"/>
              <w:snapToGrid w:val="0"/>
              <w:spacing w:line="240" w:lineRule="auto"/>
              <w:jc w:val="center"/>
              <w:rPr>
                <w:rFonts w:hint="eastAsia" w:ascii="宋体" w:hAnsi="宋体" w:eastAsia="宋体" w:cs="宋体"/>
                <w:color w:val="auto"/>
                <w:kern w:val="2"/>
                <w:sz w:val="18"/>
                <w:szCs w:val="18"/>
                <w:highlight w:val="none"/>
                <w:lang w:val="en-US" w:eastAsia="zh-CN" w:bidi="ar-SA"/>
              </w:rPr>
            </w:pPr>
            <w:r>
              <w:rPr>
                <w:rFonts w:hint="eastAsia" w:ascii="宋体" w:hAnsi="宋体" w:cs="宋体"/>
                <w:color w:val="auto"/>
                <w:kern w:val="0"/>
                <w:sz w:val="20"/>
                <w:szCs w:val="21"/>
                <w:highlight w:val="none"/>
                <w:lang w:val="en-US" w:eastAsia="zh-CN"/>
              </w:rPr>
              <w:t>约20000页</w:t>
            </w:r>
          </w:p>
        </w:tc>
        <w:tc>
          <w:tcPr>
            <w:tcW w:w="2892" w:type="dxa"/>
            <w:noWrap w:val="0"/>
            <w:vAlign w:val="center"/>
          </w:tcPr>
          <w:p>
            <w:pPr>
              <w:adjustRightInd w:val="0"/>
              <w:snapToGrid w:val="0"/>
              <w:spacing w:line="240" w:lineRule="auto"/>
              <w:jc w:val="both"/>
              <w:rPr>
                <w:rFonts w:hint="eastAsia" w:ascii="宋体" w:hAnsi="宋体" w:eastAsia="宋体" w:cs="宋体"/>
                <w:b w:val="0"/>
                <w:bCs w:val="0"/>
                <w:color w:val="FF0000"/>
                <w:kern w:val="0"/>
                <w:sz w:val="18"/>
                <w:szCs w:val="18"/>
                <w:highlight w:val="none"/>
                <w:lang w:val="en-US" w:eastAsia="zh-CN"/>
              </w:rPr>
            </w:pPr>
            <w:r>
              <w:rPr>
                <w:rFonts w:hint="eastAsia" w:ascii="宋体" w:hAnsi="宋体"/>
                <w:color w:val="auto"/>
                <w:kern w:val="0"/>
                <w:sz w:val="20"/>
                <w:highlight w:val="none"/>
                <w:lang w:val="en-US" w:eastAsia="zh-CN"/>
              </w:rPr>
              <w:t>报价时，需同步明确采购子项单价。</w:t>
            </w:r>
            <w:r>
              <w:rPr>
                <w:rFonts w:hint="eastAsia" w:ascii="宋体" w:hAnsi="宋体" w:eastAsia="宋体"/>
                <w:color w:val="auto"/>
                <w:kern w:val="0"/>
                <w:sz w:val="20"/>
                <w:highlight w:val="none"/>
                <w:lang w:val="en-US" w:eastAsia="zh-CN"/>
              </w:rPr>
              <w:t>如果整理数量与实际出现偏差，根据实际整理文件数量及单价结算。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default" w:ascii="宋体" w:hAnsi="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4</w:t>
            </w:r>
          </w:p>
        </w:tc>
        <w:tc>
          <w:tcPr>
            <w:tcW w:w="1987" w:type="dxa"/>
            <w:noWrap w:val="0"/>
            <w:vAlign w:val="center"/>
          </w:tcPr>
          <w:p>
            <w:pPr>
              <w:adjustRightInd w:val="0"/>
              <w:snapToGrid w:val="0"/>
              <w:spacing w:line="240" w:lineRule="auto"/>
              <w:jc w:val="center"/>
              <w:rPr>
                <w:rFonts w:hint="eastAsia" w:ascii="宋体" w:hAnsi="宋体" w:eastAsia="宋体" w:cs="宋体"/>
                <w:b w:val="0"/>
                <w:bCs w:val="0"/>
                <w:color w:val="auto"/>
                <w:kern w:val="0"/>
                <w:sz w:val="18"/>
                <w:szCs w:val="18"/>
                <w:highlight w:val="none"/>
                <w:lang w:val="en-US" w:eastAsia="zh-CN"/>
              </w:rPr>
            </w:pPr>
            <w:r>
              <w:rPr>
                <w:rFonts w:hint="eastAsia" w:ascii="宋体" w:hAnsi="宋体" w:cs="宋体"/>
                <w:color w:val="auto"/>
                <w:kern w:val="0"/>
                <w:sz w:val="20"/>
                <w:szCs w:val="21"/>
                <w:highlight w:val="none"/>
                <w:lang w:val="en-US" w:eastAsia="zh-CN"/>
              </w:rPr>
              <w:t>电子附件数字化更新挂接</w:t>
            </w:r>
          </w:p>
        </w:tc>
        <w:tc>
          <w:tcPr>
            <w:tcW w:w="1075" w:type="dxa"/>
            <w:noWrap w:val="0"/>
            <w:vAlign w:val="center"/>
          </w:tcPr>
          <w:p>
            <w:pPr>
              <w:adjustRightInd w:val="0"/>
              <w:snapToGrid w:val="0"/>
              <w:spacing w:line="240" w:lineRule="auto"/>
              <w:jc w:val="center"/>
              <w:rPr>
                <w:rFonts w:hint="eastAsia" w:ascii="宋体" w:hAnsi="宋体" w:eastAsia="宋体" w:cs="宋体"/>
                <w:b w:val="0"/>
                <w:bCs w:val="0"/>
                <w:color w:val="auto"/>
                <w:kern w:val="0"/>
                <w:sz w:val="18"/>
                <w:szCs w:val="18"/>
                <w:highlight w:val="none"/>
                <w:u w:val="single"/>
                <w:lang w:val="en-US" w:eastAsia="zh-CN"/>
              </w:rPr>
            </w:pPr>
            <w:r>
              <w:rPr>
                <w:rFonts w:hint="eastAsia" w:ascii="宋体" w:hAnsi="宋体" w:cs="宋体"/>
                <w:color w:val="auto"/>
                <w:kern w:val="0"/>
                <w:sz w:val="20"/>
                <w:szCs w:val="21"/>
                <w:highlight w:val="none"/>
                <w:lang w:val="en-US" w:eastAsia="zh-CN"/>
              </w:rPr>
              <w:t>份</w:t>
            </w:r>
          </w:p>
        </w:tc>
        <w:tc>
          <w:tcPr>
            <w:tcW w:w="3575" w:type="dxa"/>
            <w:noWrap w:val="0"/>
            <w:vAlign w:val="center"/>
          </w:tcPr>
          <w:p>
            <w:pPr>
              <w:adjustRightInd w:val="0"/>
              <w:snapToGrid w:val="0"/>
              <w:spacing w:line="240" w:lineRule="auto"/>
              <w:jc w:val="center"/>
              <w:rPr>
                <w:rFonts w:hint="eastAsia" w:ascii="宋体" w:hAnsi="宋体" w:eastAsia="宋体" w:cs="宋体"/>
                <w:color w:val="auto"/>
                <w:kern w:val="2"/>
                <w:sz w:val="18"/>
                <w:szCs w:val="18"/>
                <w:highlight w:val="none"/>
                <w:lang w:val="en-US" w:eastAsia="zh-CN" w:bidi="ar-SA"/>
              </w:rPr>
            </w:pPr>
            <w:r>
              <w:rPr>
                <w:rFonts w:hint="eastAsia" w:ascii="宋体" w:hAnsi="宋体" w:cs="宋体"/>
                <w:color w:val="auto"/>
                <w:kern w:val="0"/>
                <w:sz w:val="20"/>
                <w:szCs w:val="21"/>
                <w:highlight w:val="none"/>
                <w:lang w:val="en-US" w:eastAsia="zh-CN"/>
              </w:rPr>
              <w:t>约20000份</w:t>
            </w:r>
          </w:p>
        </w:tc>
        <w:tc>
          <w:tcPr>
            <w:tcW w:w="2892" w:type="dxa"/>
            <w:noWrap w:val="0"/>
            <w:vAlign w:val="center"/>
          </w:tcPr>
          <w:p>
            <w:pPr>
              <w:adjustRightInd w:val="0"/>
              <w:snapToGrid w:val="0"/>
              <w:spacing w:line="240" w:lineRule="auto"/>
              <w:jc w:val="both"/>
              <w:rPr>
                <w:rFonts w:hint="eastAsia" w:ascii="宋体" w:hAnsi="宋体" w:eastAsia="宋体" w:cs="宋体"/>
                <w:b w:val="0"/>
                <w:bCs w:val="0"/>
                <w:color w:val="FF0000"/>
                <w:kern w:val="0"/>
                <w:sz w:val="18"/>
                <w:szCs w:val="18"/>
                <w:highlight w:val="none"/>
                <w:lang w:val="en-US" w:eastAsia="zh-CN"/>
              </w:rPr>
            </w:pPr>
            <w:r>
              <w:rPr>
                <w:rFonts w:hint="eastAsia" w:ascii="宋体" w:hAnsi="宋体"/>
                <w:color w:val="auto"/>
                <w:kern w:val="0"/>
                <w:sz w:val="20"/>
                <w:highlight w:val="none"/>
                <w:lang w:val="en-US" w:eastAsia="zh-CN"/>
              </w:rPr>
              <w:t>报价时，需同步明确采购子项单价。</w:t>
            </w:r>
            <w:r>
              <w:rPr>
                <w:rFonts w:hint="eastAsia" w:ascii="宋体" w:hAnsi="宋体" w:eastAsia="宋体"/>
                <w:color w:val="auto"/>
                <w:kern w:val="0"/>
                <w:sz w:val="20"/>
                <w:highlight w:val="none"/>
                <w:lang w:val="en-US" w:eastAsia="zh-CN"/>
              </w:rPr>
              <w:t>如果整理数量与实际出现偏差，根</w:t>
            </w:r>
            <w:bookmarkStart w:id="3" w:name="_GoBack"/>
            <w:bookmarkEnd w:id="3"/>
            <w:r>
              <w:rPr>
                <w:rFonts w:hint="eastAsia" w:ascii="宋体" w:hAnsi="宋体" w:eastAsia="宋体"/>
                <w:color w:val="auto"/>
                <w:kern w:val="0"/>
                <w:sz w:val="20"/>
                <w:highlight w:val="none"/>
                <w:lang w:val="en-US" w:eastAsia="zh-CN"/>
              </w:rPr>
              <w:t>据实际整理文件数量及单价结算。</w:t>
            </w:r>
          </w:p>
        </w:tc>
      </w:tr>
    </w:tbl>
    <w:p>
      <w:pPr>
        <w:spacing w:line="360" w:lineRule="auto"/>
        <w:jc w:val="center"/>
        <w:outlineLvl w:val="9"/>
        <w:rPr>
          <w:rFonts w:hint="default" w:ascii="宋体" w:hAnsi="宋体"/>
          <w:b/>
          <w:bCs w:val="0"/>
          <w:color w:val="auto"/>
          <w:spacing w:val="15"/>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spacing w:line="360" w:lineRule="auto"/>
        <w:rPr>
          <w:rFonts w:hint="eastAsia" w:ascii="宋体" w:hAnsi="宋体" w:cs="宋体"/>
          <w:color w:val="auto"/>
          <w:spacing w:val="-1"/>
          <w:szCs w:val="21"/>
          <w:highlight w:val="none"/>
          <w:lang w:val="en-US" w:eastAsia="zh-CN"/>
        </w:rPr>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pPr>
    </w:p>
    <w:p>
      <w:pPr>
        <w:numPr>
          <w:ilvl w:val="0"/>
          <w:numId w:val="3"/>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联系人信息</w:t>
      </w:r>
    </w:p>
    <w:p>
      <w:pPr>
        <w:numPr>
          <w:ilvl w:val="0"/>
          <w:numId w:val="0"/>
        </w:numPr>
        <w:spacing w:line="360" w:lineRule="auto"/>
        <w:jc w:val="left"/>
        <w:outlineLvl w:val="9"/>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                          ***公司（供应商填写）</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2"/>
        <w:gridCol w:w="1626"/>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姓名</w:t>
            </w:r>
          </w:p>
        </w:tc>
        <w:tc>
          <w:tcPr>
            <w:tcW w:w="1626"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职务</w:t>
            </w:r>
          </w:p>
        </w:tc>
        <w:tc>
          <w:tcPr>
            <w:tcW w:w="1704"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联系方式</w:t>
            </w:r>
          </w:p>
        </w:tc>
        <w:tc>
          <w:tcPr>
            <w:tcW w:w="1705"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邮箱</w:t>
            </w:r>
          </w:p>
        </w:tc>
        <w:tc>
          <w:tcPr>
            <w:tcW w:w="1705"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为方便沟通，请将此项目联系人信息填写后，上传系统。</w:t>
      </w: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sectPr>
      <w:headerReference r:id="rId7" w:type="default"/>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ALMi84AgAAcA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8AsyLzgCAABwBAAADgAAAAAAAAABACAAAAAfAQAAZHJzL2Uyb0RvYy54&#10;bWxQSwUGAAAAAAYABgBZAQAAyQU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7snQxAgAAZA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e7J0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438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SUd9tN4BAACz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D46453"/>
    <w:multiLevelType w:val="singleLevel"/>
    <w:tmpl w:val="CCD46453"/>
    <w:lvl w:ilvl="0" w:tentative="0">
      <w:start w:val="1"/>
      <w:numFmt w:val="decimal"/>
      <w:suff w:val="nothing"/>
      <w:lvlText w:val="（%1）"/>
      <w:lvlJc w:val="left"/>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19F56971"/>
    <w:multiLevelType w:val="singleLevel"/>
    <w:tmpl w:val="19F56971"/>
    <w:lvl w:ilvl="0" w:tentative="0">
      <w:start w:val="7"/>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596915"/>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9D18AF"/>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9A1F15"/>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1583D"/>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21A74"/>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4E0FFC"/>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spacing w:after="12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于雷</cp:lastModifiedBy>
  <dcterms:modified xsi:type="dcterms:W3CDTF">2024-06-20T08:52:26Z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147DA72012B34354B3859AF14AEAB1C6</vt:lpwstr>
  </property>
</Properties>
</file>