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Cs w:val="21"/>
        </w:rPr>
      </w:pPr>
      <w:r>
        <w:rPr>
          <w:rFonts w:hint="eastAsia" w:ascii="宋体" w:hAnsi="宋体"/>
          <w:b/>
          <w:szCs w:val="21"/>
        </w:rPr>
        <w:t>南方电网科学研究院有限责任公司</w:t>
      </w:r>
    </w:p>
    <w:p>
      <w:pPr>
        <w:jc w:val="center"/>
        <w:rPr>
          <w:rFonts w:ascii="宋体" w:hAnsi="宋体"/>
          <w:b/>
          <w:szCs w:val="21"/>
        </w:rPr>
      </w:pPr>
      <w:bookmarkStart w:id="0" w:name="_Hlk170210959"/>
      <w:r>
        <w:rPr>
          <w:rFonts w:hint="eastAsia" w:ascii="宋体" w:hAnsi="宋体"/>
          <w:b/>
          <w:szCs w:val="21"/>
        </w:rPr>
        <w:t>南网科研院</w:t>
      </w:r>
      <w:bookmarkEnd w:id="0"/>
      <w:r>
        <w:rPr>
          <w:rFonts w:hint="eastAsia" w:ascii="宋体" w:hAnsi="宋体"/>
          <w:b/>
          <w:szCs w:val="21"/>
        </w:rPr>
        <w:t>数据中心仿真调度规模</w:t>
      </w:r>
      <w:r>
        <w:rPr>
          <w:rFonts w:hint="eastAsia" w:ascii="宋体" w:hAnsi="宋体"/>
          <w:b/>
          <w:szCs w:val="21"/>
          <w:lang w:val="en-US" w:eastAsia="zh-CN"/>
        </w:rPr>
        <w:t>指标</w:t>
      </w:r>
      <w:bookmarkStart w:id="1" w:name="_GoBack"/>
      <w:bookmarkEnd w:id="1"/>
      <w:r>
        <w:rPr>
          <w:rFonts w:hint="eastAsia" w:ascii="宋体" w:hAnsi="宋体"/>
          <w:b/>
          <w:szCs w:val="21"/>
          <w:lang w:val="en-US" w:eastAsia="zh-CN"/>
        </w:rPr>
        <w:t>第三方</w:t>
      </w:r>
      <w:r>
        <w:rPr>
          <w:rFonts w:hint="eastAsia" w:ascii="宋体" w:hAnsi="宋体"/>
          <w:b/>
          <w:szCs w:val="21"/>
        </w:rPr>
        <w:t>测试</w:t>
      </w:r>
    </w:p>
    <w:p>
      <w:pPr>
        <w:jc w:val="center"/>
        <w:rPr>
          <w:rFonts w:ascii="宋体" w:hAnsi="宋体"/>
          <w:b/>
          <w:szCs w:val="21"/>
        </w:rPr>
      </w:pPr>
      <w:r>
        <w:rPr>
          <w:rFonts w:hint="eastAsia" w:ascii="宋体" w:hAnsi="宋体"/>
          <w:b/>
          <w:szCs w:val="21"/>
        </w:rPr>
        <w:t>零星采购技术附件</w:t>
      </w:r>
    </w:p>
    <w:p>
      <w:pPr>
        <w:pStyle w:val="8"/>
        <w:numPr>
          <w:ilvl w:val="0"/>
          <w:numId w:val="1"/>
        </w:numPr>
        <w:ind w:firstLineChars="0"/>
        <w:outlineLvl w:val="0"/>
        <w:rPr>
          <w:rFonts w:ascii="宋体" w:hAnsi="宋体" w:cs="宋体"/>
          <w:b/>
          <w:szCs w:val="21"/>
        </w:rPr>
      </w:pPr>
      <w:r>
        <w:rPr>
          <w:rFonts w:hint="eastAsia" w:ascii="宋体" w:hAnsi="宋体" w:cs="宋体"/>
          <w:b/>
          <w:szCs w:val="21"/>
        </w:rPr>
        <w:t>采购范围及要求</w:t>
      </w:r>
    </w:p>
    <w:p>
      <w:pPr>
        <w:spacing w:line="360" w:lineRule="auto"/>
        <w:ind w:firstLine="420" w:firstLineChars="200"/>
        <w:rPr>
          <w:rFonts w:ascii="宋体" w:hAnsi="宋体"/>
          <w:szCs w:val="21"/>
        </w:rPr>
      </w:pPr>
      <w:r>
        <w:rPr>
          <w:rFonts w:hint="eastAsia" w:ascii="宋体" w:hAnsi="宋体"/>
          <w:szCs w:val="21"/>
        </w:rPr>
        <w:t>1、按照</w:t>
      </w:r>
      <w:r>
        <w:rPr>
          <w:rFonts w:ascii="宋体" w:hAnsi="宋体"/>
          <w:szCs w:val="21"/>
        </w:rPr>
        <w:t>GB/T 34982-2017</w:t>
      </w:r>
      <w:r>
        <w:rPr>
          <w:rFonts w:hint="eastAsia" w:ascii="宋体" w:hAnsi="宋体"/>
          <w:szCs w:val="21"/>
        </w:rPr>
        <w:t>、</w:t>
      </w:r>
      <w:r>
        <w:rPr>
          <w:rFonts w:ascii="宋体" w:hAnsi="宋体"/>
          <w:szCs w:val="21"/>
        </w:rPr>
        <w:t>GB/T 37779-2019</w:t>
      </w:r>
      <w:r>
        <w:rPr>
          <w:rFonts w:hint="eastAsia" w:ascii="宋体" w:hAnsi="宋体"/>
          <w:szCs w:val="21"/>
        </w:rPr>
        <w:t>等国家标准要求，以及国家、行业、南方电网公司信息安全相关规定和要求，提供“数据中心仿真调度规模测试”能力验证服务，包括但不限于提供测试样品及作业指导书、审核测量结果、出具结果通知书等工作。</w:t>
      </w:r>
    </w:p>
    <w:p>
      <w:pPr>
        <w:spacing w:line="360" w:lineRule="auto"/>
        <w:ind w:firstLine="420" w:firstLineChars="200"/>
        <w:rPr>
          <w:rFonts w:ascii="宋体" w:hAnsi="宋体"/>
          <w:szCs w:val="21"/>
        </w:rPr>
      </w:pPr>
      <w:r>
        <w:rPr>
          <w:rFonts w:hint="eastAsia" w:ascii="宋体" w:hAnsi="宋体"/>
          <w:szCs w:val="21"/>
        </w:rPr>
        <w:t>2、报价单位提供的“数据中心仿真调度规模测试”能力验证测试项目需具备CNAS或C</w:t>
      </w:r>
      <w:r>
        <w:rPr>
          <w:rFonts w:ascii="宋体" w:hAnsi="宋体"/>
          <w:szCs w:val="21"/>
        </w:rPr>
        <w:t>MA</w:t>
      </w:r>
      <w:r>
        <w:rPr>
          <w:rFonts w:hint="eastAsia" w:ascii="宋体" w:hAnsi="宋体"/>
          <w:szCs w:val="21"/>
        </w:rPr>
        <w:t>认可资质。</w:t>
      </w:r>
    </w:p>
    <w:p>
      <w:pPr>
        <w:spacing w:line="360" w:lineRule="auto"/>
        <w:ind w:firstLine="420" w:firstLineChars="200"/>
        <w:rPr>
          <w:rFonts w:ascii="宋体" w:hAnsi="宋体"/>
          <w:szCs w:val="21"/>
        </w:rPr>
      </w:pPr>
      <w:r>
        <w:rPr>
          <w:rFonts w:hint="eastAsia" w:ascii="宋体" w:hAnsi="宋体"/>
          <w:szCs w:val="21"/>
        </w:rPr>
        <w:t>其中，测试内容包括以下两项：</w:t>
      </w:r>
    </w:p>
    <w:p>
      <w:pPr>
        <w:spacing w:line="360" w:lineRule="auto"/>
        <w:ind w:firstLine="420" w:firstLineChars="200"/>
        <w:rPr>
          <w:rFonts w:ascii="宋体" w:hAnsi="宋体"/>
          <w:szCs w:val="21"/>
        </w:rPr>
      </w:pPr>
      <w:r>
        <w:rPr>
          <w:rFonts w:hint="eastAsia" w:ascii="宋体" w:hAnsi="宋体"/>
          <w:szCs w:val="21"/>
        </w:rPr>
        <w:t>（1）功能测试</w:t>
      </w:r>
    </w:p>
    <w:p>
      <w:pPr>
        <w:spacing w:line="360" w:lineRule="auto"/>
        <w:ind w:firstLine="420" w:firstLineChars="200"/>
        <w:rPr>
          <w:rFonts w:ascii="宋体" w:hAnsi="宋体"/>
          <w:szCs w:val="21"/>
        </w:rPr>
      </w:pPr>
      <w:r>
        <w:rPr>
          <w:rFonts w:hint="eastAsia" w:ascii="宋体" w:hAnsi="宋体"/>
          <w:szCs w:val="21"/>
        </w:rPr>
        <w:t>测试内容：验证能否实时监控和分配交互式数据负荷和批处理数据负荷；验证模型是否正确地整合了影响数据中心电力负荷的多种因素，如功耗、温度控制和数据负荷调度；验证程序对数据中心总能耗的优化能力。</w:t>
      </w:r>
    </w:p>
    <w:p>
      <w:pPr>
        <w:spacing w:line="360" w:lineRule="auto"/>
        <w:ind w:firstLine="420" w:firstLineChars="200"/>
        <w:rPr>
          <w:rFonts w:ascii="宋体" w:hAnsi="宋体"/>
          <w:szCs w:val="21"/>
        </w:rPr>
      </w:pPr>
      <w:r>
        <w:rPr>
          <w:rFonts w:hint="eastAsia" w:ascii="宋体" w:hAnsi="宋体"/>
          <w:szCs w:val="21"/>
        </w:rPr>
        <w:t>测试验证的量值：数据负荷分配的准确性：交互式数据负荷和批处理数据负荷的分配是否符合设定的输入值；验证模型对交互式数据负荷和批处理数据负荷的调度决策是否合理；计算出的总功耗值是否合理且最小化。</w:t>
      </w:r>
    </w:p>
    <w:p>
      <w:pPr>
        <w:spacing w:line="360" w:lineRule="auto"/>
        <w:ind w:firstLine="420" w:firstLineChars="200"/>
        <w:rPr>
          <w:rFonts w:ascii="宋体" w:hAnsi="宋体"/>
          <w:szCs w:val="21"/>
        </w:rPr>
      </w:pPr>
      <w:r>
        <w:rPr>
          <w:rFonts w:hint="eastAsia" w:ascii="宋体" w:hAnsi="宋体"/>
          <w:szCs w:val="21"/>
        </w:rPr>
        <w:t>（2）性能测试</w:t>
      </w:r>
    </w:p>
    <w:p>
      <w:pPr>
        <w:spacing w:line="360" w:lineRule="auto"/>
        <w:ind w:firstLine="420" w:firstLineChars="200"/>
        <w:rPr>
          <w:rFonts w:ascii="宋体" w:hAnsi="宋体"/>
          <w:szCs w:val="21"/>
        </w:rPr>
      </w:pPr>
      <w:r>
        <w:rPr>
          <w:rFonts w:hint="eastAsia" w:ascii="宋体" w:hAnsi="宋体"/>
          <w:szCs w:val="21"/>
        </w:rPr>
        <w:t>测试内容：验证在大规模数据中心仿真调度下的性能表现。</w:t>
      </w:r>
    </w:p>
    <w:p>
      <w:pPr>
        <w:spacing w:line="360" w:lineRule="auto"/>
        <w:ind w:firstLine="420" w:firstLineChars="200"/>
        <w:rPr>
          <w:rFonts w:ascii="宋体" w:hAnsi="宋体"/>
          <w:szCs w:val="21"/>
        </w:rPr>
      </w:pPr>
      <w:r>
        <w:rPr>
          <w:rFonts w:hint="eastAsia" w:ascii="宋体" w:hAnsi="宋体"/>
          <w:szCs w:val="21"/>
        </w:rPr>
        <w:t>测试验证的量值：数据中心仿真调度规模≥5万千瓦。</w:t>
      </w:r>
    </w:p>
    <w:p>
      <w:pPr>
        <w:spacing w:line="360" w:lineRule="auto"/>
        <w:ind w:firstLine="420" w:firstLineChars="200"/>
        <w:rPr>
          <w:rFonts w:ascii="宋体" w:hAnsi="宋体"/>
          <w:szCs w:val="21"/>
        </w:rPr>
      </w:pPr>
      <w:r>
        <w:rPr>
          <w:rFonts w:hint="eastAsia" w:ascii="宋体" w:hAnsi="宋体"/>
          <w:szCs w:val="21"/>
        </w:rPr>
        <w:t>在合同结束前完成对应测试内容，提交测评报告。</w:t>
      </w:r>
    </w:p>
    <w:p>
      <w:pPr>
        <w:pStyle w:val="8"/>
        <w:numPr>
          <w:ilvl w:val="0"/>
          <w:numId w:val="1"/>
        </w:numPr>
        <w:ind w:firstLineChars="0"/>
        <w:outlineLvl w:val="0"/>
        <w:rPr>
          <w:rFonts w:ascii="宋体" w:hAnsi="宋体" w:cs="宋体"/>
          <w:b/>
          <w:szCs w:val="21"/>
        </w:rPr>
      </w:pPr>
      <w:r>
        <w:rPr>
          <w:rFonts w:hint="eastAsia" w:ascii="宋体" w:hAnsi="宋体" w:cs="宋体"/>
          <w:b/>
          <w:szCs w:val="21"/>
        </w:rPr>
        <w:t>资格条件</w:t>
      </w:r>
    </w:p>
    <w:tbl>
      <w:tblPr>
        <w:tblStyle w:val="6"/>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7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811" w:type="dxa"/>
            <w:shd w:val="clear" w:color="auto" w:fill="FFFFFF"/>
            <w:vAlign w:val="center"/>
          </w:tcPr>
          <w:p>
            <w:pPr>
              <w:jc w:val="center"/>
              <w:rPr>
                <w:rFonts w:ascii="宋体" w:hAnsi="宋体"/>
                <w:szCs w:val="21"/>
              </w:rPr>
            </w:pPr>
            <w:r>
              <w:rPr>
                <w:rFonts w:hint="eastAsia" w:ascii="宋体" w:hAnsi="宋体"/>
                <w:b/>
                <w:szCs w:val="21"/>
              </w:rPr>
              <w:t>序号</w:t>
            </w:r>
          </w:p>
        </w:tc>
        <w:tc>
          <w:tcPr>
            <w:tcW w:w="7485" w:type="dxa"/>
            <w:shd w:val="clear" w:color="auto" w:fill="FFFFFF"/>
            <w:vAlign w:val="center"/>
          </w:tcPr>
          <w:p>
            <w:pPr>
              <w:jc w:val="center"/>
              <w:rPr>
                <w:rFonts w:ascii="宋体" w:hAnsi="宋体"/>
                <w:szCs w:val="21"/>
              </w:rPr>
            </w:pPr>
            <w:r>
              <w:rPr>
                <w:rFonts w:hint="eastAsia" w:ascii="宋体" w:hAnsi="宋体"/>
                <w:b/>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1" w:type="dxa"/>
            <w:shd w:val="clear" w:color="auto" w:fill="FFFFFF"/>
            <w:vAlign w:val="center"/>
          </w:tcPr>
          <w:p>
            <w:pPr>
              <w:jc w:val="center"/>
              <w:rPr>
                <w:rFonts w:ascii="宋体" w:hAnsi="宋体"/>
                <w:szCs w:val="21"/>
              </w:rPr>
            </w:pPr>
            <w:r>
              <w:rPr>
                <w:rFonts w:hint="eastAsia" w:ascii="宋体" w:hAnsi="宋体"/>
                <w:szCs w:val="21"/>
              </w:rPr>
              <w:t>1</w:t>
            </w:r>
          </w:p>
        </w:tc>
        <w:tc>
          <w:tcPr>
            <w:tcW w:w="7485" w:type="dxa"/>
            <w:shd w:val="clear" w:color="auto" w:fill="FFFFFF"/>
            <w:vAlign w:val="center"/>
          </w:tcPr>
          <w:p>
            <w:pPr>
              <w:jc w:val="left"/>
              <w:rPr>
                <w:rFonts w:ascii="宋体" w:hAnsi="宋体"/>
                <w:szCs w:val="21"/>
              </w:rPr>
            </w:pPr>
            <w:r>
              <w:rPr>
                <w:rFonts w:hint="eastAsia" w:ascii="宋体" w:hAnsi="宋体"/>
                <w:szCs w:val="21"/>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1" w:type="dxa"/>
            <w:shd w:val="clear" w:color="auto" w:fill="FFFFFF"/>
            <w:vAlign w:val="center"/>
          </w:tcPr>
          <w:p>
            <w:pPr>
              <w:jc w:val="center"/>
              <w:rPr>
                <w:rFonts w:ascii="宋体" w:hAnsi="宋体"/>
                <w:szCs w:val="21"/>
              </w:rPr>
            </w:pPr>
            <w:r>
              <w:rPr>
                <w:rFonts w:hint="eastAsia" w:ascii="宋体" w:hAnsi="宋体"/>
                <w:szCs w:val="21"/>
              </w:rPr>
              <w:t>2</w:t>
            </w:r>
          </w:p>
        </w:tc>
        <w:tc>
          <w:tcPr>
            <w:tcW w:w="7485" w:type="dxa"/>
            <w:shd w:val="clear" w:color="auto" w:fill="FFFFFF"/>
            <w:vAlign w:val="center"/>
          </w:tcPr>
          <w:p>
            <w:pPr>
              <w:jc w:val="left"/>
              <w:rPr>
                <w:rFonts w:ascii="宋体" w:hAnsi="宋体"/>
                <w:szCs w:val="21"/>
              </w:rPr>
            </w:pPr>
            <w:r>
              <w:rPr>
                <w:rFonts w:hint="eastAsia" w:ascii="宋体" w:hAnsi="宋体"/>
                <w:szCs w:val="21"/>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1" w:type="dxa"/>
            <w:shd w:val="clear" w:color="auto" w:fill="FFFFFF"/>
            <w:vAlign w:val="center"/>
          </w:tcPr>
          <w:p>
            <w:pPr>
              <w:jc w:val="center"/>
              <w:rPr>
                <w:rFonts w:ascii="宋体" w:hAnsi="宋体"/>
                <w:szCs w:val="21"/>
              </w:rPr>
            </w:pPr>
            <w:r>
              <w:rPr>
                <w:rFonts w:hint="eastAsia" w:ascii="宋体" w:hAnsi="宋体"/>
                <w:szCs w:val="21"/>
              </w:rPr>
              <w:t>3</w:t>
            </w:r>
          </w:p>
        </w:tc>
        <w:tc>
          <w:tcPr>
            <w:tcW w:w="7485" w:type="dxa"/>
            <w:shd w:val="clear" w:color="auto" w:fill="FFFFFF"/>
            <w:vAlign w:val="center"/>
          </w:tcPr>
          <w:p>
            <w:pPr>
              <w:jc w:val="left"/>
              <w:rPr>
                <w:rFonts w:ascii="宋体" w:hAnsi="宋体"/>
                <w:szCs w:val="21"/>
              </w:rPr>
            </w:pPr>
            <w:r>
              <w:rPr>
                <w:rFonts w:hint="eastAsia" w:ascii="宋体" w:hAnsi="宋体"/>
                <w:szCs w:val="21"/>
              </w:rPr>
              <w:t>报价单位没有被中国南方电网有限责任公司暂停或取消其投标资格的。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1" w:type="dxa"/>
            <w:shd w:val="clear" w:color="auto" w:fill="FFFFFF"/>
            <w:vAlign w:val="center"/>
          </w:tcPr>
          <w:p>
            <w:pPr>
              <w:jc w:val="center"/>
              <w:rPr>
                <w:rFonts w:ascii="宋体" w:hAnsi="宋体"/>
                <w:szCs w:val="21"/>
              </w:rPr>
            </w:pPr>
            <w:r>
              <w:rPr>
                <w:rFonts w:hint="eastAsia" w:ascii="宋体" w:hAnsi="宋体"/>
                <w:szCs w:val="21"/>
              </w:rPr>
              <w:t>4</w:t>
            </w:r>
          </w:p>
        </w:tc>
        <w:tc>
          <w:tcPr>
            <w:tcW w:w="7485" w:type="dxa"/>
            <w:shd w:val="clear" w:color="auto" w:fill="FFFFFF"/>
            <w:vAlign w:val="center"/>
          </w:tcPr>
          <w:p>
            <w:pPr>
              <w:jc w:val="left"/>
              <w:rPr>
                <w:rFonts w:ascii="宋体" w:hAnsi="宋体"/>
                <w:szCs w:val="21"/>
              </w:rPr>
            </w:pPr>
            <w:r>
              <w:rPr>
                <w:rFonts w:hint="eastAsia" w:ascii="宋体" w:hAnsi="宋体"/>
                <w:szCs w:val="21"/>
              </w:rPr>
              <w:t>报价单位应具备CNAS或CMA测试资质，并可出具CNAS或CMA测试报告。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1" w:type="dxa"/>
            <w:shd w:val="clear" w:color="auto" w:fill="FFFFFF"/>
            <w:vAlign w:val="center"/>
          </w:tcPr>
          <w:p>
            <w:pPr>
              <w:jc w:val="center"/>
              <w:rPr>
                <w:rFonts w:ascii="宋体" w:hAnsi="宋体"/>
                <w:szCs w:val="21"/>
              </w:rPr>
            </w:pPr>
            <w:r>
              <w:rPr>
                <w:rFonts w:hint="eastAsia" w:ascii="宋体" w:hAnsi="宋体"/>
                <w:szCs w:val="21"/>
              </w:rPr>
              <w:t>5</w:t>
            </w:r>
          </w:p>
        </w:tc>
        <w:tc>
          <w:tcPr>
            <w:tcW w:w="7485" w:type="dxa"/>
            <w:shd w:val="clear" w:color="auto" w:fill="FFFFFF"/>
            <w:vAlign w:val="center"/>
          </w:tcPr>
          <w:p>
            <w:pPr>
              <w:jc w:val="left"/>
              <w:rPr>
                <w:rFonts w:ascii="宋体" w:hAnsi="宋体"/>
                <w:szCs w:val="21"/>
              </w:rPr>
            </w:pPr>
            <w:r>
              <w:rPr>
                <w:rFonts w:hint="eastAsia" w:ascii="宋体" w:hAnsi="宋体"/>
                <w:szCs w:val="21"/>
              </w:rPr>
              <w:t>报价单位测试人员至少一人具备信息安全保障人员认证证书。</w:t>
            </w:r>
          </w:p>
        </w:tc>
      </w:tr>
    </w:tbl>
    <w:p>
      <w:pPr>
        <w:rPr>
          <w:rFonts w:ascii="宋体" w:hAnsi="宋体"/>
          <w:szCs w:val="21"/>
        </w:rPr>
      </w:pPr>
    </w:p>
    <w:p>
      <w:pPr>
        <w:pStyle w:val="8"/>
        <w:numPr>
          <w:ilvl w:val="0"/>
          <w:numId w:val="1"/>
        </w:numPr>
        <w:ind w:left="0" w:firstLine="422"/>
        <w:outlineLvl w:val="0"/>
        <w:rPr>
          <w:rFonts w:ascii="宋体" w:hAnsi="宋体" w:cs="宋体"/>
          <w:b/>
          <w:szCs w:val="21"/>
        </w:rPr>
      </w:pPr>
      <w:r>
        <w:rPr>
          <w:rFonts w:hint="eastAsia" w:ascii="宋体" w:hAnsi="宋体" w:cs="宋体"/>
          <w:b/>
          <w:szCs w:val="21"/>
        </w:rPr>
        <w:t>成交办法</w:t>
      </w:r>
    </w:p>
    <w:p>
      <w:pPr>
        <w:ind w:firstLine="420" w:firstLineChars="200"/>
        <w:rPr>
          <w:rFonts w:ascii="宋体" w:hAnsi="宋体"/>
          <w:szCs w:val="21"/>
        </w:rPr>
      </w:pPr>
      <w:r>
        <w:rPr>
          <w:rFonts w:hint="eastAsia" w:ascii="宋体" w:hAnsi="宋体"/>
          <w:szCs w:val="21"/>
        </w:rPr>
        <w:t>根据满足资格条件的各家单位有效报价，选择报价最低者为成交对象。</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tentative="0">
      <w:start w:val="1"/>
      <w:numFmt w:val="japaneseCounting"/>
      <w:lvlText w:val="%1、"/>
      <w:lvlJc w:val="left"/>
      <w:pPr>
        <w:ind w:left="1350" w:hanging="720"/>
      </w:pPr>
      <w:rPr>
        <w:rFonts w:hint="default"/>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DF8"/>
    <w:rsid w:val="000D3DF8"/>
    <w:rsid w:val="00A256A7"/>
    <w:rsid w:val="00B07453"/>
    <w:rsid w:val="00C67478"/>
    <w:rsid w:val="00DC120A"/>
    <w:rsid w:val="00DC17B4"/>
    <w:rsid w:val="00E817A0"/>
    <w:rsid w:val="040E6DCD"/>
    <w:rsid w:val="11337808"/>
    <w:rsid w:val="4EE32AF5"/>
    <w:rsid w:val="605B00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宋体"/>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Body Text"/>
    <w:basedOn w:val="3"/>
    <w:next w:val="3"/>
    <w:qFormat/>
    <w:uiPriority w:val="0"/>
    <w:pPr>
      <w:spacing w:after="120"/>
      <w:jc w:val="both"/>
    </w:p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 w:type="paragraph" w:styleId="4">
    <w:name w:val="footer"/>
    <w:basedOn w:val="1"/>
    <w:link w:val="10"/>
    <w:uiPriority w:val="0"/>
    <w:pPr>
      <w:tabs>
        <w:tab w:val="center" w:pos="4153"/>
        <w:tab w:val="right" w:pos="8306"/>
      </w:tabs>
      <w:snapToGrid w:val="0"/>
      <w:jc w:val="left"/>
    </w:pPr>
    <w:rPr>
      <w:sz w:val="18"/>
      <w:szCs w:val="18"/>
    </w:rPr>
  </w:style>
  <w:style w:type="paragraph" w:styleId="5">
    <w:name w:val="header"/>
    <w:basedOn w:val="1"/>
    <w:link w:val="9"/>
    <w:uiPriority w:val="0"/>
    <w:pPr>
      <w:pBdr>
        <w:bottom w:val="single" w:color="auto" w:sz="6" w:space="1"/>
      </w:pBdr>
      <w:tabs>
        <w:tab w:val="center" w:pos="4153"/>
        <w:tab w:val="right" w:pos="8306"/>
      </w:tabs>
      <w:snapToGrid w:val="0"/>
      <w:jc w:val="center"/>
    </w:pPr>
    <w:rPr>
      <w:sz w:val="18"/>
      <w:szCs w:val="18"/>
    </w:rPr>
  </w:style>
  <w:style w:type="paragraph" w:styleId="8">
    <w:name w:val="List Paragraph"/>
    <w:basedOn w:val="1"/>
    <w:qFormat/>
    <w:uiPriority w:val="34"/>
    <w:pPr>
      <w:ind w:firstLine="420" w:firstLineChars="200"/>
    </w:pPr>
    <w:rPr>
      <w:rFonts w:cs="Times New Roman"/>
      <w:szCs w:val="22"/>
    </w:rPr>
  </w:style>
  <w:style w:type="character" w:customStyle="1" w:styleId="9">
    <w:name w:val="页眉 字符"/>
    <w:basedOn w:val="7"/>
    <w:link w:val="5"/>
    <w:uiPriority w:val="0"/>
    <w:rPr>
      <w:kern w:val="2"/>
      <w:sz w:val="18"/>
      <w:szCs w:val="18"/>
    </w:rPr>
  </w:style>
  <w:style w:type="character" w:customStyle="1" w:styleId="10">
    <w:name w:val="页脚 字符"/>
    <w:basedOn w:val="7"/>
    <w:link w:val="4"/>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817</Words>
  <Characters>72</Characters>
  <Lines>1</Lines>
  <Paragraphs>1</Paragraphs>
  <TotalTime>2</TotalTime>
  <ScaleCrop>false</ScaleCrop>
  <LinksUpToDate>false</LinksUpToDate>
  <CharactersWithSpaces>888</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2024-08-01T09:52:00Z</dcterms:created>
  <dc:creator>1874CADA94C14101A43B01172E1B4D7C</dc:creator>
  <cp:lastModifiedBy>曹望璋</cp:lastModifiedBy>
  <dcterms:modified xsi:type="dcterms:W3CDTF">2024-08-06T08:35:35Z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89E61C12BE1F4D25A4BA4F7464B97916</vt:lpwstr>
  </property>
</Properties>
</file>