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378" w:tblpY="3584"/>
        <w:tblOverlap w:val="never"/>
        <w:tblW w:w="5283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301"/>
        <w:gridCol w:w="1787"/>
        <w:gridCol w:w="3369"/>
        <w:gridCol w:w="764"/>
        <w:gridCol w:w="10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贵港区域仓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视频监控维护项目</w:t>
            </w: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维护硬盘录像机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维护电视机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维护显示器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维护监控摄像机电源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维护汇聚交换机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维护防区交换机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维护视频监控网络线缆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1280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米/月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2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维护视频监控电源线缆</w:t>
            </w:r>
          </w:p>
        </w:tc>
        <w:tc>
          <w:tcPr>
            <w:tcW w:w="1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按视频监控维护技术要求执行</w:t>
            </w:r>
          </w:p>
        </w:tc>
        <w:tc>
          <w:tcPr>
            <w:tcW w:w="4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米/月</w:t>
            </w:r>
          </w:p>
        </w:tc>
      </w:tr>
    </w:tbl>
    <w:p>
      <w:pPr>
        <w:jc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贵港区域仓视频监控设备维保技术要求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服务内容</w:t>
      </w:r>
      <w:bookmarkStart w:id="0" w:name="_GoBack"/>
      <w:bookmarkEnd w:id="0"/>
    </w:p>
    <w:p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具保维保检修内容</w:t>
      </w:r>
    </w:p>
    <w:p>
      <w:pPr>
        <w:widowControl w:val="0"/>
        <w:numPr>
          <w:ilvl w:val="0"/>
          <w:numId w:val="2"/>
        </w:numPr>
        <w:ind w:leftChars="0" w:firstLine="280" w:firstLineChars="1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为保证监控设备的正常工作运行，每月定期对监控安防系统进行一次全面巡查，通过对监控画面的显示情况统计前端摄像机设备的运行状况。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检查前端摄像头是否符合监控要求，对于不符合要求的及时调整好焦距、角度、方向等，保证前端安装牢固。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检查前端摄像头电源的供电情况，连接接头是否正常。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检查并保持所有视频画面显示的图像名称、所示地点等编号一致，检查系统时间正确无误。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检查监控中心设备及机柜风扇运转情况，设备散热是否良好，发现过热情况要及时清理除尘，以避免因散热不良造成的设备损坏。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检查视频操作系统是否使用正常，摄像头IP等网络数据是否正常。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检查监控网络、电源线缆连接是否正常。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检查汇聚交换机和防区交换机的水晶头、光纤跳线有无松动。</w:t>
      </w:r>
    </w:p>
    <w:p>
      <w:pPr>
        <w:widowControl w:val="0"/>
        <w:numPr>
          <w:ilvl w:val="0"/>
          <w:numId w:val="3"/>
        </w:numPr>
        <w:ind w:leftChars="10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检查监控视频电视机、显示器的显示画面是否清晰，连接接口是否有松动。</w:t>
      </w:r>
    </w:p>
    <w:p>
      <w:pPr>
        <w:widowControl/>
        <w:spacing w:line="580" w:lineRule="exact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三、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技术支持</w:t>
      </w:r>
    </w:p>
    <w:p>
      <w:pPr>
        <w:widowControl/>
        <w:spacing w:line="580" w:lineRule="exact"/>
        <w:ind w:firstLine="560"/>
        <w:outlineLvl w:val="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1.维保单位为委托单位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提供5*8小时的技术支持服务，以现场技术支持为主，通过电话技术指导为辅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widowControl/>
        <w:spacing w:line="580" w:lineRule="exact"/>
        <w:ind w:firstLine="560"/>
        <w:outlineLvl w:val="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故障处理及维修服务</w:t>
      </w:r>
    </w:p>
    <w:p>
      <w:pPr>
        <w:ind w:firstLine="560"/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（1）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每月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定期巡检服务、现场设备故障诊断和消缺服务、备品备件的更换服务、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仓库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视频本体网络安全加固和整改服务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以及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设备故障响应、排查及维修服务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）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到委托单位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通知（电话、短信、电子邮件等）或通过日常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围栏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及巡检发现的系统或设备故障，由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进行排查分析，定位故障原因，研判故障的责任主体，如为产品质量问题，对于处于质保期内的，协调质保单位进行处理；超过质保期的，由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提供设备维修服务，维修费用由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据实结算。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在维修及维护工作中，若遇到特殊情况（如线路损坏、缺少备件等），无法立即修复的情况，首先提出维修方案并采取有效措施(如使用同类型备件暂时替换使用)尽量使故障减少到最小，以保证系统在最大限度内正常工作。</w:t>
      </w:r>
    </w:p>
    <w:p>
      <w:pPr>
        <w:ind w:firstLine="560"/>
        <w:rPr>
          <w:rFonts w:ascii="宋体" w:hAnsi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故障响应和恢复时间如下：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02"/>
        <w:gridCol w:w="1276"/>
        <w:gridCol w:w="1559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名称</w:t>
            </w:r>
          </w:p>
        </w:tc>
        <w:tc>
          <w:tcPr>
            <w:tcW w:w="3402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故障级别</w:t>
            </w:r>
          </w:p>
        </w:tc>
        <w:tc>
          <w:tcPr>
            <w:tcW w:w="4252" w:type="dxa"/>
            <w:gridSpan w:val="3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服务标准（小时）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  <w:jc w:val="center"/>
        </w:trPr>
        <w:tc>
          <w:tcPr>
            <w:tcW w:w="993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3402" w:type="dxa"/>
            <w:vMerge w:val="continue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</w:p>
        </w:tc>
        <w:tc>
          <w:tcPr>
            <w:tcW w:w="1276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响应时间</w:t>
            </w:r>
          </w:p>
        </w:tc>
        <w:tc>
          <w:tcPr>
            <w:tcW w:w="1559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到场时间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ind w:firstLine="0" w:firstLineChars="0"/>
              <w:jc w:val="center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恢复时间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restart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运维服务</w:t>
            </w: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重大故障：属于重特大问题，具体现象为系统</w:t>
            </w:r>
            <w:r>
              <w:rPr>
                <w:rFonts w:ascii="宋体" w:hAnsi="宋体"/>
                <w:color w:val="auto"/>
                <w:szCs w:val="21"/>
              </w:rPr>
              <w:t>全面</w:t>
            </w:r>
            <w:r>
              <w:rPr>
                <w:rFonts w:hint="eastAsia" w:ascii="宋体" w:hAnsi="宋体"/>
                <w:color w:val="auto"/>
                <w:szCs w:val="21"/>
              </w:rPr>
              <w:t>瘫痪。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6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中级故障：</w:t>
            </w:r>
            <w:r>
              <w:rPr>
                <w:rFonts w:ascii="宋体" w:hAnsi="宋体"/>
                <w:color w:val="auto"/>
                <w:szCs w:val="21"/>
              </w:rPr>
              <w:t>属于严重问题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具体现象为部分设备、发生故障或小面积瘫痪但不影响系统整体运行。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12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93" w:type="dxa"/>
            <w:vMerge w:val="continue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</w:p>
        </w:tc>
        <w:tc>
          <w:tcPr>
            <w:tcW w:w="3402" w:type="dxa"/>
            <w:noWrap w:val="0"/>
            <w:vAlign w:val="center"/>
          </w:tcPr>
          <w:p>
            <w:pPr>
              <w:ind w:firstLine="0" w:firstLineChars="0"/>
              <w:jc w:val="lef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一般故障：</w:t>
            </w:r>
            <w:r>
              <w:rPr>
                <w:rFonts w:ascii="宋体" w:hAnsi="宋体"/>
                <w:color w:val="auto"/>
                <w:szCs w:val="21"/>
              </w:rPr>
              <w:t>属于普通问题</w:t>
            </w:r>
            <w:r>
              <w:rPr>
                <w:rFonts w:hint="eastAsia" w:ascii="宋体" w:hAnsi="宋体"/>
                <w:color w:val="auto"/>
                <w:szCs w:val="21"/>
              </w:rPr>
              <w:t>，</w:t>
            </w:r>
            <w:r>
              <w:rPr>
                <w:rFonts w:ascii="宋体" w:hAnsi="宋体"/>
                <w:color w:val="auto"/>
                <w:szCs w:val="21"/>
              </w:rPr>
              <w:t>具体现象为小部分设备、故障或出现报错、告警或故障。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ascii="宋体" w:hAnsi="宋体"/>
                <w:color w:val="auto"/>
                <w:szCs w:val="21"/>
              </w:rPr>
              <w:t>4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市内≤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24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市外≤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36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≤</w:t>
            </w:r>
            <w:r>
              <w:rPr>
                <w:rFonts w:hint="eastAsia" w:ascii="宋体" w:hAnsi="宋体"/>
                <w:color w:val="auto"/>
                <w:szCs w:val="21"/>
                <w:lang w:val="en-US" w:eastAsia="zh-CN"/>
              </w:rPr>
              <w:t>72</w:t>
            </w:r>
          </w:p>
        </w:tc>
      </w:tr>
    </w:tbl>
    <w:p>
      <w:pPr>
        <w:widowControl/>
        <w:spacing w:line="580" w:lineRule="exact"/>
        <w:ind w:firstLine="560"/>
        <w:outlineLvl w:val="0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</w:rPr>
        <w:t>对于较大的故障维修项目，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应提出详细的维修方案并报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书面同意后实施。在维修（更换零部件）工作完成后，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eastAsia="zh-CN"/>
        </w:rPr>
        <w:t>维保单位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维修人员应向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委托单位</w:t>
      </w:r>
      <w:r>
        <w:rPr>
          <w:rFonts w:hint="eastAsia" w:ascii="宋体" w:hAnsi="宋体" w:cs="宋体"/>
          <w:color w:val="auto"/>
          <w:kern w:val="0"/>
          <w:sz w:val="28"/>
          <w:szCs w:val="28"/>
        </w:rPr>
        <w:t>提供书面报告，并由双方签字确认故障已被修复。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五、</w:t>
      </w:r>
      <w:r>
        <w:rPr>
          <w:rFonts w:hint="eastAsia" w:asciiTheme="minorEastAsia" w:hAnsiTheme="minorEastAsia"/>
          <w:sz w:val="28"/>
          <w:szCs w:val="28"/>
        </w:rPr>
        <w:t>注意事项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1、</w:t>
      </w:r>
      <w:r>
        <w:rPr>
          <w:rFonts w:hint="eastAsia" w:asciiTheme="minorEastAsia" w:hAnsiTheme="minorEastAsia"/>
          <w:sz w:val="28"/>
          <w:szCs w:val="28"/>
          <w:lang w:eastAsia="zh-CN"/>
        </w:rPr>
        <w:t>在</w:t>
      </w:r>
      <w:r>
        <w:rPr>
          <w:rFonts w:hint="eastAsia" w:asciiTheme="minorEastAsia" w:hAnsiTheme="minorEastAsia"/>
          <w:sz w:val="28"/>
          <w:szCs w:val="28"/>
        </w:rPr>
        <w:t>维保</w:t>
      </w:r>
      <w:r>
        <w:rPr>
          <w:rFonts w:hint="eastAsia" w:asciiTheme="minorEastAsia" w:hAnsiTheme="minorEastAsia"/>
          <w:sz w:val="28"/>
          <w:szCs w:val="28"/>
          <w:lang w:eastAsia="zh-CN"/>
        </w:rPr>
        <w:t>过程中</w:t>
      </w:r>
      <w:r>
        <w:rPr>
          <w:rFonts w:hint="eastAsia" w:asciiTheme="minorEastAsia" w:hAnsiTheme="minorEastAsia"/>
          <w:sz w:val="28"/>
          <w:szCs w:val="28"/>
        </w:rPr>
        <w:t>，</w:t>
      </w:r>
      <w:r>
        <w:rPr>
          <w:rFonts w:hint="eastAsia" w:asciiTheme="minorEastAsia" w:hAnsiTheme="minorEastAsia"/>
          <w:sz w:val="28"/>
          <w:szCs w:val="28"/>
          <w:lang w:eastAsia="zh-CN"/>
        </w:rPr>
        <w:t>应</w:t>
      </w:r>
      <w:r>
        <w:rPr>
          <w:rFonts w:hint="eastAsia" w:asciiTheme="minorEastAsia" w:hAnsiTheme="minorEastAsia"/>
          <w:sz w:val="28"/>
          <w:szCs w:val="28"/>
        </w:rPr>
        <w:t>严格按操作规程进行检查维护，尽量防止事故的发生，确保人员安全。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 xml:space="preserve">  2、在维护过程中保持施工环境的</w:t>
      </w:r>
      <w:r>
        <w:rPr>
          <w:rFonts w:hint="eastAsia" w:asciiTheme="minorEastAsia" w:hAnsiTheme="minorEastAsia"/>
          <w:sz w:val="28"/>
          <w:szCs w:val="28"/>
          <w:lang w:eastAsia="zh-CN"/>
        </w:rPr>
        <w:t>规范</w:t>
      </w:r>
      <w:r>
        <w:rPr>
          <w:rFonts w:hint="eastAsia" w:asciiTheme="minorEastAsia" w:hAnsiTheme="minorEastAsia"/>
          <w:sz w:val="28"/>
          <w:szCs w:val="28"/>
        </w:rPr>
        <w:t>整结、干净。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default" w:asciiTheme="minorEastAsia" w:hAnsiTheme="minor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63F7F"/>
    <w:multiLevelType w:val="singleLevel"/>
    <w:tmpl w:val="07463F7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81DA224"/>
    <w:multiLevelType w:val="singleLevel"/>
    <w:tmpl w:val="081DA22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52A98E9"/>
    <w:multiLevelType w:val="singleLevel"/>
    <w:tmpl w:val="252A98E9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zN2JhOTlmNTMyYWFjY2QyNDBhMjc5YzA3Y2Q3MDIifQ=="/>
  </w:docVars>
  <w:rsids>
    <w:rsidRoot w:val="19824493"/>
    <w:rsid w:val="015E1968"/>
    <w:rsid w:val="10241028"/>
    <w:rsid w:val="19824493"/>
    <w:rsid w:val="2BC05859"/>
    <w:rsid w:val="516A5F80"/>
    <w:rsid w:val="53BC2F5B"/>
    <w:rsid w:val="68D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2023-09-21T08:50:00Z</dcterms:created>
  <dc:creator>Administrator</dc:creator>
  <cp:lastModifiedBy>李育林</cp:lastModifiedBy>
  <dcterms:modified xsi:type="dcterms:W3CDTF">2024-07-29T07:17:32Z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3739B06B60AC45D5BE1802F6E39B5A43_11</vt:lpwstr>
  </property>
</Properties>
</file>