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ascii="隶书" w:eastAsia="隶书"/>
          <w:sz w:val="56"/>
          <w:szCs w:val="56"/>
          <w:highlight w:val="none"/>
        </w:rPr>
      </w:pPr>
    </w:p>
    <w:p>
      <w:pPr>
        <w:pStyle w:val="17"/>
        <w:rPr>
          <w:rFonts w:hint="eastAsia" w:ascii="黑体" w:hAnsi="黑体" w:eastAsia="黑体" w:cs="黑体"/>
          <w:sz w:val="48"/>
          <w:szCs w:val="48"/>
          <w:highlight w:val="none"/>
          <w:lang w:val="en-US" w:eastAsia="zh-CN"/>
        </w:rPr>
      </w:pPr>
    </w:p>
    <w:p>
      <w:pPr>
        <w:pStyle w:val="17"/>
        <w:rPr>
          <w:rFonts w:hint="eastAsia" w:ascii="黑体" w:hAnsi="黑体" w:eastAsia="黑体" w:cs="黑体"/>
          <w:sz w:val="48"/>
          <w:szCs w:val="48"/>
          <w:highlight w:val="none"/>
        </w:rPr>
      </w:pPr>
      <w:r>
        <w:rPr>
          <w:rFonts w:hint="eastAsia" w:ascii="黑体" w:hAnsi="黑体" w:eastAsia="黑体" w:cs="黑体"/>
          <w:sz w:val="48"/>
          <w:szCs w:val="48"/>
          <w:highlight w:val="none"/>
        </w:rPr>
        <w:t>广州供电局2023-2024年科技类奖励</w:t>
      </w:r>
    </w:p>
    <w:p>
      <w:pPr>
        <w:pStyle w:val="17"/>
        <w:rPr>
          <w:rFonts w:ascii="黑体" w:hAnsi="黑体" w:eastAsia="黑体" w:cs="黑体"/>
          <w:sz w:val="48"/>
          <w:szCs w:val="48"/>
          <w:highlight w:val="none"/>
        </w:rPr>
      </w:pPr>
      <w:r>
        <w:rPr>
          <w:rFonts w:hint="eastAsia" w:ascii="黑体" w:hAnsi="黑体" w:eastAsia="黑体" w:cs="黑体"/>
          <w:sz w:val="48"/>
          <w:szCs w:val="48"/>
          <w:highlight w:val="none"/>
        </w:rPr>
        <w:t>证书印刷服务</w:t>
      </w:r>
    </w:p>
    <w:p>
      <w:pPr>
        <w:pStyle w:val="7"/>
        <w:jc w:val="center"/>
        <w:rPr>
          <w:rFonts w:ascii="隶书" w:eastAsia="隶书"/>
          <w:sz w:val="48"/>
          <w:szCs w:val="48"/>
          <w:highlight w:val="none"/>
        </w:rPr>
      </w:pPr>
    </w:p>
    <w:p>
      <w:pPr>
        <w:pStyle w:val="7"/>
        <w:jc w:val="center"/>
        <w:rPr>
          <w:rFonts w:ascii="隶书" w:eastAsia="隶书"/>
          <w:sz w:val="48"/>
          <w:szCs w:val="48"/>
          <w:highlight w:val="none"/>
        </w:rPr>
      </w:pPr>
    </w:p>
    <w:p>
      <w:pPr>
        <w:pStyle w:val="7"/>
        <w:jc w:val="center"/>
        <w:rPr>
          <w:rFonts w:ascii="隶书" w:eastAsia="隶书"/>
          <w:sz w:val="48"/>
          <w:szCs w:val="48"/>
          <w:highlight w:val="none"/>
        </w:rPr>
      </w:pPr>
    </w:p>
    <w:p>
      <w:pPr>
        <w:pStyle w:val="7"/>
        <w:jc w:val="center"/>
        <w:rPr>
          <w:rFonts w:ascii="黑体" w:hAnsi="黑体" w:eastAsia="黑体" w:cs="黑体"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sz w:val="52"/>
          <w:szCs w:val="52"/>
          <w:highlight w:val="none"/>
        </w:rPr>
        <w:t>技术规范书</w:t>
      </w:r>
    </w:p>
    <w:p>
      <w:pPr>
        <w:spacing w:before="156" w:beforeLines="50"/>
        <w:rPr>
          <w:rFonts w:ascii="楷体_GB2312" w:hAnsi="宋体" w:eastAsia="楷体_GB2312"/>
          <w:sz w:val="32"/>
          <w:szCs w:val="32"/>
          <w:highlight w:val="none"/>
        </w:rPr>
      </w:pPr>
    </w:p>
    <w:p>
      <w:pPr>
        <w:spacing w:before="156" w:beforeLines="50"/>
        <w:jc w:val="center"/>
        <w:rPr>
          <w:rFonts w:ascii="楷体_GB2312" w:hAnsi="宋体" w:eastAsia="楷体_GB2312"/>
          <w:sz w:val="32"/>
          <w:szCs w:val="32"/>
          <w:highlight w:val="none"/>
        </w:rPr>
      </w:pPr>
    </w:p>
    <w:p>
      <w:pPr>
        <w:spacing w:before="156" w:beforeLines="50"/>
        <w:rPr>
          <w:rFonts w:ascii="楷体_GB2312" w:hAnsi="宋体" w:eastAsia="楷体_GB2312"/>
          <w:sz w:val="32"/>
          <w:szCs w:val="32"/>
          <w:highlight w:val="none"/>
        </w:rPr>
      </w:pPr>
    </w:p>
    <w:p>
      <w:pPr>
        <w:pStyle w:val="18"/>
        <w:rPr>
          <w:rStyle w:val="20"/>
          <w:rFonts w:ascii="黑体" w:hAnsi="黑体" w:eastAsia="黑体" w:cs="黑体"/>
          <w:highlight w:val="none"/>
        </w:rPr>
      </w:pPr>
    </w:p>
    <w:p>
      <w:pPr>
        <w:pStyle w:val="18"/>
        <w:rPr>
          <w:rStyle w:val="20"/>
          <w:rFonts w:ascii="黑体" w:hAnsi="黑体" w:eastAsia="黑体" w:cs="黑体"/>
          <w:highlight w:val="none"/>
        </w:rPr>
      </w:pPr>
    </w:p>
    <w:p>
      <w:pPr>
        <w:pStyle w:val="18"/>
        <w:rPr>
          <w:rFonts w:ascii="黑体" w:hAnsi="黑体" w:eastAsia="黑体" w:cs="黑体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20"/>
          <w:rFonts w:hint="eastAsia" w:ascii="黑体" w:hAnsi="黑体" w:eastAsia="黑体" w:cs="黑体"/>
          <w:highlight w:val="none"/>
          <w:lang w:val="en-US" w:eastAsia="zh-CN"/>
        </w:rPr>
        <w:t>2024</w:t>
      </w:r>
      <w:r>
        <w:rPr>
          <w:rStyle w:val="20"/>
          <w:rFonts w:hint="eastAsia" w:ascii="黑体" w:hAnsi="黑体" w:eastAsia="黑体" w:cs="黑体"/>
          <w:highlight w:val="none"/>
        </w:rPr>
        <w:t>年</w:t>
      </w:r>
      <w:r>
        <w:rPr>
          <w:rStyle w:val="20"/>
          <w:rFonts w:hint="eastAsia" w:ascii="黑体" w:hAnsi="黑体" w:eastAsia="黑体" w:cs="黑体"/>
          <w:highlight w:val="none"/>
          <w:lang w:val="en-US" w:eastAsia="zh-CN"/>
        </w:rPr>
        <w:t>7</w:t>
      </w:r>
      <w:r>
        <w:rPr>
          <w:rStyle w:val="20"/>
          <w:rFonts w:hint="eastAsia" w:ascii="黑体" w:hAnsi="黑体" w:eastAsia="黑体" w:cs="黑体"/>
          <w:highlight w:val="none"/>
        </w:rPr>
        <w:t>月</w:t>
      </w:r>
    </w:p>
    <w:p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  <w:highlight w:val="none"/>
        </w:rPr>
      </w:pPr>
      <w:bookmarkStart w:id="0" w:name="_Toc26266"/>
      <w:bookmarkStart w:id="1" w:name="_Toc29868"/>
      <w:bookmarkStart w:id="2" w:name="_Toc6059"/>
    </w:p>
    <w:p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44"/>
          <w:szCs w:val="36"/>
          <w:highlight w:val="none"/>
        </w:rPr>
        <w:t>目录</w:t>
      </w:r>
      <w:bookmarkEnd w:id="0"/>
      <w:bookmarkEnd w:id="1"/>
      <w:bookmarkEnd w:id="2"/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b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b/>
          <w:sz w:val="24"/>
          <w:highlight w:val="none"/>
        </w:rPr>
        <w:instrText xml:space="preserve">TOC \o "1-2" \h \u </w:instrText>
      </w:r>
      <w:r>
        <w:rPr>
          <w:rFonts w:hint="eastAsia" w:ascii="黑体" w:hAnsi="黑体" w:eastAsia="黑体" w:cs="黑体"/>
          <w:b/>
          <w:sz w:val="24"/>
          <w:highlight w:val="none"/>
        </w:rPr>
        <w:fldChar w:fldCharType="separate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"_Toc16459"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 xml:space="preserve">1  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sz w:val="24"/>
          <w:highlight w:val="none"/>
        </w:rPr>
        <w:t>概况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_Toc16459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"_Toc7671"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kern w:val="0"/>
          <w:sz w:val="24"/>
          <w:highlight w:val="none"/>
        </w:rPr>
        <w:t xml:space="preserve">2  </w:t>
      </w:r>
      <w:r>
        <w:rPr>
          <w:rFonts w:hint="eastAsia" w:ascii="黑体" w:hAnsi="黑体" w:eastAsia="黑体" w:cs="黑体"/>
          <w:sz w:val="24"/>
          <w:highlight w:val="none"/>
        </w:rPr>
        <w:t>项目要求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_Toc7671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"_Toc16082"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  技术服务的要求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"_Toc21612"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  时间进度要求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_Toc21612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"_Toc8651"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5  交付与验收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_Toc8651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pStyle w:val="10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"_Toc859"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6  投标技术文件要求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_Toc859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spacing w:line="560" w:lineRule="exact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>
      <w:pPr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</w:rPr>
        <w:br w:type="page"/>
      </w:r>
    </w:p>
    <w:p>
      <w:pPr>
        <w:pStyle w:val="2"/>
        <w:rPr>
          <w:highlight w:val="none"/>
        </w:rPr>
      </w:pPr>
    </w:p>
    <w:p>
      <w:pPr>
        <w:spacing w:line="480" w:lineRule="auto"/>
        <w:jc w:val="center"/>
        <w:outlineLvl w:val="0"/>
        <w:rPr>
          <w:rFonts w:ascii="宋体" w:hAnsi="宋体"/>
          <w:b/>
          <w:sz w:val="32"/>
          <w:highlight w:val="none"/>
        </w:rPr>
      </w:pPr>
      <w:bookmarkStart w:id="3" w:name="_Toc266713645"/>
      <w:bookmarkStart w:id="4" w:name="_Toc32342"/>
      <w:bookmarkStart w:id="5" w:name="_Toc19589"/>
      <w:bookmarkStart w:id="6" w:name="_Toc9243"/>
      <w:r>
        <w:rPr>
          <w:rFonts w:hint="eastAsia" w:ascii="宋体" w:hAnsi="宋体"/>
          <w:b/>
          <w:sz w:val="32"/>
          <w:highlight w:val="none"/>
        </w:rPr>
        <w:t>总 则</w:t>
      </w:r>
      <w:bookmarkEnd w:id="3"/>
      <w:bookmarkEnd w:id="4"/>
      <w:bookmarkEnd w:id="5"/>
      <w:bookmarkEnd w:id="6"/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本文件为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该采购项目的</w:t>
      </w:r>
      <w:r>
        <w:rPr>
          <w:rFonts w:hint="eastAsia" w:ascii="宋体" w:hAnsi="宋体"/>
          <w:bCs/>
          <w:sz w:val="24"/>
          <w:highlight w:val="none"/>
        </w:rPr>
        <w:t>技术招标文件。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本文件所描述的各</w:t>
      </w:r>
      <w:r>
        <w:rPr>
          <w:rFonts w:hint="eastAsia" w:hAnsi="宋体"/>
          <w:bCs/>
          <w:sz w:val="24"/>
          <w:highlight w:val="none"/>
        </w:rPr>
        <w:t>项技术要求</w:t>
      </w:r>
      <w:r>
        <w:rPr>
          <w:rFonts w:hint="eastAsia" w:ascii="宋体" w:hAnsi="宋体"/>
          <w:bCs/>
          <w:sz w:val="24"/>
          <w:highlight w:val="none"/>
        </w:rPr>
        <w:t>仅供投标方编制投标文件之用。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本标书仅描述基本的技术需求，并未对一切技术细节做出规定，也未充分引述有关标准和技术条文，投标方应根据需求目标提供进一步具体的可满足要求的</w:t>
      </w:r>
      <w:r>
        <w:rPr>
          <w:rFonts w:hint="eastAsia" w:hAnsi="宋体"/>
          <w:bCs/>
          <w:sz w:val="24"/>
          <w:highlight w:val="none"/>
        </w:rPr>
        <w:t>技术</w:t>
      </w:r>
      <w:r>
        <w:rPr>
          <w:rFonts w:hint="eastAsia" w:ascii="宋体" w:hAnsi="宋体"/>
          <w:bCs/>
          <w:sz w:val="24"/>
          <w:highlight w:val="none"/>
        </w:rPr>
        <w:t>指标。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投标技术文件要求文字精练、数据准确、表述及图示清晰明确，具有针对性。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投标方在投标技术文件中应对本标书逐项予以说明和答复,应如实反映投标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与本技术规范书的技术差异。如果投标方没有提出技术差异，而在执行合同的过程中，招标方发现投标方提供的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与其投标技术文件的条文存在差异，招标方</w:t>
      </w:r>
      <w:r>
        <w:rPr>
          <w:rFonts w:hint="eastAsia" w:hAnsi="宋体"/>
          <w:bCs/>
          <w:sz w:val="24"/>
          <w:szCs w:val="22"/>
          <w:highlight w:val="none"/>
        </w:rPr>
        <w:t>将</w:t>
      </w:r>
      <w:r>
        <w:rPr>
          <w:rFonts w:hint="eastAsia" w:ascii="宋体" w:hAnsi="宋体"/>
          <w:bCs/>
          <w:sz w:val="24"/>
          <w:szCs w:val="22"/>
          <w:highlight w:val="none"/>
        </w:rPr>
        <w:t>追究投标方违约责任</w:t>
      </w:r>
      <w:r>
        <w:rPr>
          <w:rFonts w:hint="eastAsia" w:ascii="宋体" w:hAnsi="宋体"/>
          <w:bCs/>
          <w:sz w:val="24"/>
          <w:highlight w:val="none"/>
        </w:rPr>
        <w:t>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投标方应在投标技术部分按本技术规范书的要求</w:t>
      </w:r>
      <w:r>
        <w:rPr>
          <w:rFonts w:hint="eastAsia" w:hAnsi="宋体"/>
          <w:bCs/>
          <w:sz w:val="24"/>
          <w:szCs w:val="22"/>
          <w:highlight w:val="none"/>
        </w:rPr>
        <w:t>内容</w:t>
      </w:r>
      <w:r>
        <w:rPr>
          <w:rFonts w:hint="eastAsia" w:ascii="宋体" w:hAnsi="宋体"/>
          <w:bCs/>
          <w:sz w:val="24"/>
          <w:szCs w:val="22"/>
          <w:highlight w:val="none"/>
        </w:rPr>
        <w:t>如实详细填写投标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的</w:t>
      </w:r>
      <w:r>
        <w:rPr>
          <w:rFonts w:hint="eastAsia" w:hAnsi="宋体"/>
          <w:bCs/>
          <w:sz w:val="24"/>
          <w:szCs w:val="22"/>
          <w:highlight w:val="none"/>
        </w:rPr>
        <w:t>范围及明细</w:t>
      </w:r>
      <w:r>
        <w:rPr>
          <w:rFonts w:hint="eastAsia" w:ascii="宋体" w:hAnsi="宋体"/>
          <w:bCs/>
          <w:sz w:val="24"/>
          <w:szCs w:val="22"/>
          <w:highlight w:val="none"/>
        </w:rPr>
        <w:t>，并在投标商务部分</w:t>
      </w:r>
      <w:r>
        <w:rPr>
          <w:rFonts w:hint="eastAsia" w:hAnsi="宋体"/>
          <w:bCs/>
          <w:sz w:val="24"/>
          <w:szCs w:val="22"/>
          <w:highlight w:val="none"/>
        </w:rPr>
        <w:t>（或报价部分）</w:t>
      </w:r>
      <w:r>
        <w:rPr>
          <w:rFonts w:hint="eastAsia" w:ascii="宋体" w:hAnsi="宋体"/>
          <w:bCs/>
          <w:sz w:val="24"/>
          <w:szCs w:val="22"/>
          <w:highlight w:val="none"/>
        </w:rPr>
        <w:t>按</w:t>
      </w:r>
      <w:r>
        <w:rPr>
          <w:rFonts w:hint="eastAsia" w:hAnsi="宋体"/>
          <w:bCs/>
          <w:sz w:val="24"/>
          <w:szCs w:val="22"/>
          <w:highlight w:val="none"/>
        </w:rPr>
        <w:t>此范围及明细</w:t>
      </w:r>
      <w:r>
        <w:rPr>
          <w:rFonts w:hint="eastAsia" w:ascii="宋体" w:hAnsi="宋体"/>
          <w:bCs/>
          <w:sz w:val="24"/>
          <w:szCs w:val="22"/>
          <w:highlight w:val="none"/>
        </w:rPr>
        <w:t>进行</w:t>
      </w:r>
      <w:r>
        <w:rPr>
          <w:rFonts w:hint="eastAsia" w:hAnsi="宋体"/>
          <w:bCs/>
          <w:sz w:val="24"/>
          <w:szCs w:val="22"/>
          <w:highlight w:val="none"/>
        </w:rPr>
        <w:t>分项</w:t>
      </w:r>
      <w:r>
        <w:rPr>
          <w:rFonts w:hint="eastAsia" w:ascii="宋体" w:hAnsi="宋体"/>
          <w:bCs/>
          <w:sz w:val="24"/>
          <w:szCs w:val="22"/>
          <w:highlight w:val="none"/>
        </w:rPr>
        <w:t>报价，如发现</w:t>
      </w:r>
      <w:r>
        <w:rPr>
          <w:rFonts w:hint="eastAsia" w:hAnsi="宋体"/>
          <w:bCs/>
          <w:sz w:val="24"/>
          <w:szCs w:val="22"/>
          <w:highlight w:val="none"/>
        </w:rPr>
        <w:t>总报价与分项报价</w:t>
      </w:r>
      <w:r>
        <w:rPr>
          <w:rFonts w:hint="eastAsia" w:ascii="宋体" w:hAnsi="宋体"/>
          <w:bCs/>
          <w:sz w:val="24"/>
          <w:szCs w:val="22"/>
          <w:highlight w:val="none"/>
        </w:rPr>
        <w:t>有矛盾之处，将按有利于招标方的条款执行</w:t>
      </w:r>
      <w:r>
        <w:rPr>
          <w:rFonts w:hint="eastAsia" w:hAnsi="宋体"/>
          <w:bCs/>
          <w:sz w:val="24"/>
          <w:szCs w:val="22"/>
          <w:highlight w:val="none"/>
        </w:rPr>
        <w:t>。</w:t>
      </w:r>
      <w:r>
        <w:rPr>
          <w:rFonts w:hint="eastAsia" w:ascii="宋体" w:hAnsi="宋体"/>
          <w:bCs/>
          <w:sz w:val="24"/>
          <w:szCs w:val="22"/>
          <w:highlight w:val="none"/>
        </w:rPr>
        <w:t xml:space="preserve"> 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投标方必须仔细阅读采购文件的全部条款，并作出明确响应。采购文件带“★”号的条款及要求，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投标</w:t>
      </w:r>
      <w:r>
        <w:rPr>
          <w:rFonts w:hint="eastAsia" w:ascii="宋体" w:hAnsi="宋体"/>
          <w:bCs/>
          <w:sz w:val="24"/>
          <w:highlight w:val="none"/>
        </w:rPr>
        <w:t>方必须满足，若有一项不满足将否决投标。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szCs w:val="22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本技术规范书未尽事宜，由双方协商确定。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本标书的最终解释权归招标方。</w:t>
      </w:r>
    </w:p>
    <w:p>
      <w:pPr>
        <w:pStyle w:val="21"/>
        <w:spacing w:before="312"/>
        <w:rPr>
          <w:szCs w:val="22"/>
          <w:highlight w:val="none"/>
        </w:rPr>
      </w:pPr>
      <w:r>
        <w:rPr>
          <w:rFonts w:hint="eastAsia"/>
          <w:szCs w:val="22"/>
          <w:highlight w:val="none"/>
        </w:rPr>
        <w:br w:type="page"/>
      </w:r>
    </w:p>
    <w:p>
      <w:pPr>
        <w:pStyle w:val="21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7" w:name="_Toc16459"/>
      <w:r>
        <w:rPr>
          <w:rFonts w:hint="eastAsia" w:ascii="黑体" w:hAnsi="黑体" w:eastAsia="黑体" w:cs="黑体"/>
          <w:sz w:val="28"/>
          <w:szCs w:val="28"/>
          <w:highlight w:val="none"/>
        </w:rPr>
        <w:t xml:space="preserve">1  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sz w:val="28"/>
          <w:szCs w:val="28"/>
          <w:highlight w:val="none"/>
        </w:rPr>
        <w:t>概况</w:t>
      </w:r>
      <w:bookmarkEnd w:id="7"/>
      <w:bookmarkStart w:id="8" w:name="_Toc17049"/>
      <w:bookmarkStart w:id="9" w:name="_Toc7301"/>
    </w:p>
    <w:bookmarkEnd w:id="8"/>
    <w:bookmarkEnd w:id="9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0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名称：广州供电局2023-2024年科技类奖励证书印刷服务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概况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：本项目主要为广州供电局2023-2024年科技类奖励证书提供印刷服务。</w:t>
      </w:r>
    </w:p>
    <w:p>
      <w:pPr>
        <w:spacing w:line="360" w:lineRule="auto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数量：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根据广州局2020-2022年科技奖励印刷情况，每年平均印刷约2360张，</w:t>
      </w:r>
    </w:p>
    <w:p>
      <w:pPr>
        <w:spacing w:line="360" w:lineRule="auto"/>
        <w:ind w:firstLine="720" w:firstLineChars="300"/>
        <w:rPr>
          <w:rFonts w:asciiTheme="minorEastAsia" w:hAnsiTheme="minorEastAsia" w:eastAsiaTheme="minorEastAsia" w:cstheme="minorEastAsia"/>
          <w:bCs/>
          <w:color w:val="C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2023-2024年的印刷数量，具体以下达的任务通知单为准。</w:t>
      </w:r>
      <w:r>
        <w:rPr>
          <w:rFonts w:hint="eastAsia" w:asciiTheme="minorEastAsia" w:hAnsiTheme="minorEastAsia" w:eastAsiaTheme="minorEastAsia" w:cstheme="minorEastAsia"/>
          <w:bCs/>
          <w:color w:val="C00000"/>
          <w:sz w:val="24"/>
          <w:highlight w:val="none"/>
        </w:rPr>
        <w:t xml:space="preserve"> </w:t>
      </w:r>
    </w:p>
    <w:p>
      <w:pPr>
        <w:spacing w:line="360" w:lineRule="auto"/>
        <w:ind w:left="720" w:hanging="720" w:hangingChars="30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工期：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业主通过下达任务通知单进行相关的材料印刷，下达任务通知单后20日内，供应商应将印刷完成的物品送到广州市区内指定地点。</w:t>
      </w:r>
    </w:p>
    <w:p>
      <w:pPr>
        <w:pStyle w:val="21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10" w:name="_Toc7671"/>
      <w:r>
        <w:rPr>
          <w:rFonts w:hint="eastAsia" w:ascii="黑体" w:hAnsi="黑体" w:eastAsia="黑体" w:cs="黑体"/>
          <w:sz w:val="28"/>
          <w:szCs w:val="28"/>
          <w:highlight w:val="none"/>
        </w:rPr>
        <w:t>2  项目要求</w:t>
      </w:r>
      <w:bookmarkEnd w:id="10"/>
    </w:p>
    <w:p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11" w:name="_Toc9074"/>
      <w:r>
        <w:rPr>
          <w:rFonts w:hint="eastAsia" w:ascii="黑体" w:hAnsi="黑体" w:eastAsia="黑体" w:cs="黑体"/>
          <w:bCs/>
          <w:sz w:val="24"/>
          <w:highlight w:val="none"/>
        </w:rPr>
        <w:t xml:space="preserve">2.1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印刷要求</w:t>
      </w:r>
      <w:r>
        <w:rPr>
          <w:rFonts w:hint="eastAsia" w:ascii="黑体" w:hAnsi="黑体" w:eastAsia="黑体" w:cs="黑体"/>
          <w:bCs/>
          <w:sz w:val="24"/>
          <w:highlight w:val="none"/>
        </w:rPr>
        <w:t>及标准</w:t>
      </w:r>
      <w:bookmarkEnd w:id="11"/>
    </w:p>
    <w:p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供应商在获取需要印刷的有关资料信息或样品后，应进行必要的编制、设计、审校、排版。具体的印刷要求如下：</w:t>
      </w:r>
    </w:p>
    <w:tbl>
      <w:tblPr>
        <w:tblStyle w:val="12"/>
        <w:tblW w:w="869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"/>
        <w:gridCol w:w="1504"/>
        <w:gridCol w:w="1062"/>
        <w:gridCol w:w="527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序号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名称</w:t>
            </w:r>
          </w:p>
        </w:tc>
        <w:tc>
          <w:tcPr>
            <w:tcW w:w="106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单位</w:t>
            </w:r>
          </w:p>
        </w:tc>
        <w:tc>
          <w:tcPr>
            <w:tcW w:w="527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材质工艺尺寸说明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0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奖状</w:t>
            </w:r>
          </w:p>
        </w:tc>
        <w:tc>
          <w:tcPr>
            <w:tcW w:w="106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张</w:t>
            </w:r>
          </w:p>
        </w:tc>
        <w:tc>
          <w:tcPr>
            <w:tcW w:w="5274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370*241mm，160g双胶纸，色数双色。</w:t>
            </w:r>
          </w:p>
        </w:tc>
      </w:tr>
    </w:tbl>
    <w:p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12" w:name="_Toc30644"/>
      <w:r>
        <w:rPr>
          <w:rFonts w:hint="eastAsia" w:ascii="黑体" w:hAnsi="黑体" w:eastAsia="黑体" w:cs="黑体"/>
          <w:bCs/>
          <w:sz w:val="24"/>
          <w:highlight w:val="none"/>
        </w:rPr>
        <w:t>2.2 运输方式</w:t>
      </w:r>
      <w:bookmarkEnd w:id="12"/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快递或人工送达至指定地点，因印刷品产生的运费由供应商承担。</w:t>
      </w:r>
    </w:p>
    <w:p>
      <w:pPr>
        <w:pStyle w:val="21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13" w:name="_Toc16082"/>
      <w:r>
        <w:rPr>
          <w:rFonts w:hint="eastAsia" w:ascii="黑体" w:hAnsi="黑体" w:eastAsia="黑体" w:cs="黑体"/>
          <w:sz w:val="28"/>
          <w:szCs w:val="28"/>
          <w:highlight w:val="none"/>
        </w:rPr>
        <w:t>3  技术服务的要求</w:t>
      </w:r>
      <w:bookmarkEnd w:id="13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14" w:name="_Toc1749"/>
      <w:r>
        <w:rPr>
          <w:rFonts w:hint="eastAsia" w:ascii="黑体" w:hAnsi="黑体" w:eastAsia="黑体" w:cs="黑体"/>
          <w:bCs/>
          <w:sz w:val="24"/>
          <w:highlight w:val="none"/>
        </w:rPr>
        <w:t>3.1 资质要求</w:t>
      </w:r>
      <w:bookmarkEnd w:id="14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15" w:name="_Toc16023"/>
      <w:r>
        <w:rPr>
          <w:rFonts w:hint="eastAsia" w:ascii="黑体" w:hAnsi="黑体" w:eastAsia="黑体" w:cs="黑体"/>
          <w:bCs/>
          <w:sz w:val="24"/>
          <w:highlight w:val="none"/>
        </w:rPr>
        <w:t>3.2 人员、设备及场地要求</w:t>
      </w:r>
      <w:bookmarkEnd w:id="15"/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无</w:t>
      </w:r>
    </w:p>
    <w:p>
      <w:pPr>
        <w:rPr>
          <w:rFonts w:hint="eastAsia" w:ascii="黑体" w:hAnsi="黑体" w:eastAsia="黑体" w:cs="黑体"/>
          <w:bCs/>
          <w:sz w:val="24"/>
          <w:highlight w:val="none"/>
        </w:rPr>
      </w:pPr>
      <w:bookmarkStart w:id="16" w:name="_Toc9853"/>
      <w:r>
        <w:rPr>
          <w:rFonts w:hint="eastAsia" w:ascii="黑体" w:hAnsi="黑体" w:eastAsia="黑体" w:cs="黑体"/>
          <w:bCs/>
          <w:sz w:val="24"/>
          <w:highlight w:val="none"/>
        </w:rPr>
        <w:t xml:space="preserve">3.3 </w:t>
      </w:r>
      <w:bookmarkEnd w:id="16"/>
      <w:bookmarkStart w:id="17" w:name="_Toc22454"/>
      <w:r>
        <w:rPr>
          <w:rFonts w:hint="eastAsia" w:ascii="黑体" w:hAnsi="黑体" w:eastAsia="黑体" w:cs="黑体"/>
          <w:bCs/>
          <w:sz w:val="24"/>
          <w:highlight w:val="none"/>
        </w:rPr>
        <w:t xml:space="preserve"> 信息保密要求</w:t>
      </w:r>
      <w:bookmarkEnd w:id="17"/>
      <w:bookmarkStart w:id="18" w:name="_Toc23607"/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无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="黑体" w:hAnsi="黑体" w:eastAsia="黑体" w:cs="黑体"/>
          <w:bCs/>
          <w:sz w:val="24"/>
          <w:highlight w:val="none"/>
        </w:rPr>
        <w:t>3.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4</w:t>
      </w:r>
      <w:r>
        <w:rPr>
          <w:rFonts w:hint="eastAsia" w:ascii="黑体" w:hAnsi="黑体" w:eastAsia="黑体" w:cs="黑体"/>
          <w:bCs/>
          <w:sz w:val="24"/>
          <w:highlight w:val="none"/>
        </w:rPr>
        <w:t xml:space="preserve"> 其他要求</w:t>
      </w:r>
      <w:bookmarkEnd w:id="18"/>
      <w:bookmarkStart w:id="19" w:name="_Toc30921"/>
      <w:bookmarkStart w:id="20" w:name="_Toc17063"/>
    </w:p>
    <w:bookmarkEnd w:id="19"/>
    <w:bookmarkEnd w:id="20"/>
    <w:p>
      <w:pPr>
        <w:spacing w:line="360" w:lineRule="auto"/>
        <w:ind w:firstLine="480" w:firstLineChars="200"/>
        <w:outlineLvl w:val="1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无</w:t>
      </w:r>
    </w:p>
    <w:p>
      <w:pPr>
        <w:pStyle w:val="21"/>
        <w:spacing w:before="312"/>
        <w:outlineLvl w:val="0"/>
        <w:rPr>
          <w:rFonts w:asciiTheme="minorEastAsia" w:hAnsiTheme="minorEastAsia" w:eastAsiaTheme="minorEastAsia" w:cstheme="minorEastAsia"/>
          <w:color w:val="000000"/>
          <w:highlight w:val="none"/>
        </w:rPr>
      </w:pPr>
      <w:bookmarkStart w:id="21" w:name="_Toc266713650"/>
      <w:bookmarkStart w:id="22" w:name="_Toc21612"/>
      <w:r>
        <w:rPr>
          <w:rFonts w:hint="eastAsia" w:ascii="黑体" w:hAnsi="黑体" w:eastAsia="黑体" w:cs="黑体"/>
          <w:sz w:val="28"/>
          <w:szCs w:val="28"/>
          <w:highlight w:val="none"/>
        </w:rPr>
        <w:t>4  时间进度要求</w:t>
      </w:r>
      <w:bookmarkEnd w:id="21"/>
      <w:bookmarkEnd w:id="22"/>
      <w:bookmarkStart w:id="23" w:name="_Toc11533"/>
      <w:bookmarkStart w:id="24" w:name="_Toc27224"/>
    </w:p>
    <w:bookmarkEnd w:id="23"/>
    <w:bookmarkEnd w:id="24"/>
    <w:p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bookmarkStart w:id="25" w:name="_Toc8651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下达任务通知单后20日内，供应商应将印刷完成的物品送到广州市区内指定地点。</w:t>
      </w:r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</w:p>
    <w:p>
      <w:pPr>
        <w:pStyle w:val="21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5  交付与验收</w:t>
      </w:r>
      <w:bookmarkEnd w:id="25"/>
    </w:p>
    <w:p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26" w:name="_Toc3677"/>
      <w:r>
        <w:rPr>
          <w:rFonts w:hint="eastAsia" w:ascii="黑体" w:hAnsi="黑体" w:eastAsia="黑体" w:cs="黑体"/>
          <w:bCs/>
          <w:sz w:val="24"/>
          <w:highlight w:val="none"/>
        </w:rPr>
        <w:t>5.1 交付形式及数量要求</w:t>
      </w:r>
      <w:bookmarkEnd w:id="26"/>
    </w:p>
    <w:p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交付形式：供应商应将印刷完成的物品通过快递或人工等方式，送到广州市区内指定地点。</w:t>
      </w:r>
    </w:p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数量要求：根据任务通知单为准。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27" w:name="_Toc21560"/>
      <w:r>
        <w:rPr>
          <w:rFonts w:hint="eastAsia" w:ascii="黑体" w:hAnsi="黑体" w:eastAsia="黑体" w:cs="黑体"/>
          <w:bCs/>
          <w:sz w:val="24"/>
          <w:highlight w:val="none"/>
        </w:rPr>
        <w:t>5.2 验收</w:t>
      </w:r>
      <w:bookmarkEnd w:id="27"/>
      <w:bookmarkStart w:id="28" w:name="_Toc23588"/>
      <w:bookmarkStart w:id="29" w:name="_Toc536"/>
    </w:p>
    <w:bookmarkEnd w:id="28"/>
    <w:bookmarkEnd w:id="29"/>
    <w:p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供应商根据下达的任务通知单开展印刷工作，在完成印刷材料的交付后，根据任务通知单发生的工作量进行结算。</w:t>
      </w:r>
    </w:p>
    <w:p>
      <w:pPr>
        <w:pStyle w:val="21"/>
        <w:spacing w:before="312"/>
        <w:outlineLvl w:val="0"/>
        <w:rPr>
          <w:rFonts w:asciiTheme="minorEastAsia" w:hAnsiTheme="minorEastAsia" w:eastAsiaTheme="minorEastAsia" w:cstheme="minorEastAsia"/>
          <w:color w:val="000000"/>
          <w:highlight w:val="none"/>
        </w:rPr>
      </w:pPr>
      <w:bookmarkStart w:id="30" w:name="_Toc859"/>
      <w:r>
        <w:rPr>
          <w:rFonts w:hint="eastAsia" w:ascii="黑体" w:hAnsi="黑体" w:eastAsia="黑体" w:cs="黑体"/>
          <w:sz w:val="28"/>
          <w:szCs w:val="28"/>
          <w:highlight w:val="none"/>
        </w:rPr>
        <w:t>6  投标技术文件要求</w:t>
      </w:r>
      <w:bookmarkEnd w:id="30"/>
      <w:bookmarkStart w:id="31" w:name="_Toc8189"/>
      <w:bookmarkStart w:id="32" w:name="_Toc11892"/>
    </w:p>
    <w:bookmarkEnd w:id="31"/>
    <w:bookmarkEnd w:id="32"/>
    <w:p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</w:pPr>
      <w:bookmarkStart w:id="33" w:name="_Toc29154"/>
      <w:r>
        <w:rPr>
          <w:rFonts w:hint="eastAsia" w:ascii="宋体" w:hAnsi="宋体"/>
          <w:bCs/>
          <w:sz w:val="24"/>
          <w:highlight w:val="none"/>
        </w:rPr>
        <w:t>★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6.1资质文件</w:t>
      </w:r>
    </w:p>
    <w:p>
      <w:pPr>
        <w:pStyle w:val="2"/>
        <w:rPr>
          <w:rFonts w:hint="default" w:asciiTheme="minorEastAsia" w:hAnsiTheme="minorEastAsia" w:eastAsiaTheme="minorEastAsia" w:cstheme="minorEastAsia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000000"/>
          <w:kern w:val="2"/>
          <w:sz w:val="24"/>
          <w:szCs w:val="24"/>
          <w:highlight w:val="none"/>
          <w:lang w:val="en-US" w:eastAsia="zh-CN" w:bidi="ar-SA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000000"/>
          <w:kern w:val="2"/>
          <w:sz w:val="24"/>
          <w:szCs w:val="24"/>
          <w:highlight w:val="none"/>
          <w:lang w:val="en-US" w:eastAsia="zh-CN" w:bidi="ar-SA"/>
        </w:rPr>
        <w:t>投标方应提供公司相应的资质文件，包括但不限于营业执照。</w:t>
      </w:r>
      <w:bookmarkStart w:id="34" w:name="_GoBack"/>
      <w:bookmarkEnd w:id="34"/>
    </w:p>
    <w:p>
      <w:pPr>
        <w:spacing w:line="360" w:lineRule="auto"/>
        <w:outlineLvl w:val="1"/>
        <w:rPr>
          <w:rFonts w:ascii="黑体" w:hAnsi="黑体" w:eastAsia="黑体" w:cs="黑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★</w:t>
      </w:r>
      <w:r>
        <w:rPr>
          <w:rFonts w:hint="eastAsia" w:ascii="黑体" w:hAnsi="黑体" w:eastAsia="黑体" w:cs="黑体"/>
          <w:bCs/>
          <w:sz w:val="24"/>
          <w:highlight w:val="none"/>
        </w:rPr>
        <w:t>6.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2报价单</w:t>
      </w:r>
      <w:bookmarkEnd w:id="33"/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投标方应将所提供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的印刷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服务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的报价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填写在下面空栏里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。</w:t>
      </w:r>
    </w:p>
    <w:p>
      <w:pPr>
        <w:spacing w:line="360" w:lineRule="auto"/>
        <w:jc w:val="center"/>
        <w:rPr>
          <w:rFonts w:hint="eastAsia" w:eastAsia="黑体" w:asciiTheme="minorEastAsia" w:hAnsiTheme="minorEastAsia" w:cstheme="minorEastAsia"/>
          <w:color w:val="000000"/>
          <w:szCs w:val="21"/>
          <w:highlight w:val="none"/>
          <w:lang w:val="en-US" w:eastAsia="zh-CN"/>
        </w:rPr>
      </w:pPr>
      <w:r>
        <w:rPr>
          <w:rFonts w:hint="eastAsia" w:ascii="黑体" w:hAnsi="黑体" w:eastAsia="黑体" w:cs="黑体"/>
          <w:bCs/>
          <w:color w:val="000000"/>
          <w:szCs w:val="21"/>
          <w:highlight w:val="none"/>
        </w:rPr>
        <w:t xml:space="preserve">表6.1 </w:t>
      </w:r>
      <w:r>
        <w:rPr>
          <w:rFonts w:hint="eastAsia" w:ascii="黑体" w:hAnsi="黑体" w:eastAsia="黑体" w:cs="黑体"/>
          <w:bCs/>
          <w:color w:val="000000"/>
          <w:szCs w:val="21"/>
          <w:highlight w:val="none"/>
          <w:lang w:val="en-US" w:eastAsia="zh-CN"/>
        </w:rPr>
        <w:t>报价单</w:t>
      </w:r>
    </w:p>
    <w:tbl>
      <w:tblPr>
        <w:tblStyle w:val="12"/>
        <w:tblW w:w="831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1113"/>
        <w:gridCol w:w="650"/>
        <w:gridCol w:w="4787"/>
        <w:gridCol w:w="112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3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序号</w:t>
            </w:r>
          </w:p>
        </w:tc>
        <w:tc>
          <w:tcPr>
            <w:tcW w:w="111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名称</w:t>
            </w:r>
          </w:p>
        </w:tc>
        <w:tc>
          <w:tcPr>
            <w:tcW w:w="6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单位</w:t>
            </w:r>
          </w:p>
        </w:tc>
        <w:tc>
          <w:tcPr>
            <w:tcW w:w="478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材质工艺尺寸说明</w:t>
            </w:r>
          </w:p>
        </w:tc>
        <w:tc>
          <w:tcPr>
            <w:tcW w:w="1126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单价（元）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3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1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奖状</w:t>
            </w:r>
          </w:p>
        </w:tc>
        <w:tc>
          <w:tcPr>
            <w:tcW w:w="6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张</w:t>
            </w:r>
          </w:p>
        </w:tc>
        <w:tc>
          <w:tcPr>
            <w:tcW w:w="478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  <w:t>370*241mm，160g双胶纸，色数双色。</w:t>
            </w:r>
          </w:p>
        </w:tc>
        <w:tc>
          <w:tcPr>
            <w:tcW w:w="1126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spacing w:line="360" w:lineRule="auto"/>
        <w:rPr>
          <w:color w:val="000000"/>
          <w:sz w:val="24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6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112EA9"/>
    <w:rsid w:val="000C764F"/>
    <w:rsid w:val="00DE6232"/>
    <w:rsid w:val="01D35542"/>
    <w:rsid w:val="027C11FC"/>
    <w:rsid w:val="0295401A"/>
    <w:rsid w:val="0303051E"/>
    <w:rsid w:val="047B7BC4"/>
    <w:rsid w:val="04BF0B83"/>
    <w:rsid w:val="04FE4EAD"/>
    <w:rsid w:val="05312146"/>
    <w:rsid w:val="056D4E14"/>
    <w:rsid w:val="06F52B3B"/>
    <w:rsid w:val="09F078C2"/>
    <w:rsid w:val="0A9773AF"/>
    <w:rsid w:val="0B715FA9"/>
    <w:rsid w:val="0BD1033B"/>
    <w:rsid w:val="0BFD7548"/>
    <w:rsid w:val="0C8C1EEF"/>
    <w:rsid w:val="0D0C14ED"/>
    <w:rsid w:val="0D6039E5"/>
    <w:rsid w:val="0DDE0C6E"/>
    <w:rsid w:val="0FBF064C"/>
    <w:rsid w:val="10011F66"/>
    <w:rsid w:val="10972384"/>
    <w:rsid w:val="11402C86"/>
    <w:rsid w:val="13566E57"/>
    <w:rsid w:val="13A42991"/>
    <w:rsid w:val="14421D4B"/>
    <w:rsid w:val="147F0C66"/>
    <w:rsid w:val="14D37A1A"/>
    <w:rsid w:val="1558413F"/>
    <w:rsid w:val="155E4129"/>
    <w:rsid w:val="16CE51A3"/>
    <w:rsid w:val="16F77748"/>
    <w:rsid w:val="18B4592A"/>
    <w:rsid w:val="1A316175"/>
    <w:rsid w:val="1A830B36"/>
    <w:rsid w:val="1ADD4B0E"/>
    <w:rsid w:val="1B1C576F"/>
    <w:rsid w:val="1B843116"/>
    <w:rsid w:val="1BF021DF"/>
    <w:rsid w:val="1BFA3C82"/>
    <w:rsid w:val="1C672B50"/>
    <w:rsid w:val="1D8D437A"/>
    <w:rsid w:val="1DA01B05"/>
    <w:rsid w:val="1E4F4DD1"/>
    <w:rsid w:val="1FBD1E67"/>
    <w:rsid w:val="1FD9003C"/>
    <w:rsid w:val="21CA3C88"/>
    <w:rsid w:val="221F7698"/>
    <w:rsid w:val="234277A0"/>
    <w:rsid w:val="234B187D"/>
    <w:rsid w:val="23A116F1"/>
    <w:rsid w:val="24C9435F"/>
    <w:rsid w:val="24EA7C79"/>
    <w:rsid w:val="250F564D"/>
    <w:rsid w:val="252B1EB7"/>
    <w:rsid w:val="256870E0"/>
    <w:rsid w:val="25E42BF8"/>
    <w:rsid w:val="265249D6"/>
    <w:rsid w:val="275D5D26"/>
    <w:rsid w:val="275F7D29"/>
    <w:rsid w:val="27F81146"/>
    <w:rsid w:val="28943549"/>
    <w:rsid w:val="28BE48E2"/>
    <w:rsid w:val="29F81415"/>
    <w:rsid w:val="2A441357"/>
    <w:rsid w:val="2B6721B0"/>
    <w:rsid w:val="2C191EA0"/>
    <w:rsid w:val="2CA3124A"/>
    <w:rsid w:val="2CC203FD"/>
    <w:rsid w:val="2D8F39A1"/>
    <w:rsid w:val="2DAC4578"/>
    <w:rsid w:val="2DB36870"/>
    <w:rsid w:val="2DEA6350"/>
    <w:rsid w:val="2E260032"/>
    <w:rsid w:val="2E2E5B4F"/>
    <w:rsid w:val="2E380045"/>
    <w:rsid w:val="2EFA1D2E"/>
    <w:rsid w:val="2F2E6BFF"/>
    <w:rsid w:val="2FC241F2"/>
    <w:rsid w:val="30045C2F"/>
    <w:rsid w:val="30DF2B6C"/>
    <w:rsid w:val="30F444D2"/>
    <w:rsid w:val="313E1E7A"/>
    <w:rsid w:val="32653DEB"/>
    <w:rsid w:val="32887BF4"/>
    <w:rsid w:val="330E4E8B"/>
    <w:rsid w:val="33161353"/>
    <w:rsid w:val="334E3954"/>
    <w:rsid w:val="34255CC8"/>
    <w:rsid w:val="347E10AE"/>
    <w:rsid w:val="34B829C9"/>
    <w:rsid w:val="358A1AD4"/>
    <w:rsid w:val="358B06A1"/>
    <w:rsid w:val="35DF4389"/>
    <w:rsid w:val="35E41FA9"/>
    <w:rsid w:val="360B40D3"/>
    <w:rsid w:val="3661221B"/>
    <w:rsid w:val="37A433E0"/>
    <w:rsid w:val="37AE0477"/>
    <w:rsid w:val="38004B22"/>
    <w:rsid w:val="38D05FCB"/>
    <w:rsid w:val="390A3500"/>
    <w:rsid w:val="39140E3A"/>
    <w:rsid w:val="39855B4F"/>
    <w:rsid w:val="398C2739"/>
    <w:rsid w:val="39E974DB"/>
    <w:rsid w:val="3C4C5078"/>
    <w:rsid w:val="3DDE3626"/>
    <w:rsid w:val="401C5798"/>
    <w:rsid w:val="40794199"/>
    <w:rsid w:val="408A19B3"/>
    <w:rsid w:val="40F0643B"/>
    <w:rsid w:val="410217F6"/>
    <w:rsid w:val="419C13AE"/>
    <w:rsid w:val="41A73FEA"/>
    <w:rsid w:val="41B40E40"/>
    <w:rsid w:val="42A30678"/>
    <w:rsid w:val="42A37264"/>
    <w:rsid w:val="42DF02D2"/>
    <w:rsid w:val="44C917FC"/>
    <w:rsid w:val="45AD67D6"/>
    <w:rsid w:val="45CF1EF0"/>
    <w:rsid w:val="47097B32"/>
    <w:rsid w:val="47194E6E"/>
    <w:rsid w:val="47382C50"/>
    <w:rsid w:val="48205CF0"/>
    <w:rsid w:val="48AE5D4E"/>
    <w:rsid w:val="49F22A9F"/>
    <w:rsid w:val="4A4B4604"/>
    <w:rsid w:val="4A566A25"/>
    <w:rsid w:val="4A7A1254"/>
    <w:rsid w:val="4A9A3B4D"/>
    <w:rsid w:val="4B18258B"/>
    <w:rsid w:val="4C3F54C3"/>
    <w:rsid w:val="4CE147A6"/>
    <w:rsid w:val="4CF766DE"/>
    <w:rsid w:val="4DBF3FC8"/>
    <w:rsid w:val="4DDB7BC5"/>
    <w:rsid w:val="4E287A4C"/>
    <w:rsid w:val="4EDE6AF3"/>
    <w:rsid w:val="4F327D5F"/>
    <w:rsid w:val="50692104"/>
    <w:rsid w:val="50C4507C"/>
    <w:rsid w:val="50E83C80"/>
    <w:rsid w:val="50E84976"/>
    <w:rsid w:val="52D27864"/>
    <w:rsid w:val="53CD308F"/>
    <w:rsid w:val="54C17E31"/>
    <w:rsid w:val="54E75E4E"/>
    <w:rsid w:val="54EC5F00"/>
    <w:rsid w:val="55BB08CE"/>
    <w:rsid w:val="55F5265A"/>
    <w:rsid w:val="56112EA9"/>
    <w:rsid w:val="56634F6B"/>
    <w:rsid w:val="56FE5647"/>
    <w:rsid w:val="572004CE"/>
    <w:rsid w:val="576E3E36"/>
    <w:rsid w:val="57D62605"/>
    <w:rsid w:val="59BD7DED"/>
    <w:rsid w:val="59E4535B"/>
    <w:rsid w:val="5AE252E1"/>
    <w:rsid w:val="5BAC42C7"/>
    <w:rsid w:val="5CBC1717"/>
    <w:rsid w:val="5E0B23A4"/>
    <w:rsid w:val="5E7F2B1D"/>
    <w:rsid w:val="5E9479C8"/>
    <w:rsid w:val="5EFF55AD"/>
    <w:rsid w:val="60446F8A"/>
    <w:rsid w:val="60A8111F"/>
    <w:rsid w:val="60B802FB"/>
    <w:rsid w:val="61633BDA"/>
    <w:rsid w:val="61B23647"/>
    <w:rsid w:val="61E33B45"/>
    <w:rsid w:val="62542CC4"/>
    <w:rsid w:val="630015B9"/>
    <w:rsid w:val="63FE5340"/>
    <w:rsid w:val="640B1F26"/>
    <w:rsid w:val="64132F2C"/>
    <w:rsid w:val="650664D0"/>
    <w:rsid w:val="65355760"/>
    <w:rsid w:val="666908C2"/>
    <w:rsid w:val="673113AB"/>
    <w:rsid w:val="67593ED7"/>
    <w:rsid w:val="68AC152E"/>
    <w:rsid w:val="68CD4B9F"/>
    <w:rsid w:val="695323C7"/>
    <w:rsid w:val="69EA7D86"/>
    <w:rsid w:val="6A2D0FBD"/>
    <w:rsid w:val="6B023115"/>
    <w:rsid w:val="6D2B4CBE"/>
    <w:rsid w:val="6D401C96"/>
    <w:rsid w:val="6D4A0BE9"/>
    <w:rsid w:val="6E06100F"/>
    <w:rsid w:val="6E5B1FD7"/>
    <w:rsid w:val="708F1B04"/>
    <w:rsid w:val="70E237AF"/>
    <w:rsid w:val="710C1A65"/>
    <w:rsid w:val="71497715"/>
    <w:rsid w:val="71C94BB9"/>
    <w:rsid w:val="7377313A"/>
    <w:rsid w:val="73FA6E86"/>
    <w:rsid w:val="744F7DDF"/>
    <w:rsid w:val="74572EAA"/>
    <w:rsid w:val="74E106B7"/>
    <w:rsid w:val="75700D85"/>
    <w:rsid w:val="75715F41"/>
    <w:rsid w:val="76497732"/>
    <w:rsid w:val="76890F73"/>
    <w:rsid w:val="76F173CA"/>
    <w:rsid w:val="770F4753"/>
    <w:rsid w:val="78376D79"/>
    <w:rsid w:val="790428F9"/>
    <w:rsid w:val="7A126AE1"/>
    <w:rsid w:val="7ABE2378"/>
    <w:rsid w:val="7AFB3926"/>
    <w:rsid w:val="7BFC3589"/>
    <w:rsid w:val="7C185614"/>
    <w:rsid w:val="7C257594"/>
    <w:rsid w:val="7CD02D3B"/>
    <w:rsid w:val="7E352FE9"/>
    <w:rsid w:val="7E6214B0"/>
    <w:rsid w:val="7EB61EE5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toc 1"/>
    <w:basedOn w:val="1"/>
    <w:next w:val="1"/>
    <w:qFormat/>
    <w:uiPriority w:val="0"/>
  </w:style>
  <w:style w:type="paragraph" w:styleId="11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Hyperlink"/>
    <w:basedOn w:val="14"/>
    <w:qFormat/>
    <w:uiPriority w:val="0"/>
  </w:style>
  <w:style w:type="paragraph" w:customStyle="1" w:styleId="16">
    <w:name w:val="标题1"/>
    <w:basedOn w:val="4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7">
    <w:name w:val="首页项目名称"/>
    <w:link w:val="19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8">
    <w:name w:val="首页日期"/>
    <w:basedOn w:val="1"/>
    <w:link w:val="20"/>
    <w:qFormat/>
    <w:uiPriority w:val="0"/>
    <w:pPr>
      <w:jc w:val="center"/>
    </w:pPr>
    <w:rPr>
      <w:rFonts w:eastAsia="楷体"/>
      <w:sz w:val="32"/>
    </w:rPr>
  </w:style>
  <w:style w:type="character" w:customStyle="1" w:styleId="19">
    <w:name w:val="首页项目名称 Char"/>
    <w:link w:val="17"/>
    <w:qFormat/>
    <w:uiPriority w:val="0"/>
    <w:rPr>
      <w:rFonts w:ascii="Times New Roman" w:hAnsi="Times New Roman" w:eastAsia="隶书"/>
      <w:sz w:val="52"/>
    </w:rPr>
  </w:style>
  <w:style w:type="character" w:customStyle="1" w:styleId="20">
    <w:name w:val="首页日期 Char"/>
    <w:link w:val="18"/>
    <w:qFormat/>
    <w:uiPriority w:val="0"/>
    <w:rPr>
      <w:rFonts w:ascii="Times New Roman" w:hAnsi="Times New Roman" w:eastAsia="楷体"/>
      <w:sz w:val="32"/>
    </w:rPr>
  </w:style>
  <w:style w:type="paragraph" w:customStyle="1" w:styleId="21">
    <w:name w:val="一标题"/>
    <w:link w:val="22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2">
    <w:name w:val="一标题 Char"/>
    <w:link w:val="21"/>
    <w:qFormat/>
    <w:uiPriority w:val="0"/>
    <w:rPr>
      <w:rFonts w:ascii="宋体" w:hAnsi="宋体" w:eastAsia="宋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2036</Words>
  <Characters>1503</Characters>
  <Lines>12</Lines>
  <Paragraphs>7</Paragraphs>
  <TotalTime>5</TotalTime>
  <ScaleCrop>false</ScaleCrop>
  <LinksUpToDate>false</LinksUpToDate>
  <CharactersWithSpaces>3532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苏海博</cp:lastModifiedBy>
  <dcterms:modified xsi:type="dcterms:W3CDTF">2024-08-08T08:50:42Z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0790FF56280B4853858BB3359B92BB35</vt:lpwstr>
  </property>
</Properties>
</file>