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20" w:after="120" w:line="360" w:lineRule="auto"/>
        <w:jc w:val="center"/>
        <w:rPr>
          <w:rFonts w:hint="eastAsia" w:ascii="宋体" w:hAnsi="宋体" w:eastAsia="宋体" w:cs="宋体"/>
          <w:lang w:eastAsia="zh-CN"/>
        </w:rPr>
      </w:pPr>
      <w:r>
        <w:rPr>
          <w:rFonts w:hint="eastAsia" w:ascii="宋体" w:hAnsi="宋体" w:eastAsia="宋体" w:cs="宋体"/>
          <w:b/>
          <w:bCs/>
          <w:color w:val="auto"/>
          <w:sz w:val="28"/>
          <w:szCs w:val="28"/>
          <w:highlight w:val="none"/>
          <w:lang w:eastAsia="zh-CN"/>
        </w:rPr>
        <w:t>采购服务需求</w:t>
      </w:r>
    </w:p>
    <w:p>
      <w:pPr>
        <w:pStyle w:val="4"/>
        <w:tabs>
          <w:tab w:val="left" w:pos="3276"/>
        </w:tabs>
        <w:spacing w:before="120" w:after="120" w:line="360" w:lineRule="auto"/>
        <w:rPr>
          <w:rFonts w:hint="eastAsia" w:asciiTheme="minorEastAsia" w:hAnsiTheme="minorEastAsia" w:eastAsiaTheme="minorEastAsia"/>
          <w:color w:val="auto"/>
          <w:sz w:val="28"/>
          <w:szCs w:val="28"/>
          <w:highlight w:val="none"/>
          <w:lang w:eastAsia="zh-CN"/>
        </w:rPr>
      </w:pPr>
      <w:r>
        <w:rPr>
          <w:rFonts w:hint="eastAsia" w:asciiTheme="minorEastAsia" w:hAnsiTheme="minorEastAsia" w:eastAsiaTheme="minorEastAsia"/>
          <w:color w:val="auto"/>
          <w:sz w:val="28"/>
          <w:szCs w:val="28"/>
          <w:highlight w:val="none"/>
        </w:rPr>
        <w:t>1.项目背景</w:t>
      </w:r>
      <w:r>
        <w:rPr>
          <w:rFonts w:hint="eastAsia" w:asciiTheme="minorEastAsia" w:hAnsiTheme="minorEastAsia" w:eastAsiaTheme="minorEastAsia"/>
          <w:color w:val="auto"/>
          <w:sz w:val="28"/>
          <w:szCs w:val="28"/>
          <w:highlight w:val="none"/>
          <w:lang w:eastAsia="zh-CN"/>
        </w:rPr>
        <w:t>及目标</w:t>
      </w:r>
      <w:r>
        <w:rPr>
          <w:rFonts w:hint="eastAsia" w:asciiTheme="minorEastAsia" w:hAnsiTheme="minorEastAsia" w:eastAsiaTheme="minorEastAsia"/>
          <w:color w:val="auto"/>
          <w:sz w:val="28"/>
          <w:szCs w:val="28"/>
          <w:highlight w:val="none"/>
          <w:lang w:eastAsia="zh-CN"/>
        </w:rPr>
        <w:tab/>
      </w:r>
    </w:p>
    <w:p>
      <w:pPr>
        <w:pStyle w:val="7"/>
        <w:ind w:firstLine="560" w:firstLineChars="20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项目背景：公司ISO45001、ISO14001、ISO9001三体系资质于2025年到期，2024年需开展一次监督审核服务，该资质需于9月1日前完成监督审核方能保持证书有效性，现开展公司ISO45001、ISO14001、ISO9001资质2024年审核服务采购。</w:t>
      </w:r>
    </w:p>
    <w:p>
      <w:pPr>
        <w:pStyle w:val="7"/>
        <w:ind w:firstLine="560" w:firstLineChars="20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目标：本次采购服务包含但不限于ISO45001、ISO14001、ISO9001资质2024年监督审核咨询指导培训、审核等，确保公司ISO45001、ISO14001、ISO9001资质在时限内顺利通过2024年监督审核，保持资质证书有效。</w:t>
      </w:r>
    </w:p>
    <w:p>
      <w:pPr>
        <w:pStyle w:val="4"/>
        <w:adjustRightInd w:val="0"/>
        <w:spacing w:beforeLines="50" w:afterLines="50" w:line="360" w:lineRule="auto"/>
        <w:rPr>
          <w:rFonts w:hint="default" w:asciiTheme="minorEastAsia" w:hAnsiTheme="minorEastAsia" w:eastAsiaTheme="minorEastAsia"/>
          <w:color w:val="auto"/>
          <w:sz w:val="28"/>
          <w:szCs w:val="28"/>
          <w:highlight w:val="none"/>
          <w:lang w:val="en-US" w:eastAsia="zh-CN"/>
        </w:rPr>
      </w:pPr>
      <w:r>
        <w:rPr>
          <w:rFonts w:hint="eastAsia" w:asciiTheme="minorEastAsia" w:hAnsiTheme="minorEastAsia" w:eastAsiaTheme="minorEastAsia"/>
          <w:color w:val="auto"/>
          <w:sz w:val="28"/>
          <w:szCs w:val="28"/>
          <w:highlight w:val="none"/>
          <w:lang w:val="en-US" w:eastAsia="zh-CN"/>
        </w:rPr>
        <w:t>2</w:t>
      </w:r>
      <w:r>
        <w:rPr>
          <w:rFonts w:hint="eastAsia" w:asciiTheme="minorEastAsia" w:hAnsiTheme="minorEastAsia" w:eastAsiaTheme="minorEastAsia"/>
          <w:color w:val="auto"/>
          <w:sz w:val="28"/>
          <w:szCs w:val="28"/>
          <w:highlight w:val="none"/>
        </w:rPr>
        <w:t>.服务要求</w:t>
      </w:r>
      <w:r>
        <w:rPr>
          <w:rFonts w:hint="eastAsia" w:asciiTheme="minorEastAsia" w:hAnsiTheme="minorEastAsia" w:eastAsiaTheme="minorEastAsia"/>
          <w:color w:val="auto"/>
          <w:sz w:val="28"/>
          <w:szCs w:val="28"/>
          <w:highlight w:val="none"/>
          <w:lang w:val="en-US" w:eastAsia="zh-CN"/>
        </w:rPr>
        <w:t>及项目实施保障</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需在协议签订后至公司通过</w:t>
      </w:r>
      <w:r>
        <w:rPr>
          <w:rFonts w:hint="eastAsia" w:ascii="仿宋" w:hAnsi="仿宋" w:eastAsia="仿宋" w:cs="Times New Roman"/>
          <w:color w:val="auto"/>
          <w:kern w:val="2"/>
          <w:sz w:val="28"/>
          <w:szCs w:val="28"/>
          <w:highlight w:val="none"/>
          <w:lang w:val="en-US" w:eastAsia="zh-CN" w:bidi="ar-SA"/>
        </w:rPr>
        <w:t>ISO45001、ISO14001、ISO9001</w:t>
      </w:r>
      <w:r>
        <w:rPr>
          <w:rFonts w:hint="eastAsia" w:ascii="仿宋" w:hAnsi="仿宋" w:eastAsia="仿宋"/>
          <w:color w:val="auto"/>
          <w:sz w:val="28"/>
          <w:szCs w:val="28"/>
          <w:highlight w:val="none"/>
        </w:rPr>
        <w:t>评估，提供咨询、指导、培训和评估等工作</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制定完善的服务措施、承诺、项目实施保障以及推进计划安排。</w:t>
      </w:r>
    </w:p>
    <w:p>
      <w:pPr>
        <w:pStyle w:val="4"/>
        <w:spacing w:before="120" w:after="120"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3</w:t>
      </w:r>
      <w:r>
        <w:rPr>
          <w:rFonts w:hint="eastAsia" w:asciiTheme="minorEastAsia" w:hAnsiTheme="minorEastAsia" w:eastAsiaTheme="minorEastAsia"/>
          <w:color w:val="auto"/>
          <w:sz w:val="28"/>
          <w:szCs w:val="28"/>
          <w:highlight w:val="none"/>
        </w:rPr>
        <w:t>.1职责分工</w:t>
      </w:r>
    </w:p>
    <w:p>
      <w:pPr>
        <w:pStyle w:val="6"/>
        <w:adjustRightInd w:val="0"/>
        <w:spacing w:before="0" w:after="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3</w:t>
      </w:r>
      <w:r>
        <w:rPr>
          <w:rFonts w:hint="eastAsia" w:asciiTheme="minorEastAsia" w:hAnsiTheme="minorEastAsia"/>
          <w:color w:val="auto"/>
          <w:sz w:val="28"/>
          <w:highlight w:val="none"/>
        </w:rPr>
        <w:t>.1.1</w:t>
      </w:r>
      <w:r>
        <w:rPr>
          <w:rFonts w:hint="eastAsia" w:asciiTheme="minorEastAsia" w:hAnsiTheme="minorEastAsia"/>
          <w:color w:val="auto"/>
          <w:sz w:val="28"/>
          <w:highlight w:val="none"/>
          <w:lang w:eastAsia="zh-CN"/>
        </w:rPr>
        <w:t>服务商</w:t>
      </w:r>
      <w:r>
        <w:rPr>
          <w:rFonts w:hint="eastAsia" w:asciiTheme="minorEastAsia" w:hAnsiTheme="minorEastAsia"/>
          <w:color w:val="auto"/>
          <w:sz w:val="28"/>
          <w:highlight w:val="none"/>
        </w:rPr>
        <w:t>职责</w:t>
      </w:r>
    </w:p>
    <w:p>
      <w:pPr>
        <w:adjustRightInd w:val="0"/>
        <w:snapToGrid w:val="0"/>
        <w:spacing w:line="360" w:lineRule="auto"/>
        <w:ind w:firstLine="548" w:firstLineChars="196"/>
        <w:rPr>
          <w:rFonts w:ascii="仿宋" w:hAnsi="仿宋" w:eastAsia="仿宋"/>
          <w:color w:val="auto"/>
          <w:sz w:val="28"/>
          <w:szCs w:val="28"/>
          <w:highlight w:val="none"/>
        </w:rPr>
      </w:pP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w:t>
      </w:r>
      <w:r>
        <w:rPr>
          <w:rFonts w:hint="eastAsia" w:ascii="仿宋" w:hAnsi="仿宋" w:eastAsia="仿宋"/>
          <w:color w:val="auto"/>
          <w:sz w:val="28"/>
          <w:szCs w:val="28"/>
          <w:highlight w:val="none"/>
        </w:rPr>
        <w:t>负责项目过程监督与指导，指导采购方开展项目过程管控。</w:t>
      </w:r>
    </w:p>
    <w:p>
      <w:pPr>
        <w:adjustRightInd w:val="0"/>
        <w:snapToGrid w:val="0"/>
        <w:spacing w:line="360" w:lineRule="auto"/>
        <w:ind w:firstLine="548" w:firstLineChars="196"/>
        <w:rPr>
          <w:rFonts w:ascii="仿宋" w:hAnsi="仿宋" w:eastAsia="仿宋"/>
          <w:color w:val="auto"/>
          <w:sz w:val="28"/>
          <w:szCs w:val="28"/>
          <w:highlight w:val="none"/>
        </w:rPr>
      </w:pPr>
      <w:r>
        <w:rPr>
          <w:rFonts w:ascii="仿宋" w:hAnsi="仿宋" w:eastAsia="仿宋"/>
          <w:color w:val="auto"/>
          <w:sz w:val="28"/>
          <w:szCs w:val="28"/>
          <w:highlight w:val="none"/>
        </w:rPr>
        <w:t>（</w:t>
      </w:r>
      <w:r>
        <w:rPr>
          <w:rFonts w:hint="eastAsia" w:ascii="仿宋" w:hAnsi="仿宋" w:eastAsia="仿宋"/>
          <w:color w:val="auto"/>
          <w:sz w:val="28"/>
          <w:szCs w:val="28"/>
          <w:highlight w:val="none"/>
        </w:rPr>
        <w:t>2</w:t>
      </w:r>
      <w:r>
        <w:rPr>
          <w:rFonts w:ascii="仿宋" w:hAnsi="仿宋" w:eastAsia="仿宋"/>
          <w:color w:val="auto"/>
          <w:sz w:val="28"/>
          <w:szCs w:val="28"/>
          <w:highlight w:val="none"/>
        </w:rPr>
        <w:t>）</w:t>
      </w:r>
      <w:r>
        <w:rPr>
          <w:rFonts w:hint="eastAsia" w:ascii="仿宋" w:hAnsi="仿宋" w:eastAsia="仿宋"/>
          <w:color w:val="auto"/>
          <w:sz w:val="28"/>
          <w:szCs w:val="28"/>
          <w:highlight w:val="none"/>
        </w:rPr>
        <w:t>负责诊断评估采购方</w:t>
      </w:r>
      <w:r>
        <w:rPr>
          <w:rFonts w:hint="eastAsia" w:ascii="仿宋" w:hAnsi="仿宋" w:eastAsia="仿宋"/>
          <w:color w:val="auto"/>
          <w:sz w:val="28"/>
          <w:szCs w:val="28"/>
          <w:highlight w:val="none"/>
          <w:lang w:eastAsia="zh-CN"/>
        </w:rPr>
        <w:t>标准体系</w:t>
      </w:r>
      <w:r>
        <w:rPr>
          <w:rFonts w:hint="eastAsia" w:ascii="仿宋" w:hAnsi="仿宋" w:eastAsia="仿宋"/>
          <w:color w:val="auto"/>
          <w:sz w:val="28"/>
          <w:szCs w:val="28"/>
          <w:highlight w:val="none"/>
        </w:rPr>
        <w:t>现状，提出改进建议。</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（3）负责制定编排行动策略与改进计划</w:t>
      </w:r>
      <w:r>
        <w:rPr>
          <w:rFonts w:hint="eastAsia" w:ascii="仿宋" w:hAnsi="仿宋" w:eastAsia="仿宋"/>
          <w:color w:val="auto"/>
          <w:sz w:val="28"/>
          <w:szCs w:val="28"/>
          <w:highlight w:val="none"/>
          <w:lang w:eastAsia="zh-CN"/>
        </w:rPr>
        <w:t>。</w:t>
      </w:r>
    </w:p>
    <w:p>
      <w:pPr>
        <w:adjustRightInd w:val="0"/>
        <w:snapToGrid w:val="0"/>
        <w:spacing w:line="360" w:lineRule="auto"/>
        <w:ind w:firstLine="548" w:firstLineChars="196"/>
        <w:rPr>
          <w:rFonts w:asciiTheme="minorEastAsia" w:hAnsiTheme="minorEastAsia" w:eastAsiaTheme="minorEastAsia"/>
          <w:color w:val="auto"/>
          <w:sz w:val="24"/>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w:t>
      </w:r>
      <w:r>
        <w:rPr>
          <w:rFonts w:hint="eastAsia" w:ascii="仿宋" w:hAnsi="仿宋" w:eastAsia="仿宋"/>
          <w:color w:val="auto"/>
          <w:sz w:val="28"/>
          <w:szCs w:val="28"/>
          <w:highlight w:val="none"/>
        </w:rPr>
        <w:t>负责组织运行及改良以满足</w:t>
      </w:r>
      <w:r>
        <w:rPr>
          <w:rFonts w:hint="eastAsia" w:ascii="仿宋" w:hAnsi="仿宋" w:eastAsia="仿宋" w:cs="Times New Roman"/>
          <w:color w:val="auto"/>
          <w:kern w:val="2"/>
          <w:sz w:val="28"/>
          <w:szCs w:val="28"/>
          <w:highlight w:val="none"/>
          <w:lang w:val="en-US" w:eastAsia="zh-CN" w:bidi="ar-SA"/>
        </w:rPr>
        <w:t>ISO45001、ISO14001、ISO9001</w:t>
      </w:r>
      <w:r>
        <w:rPr>
          <w:rFonts w:hint="eastAsia" w:ascii="仿宋" w:hAnsi="仿宋" w:eastAsia="仿宋"/>
          <w:color w:val="auto"/>
          <w:sz w:val="28"/>
          <w:szCs w:val="28"/>
          <w:highlight w:val="none"/>
        </w:rPr>
        <w:t>的相关要求。</w:t>
      </w:r>
    </w:p>
    <w:p>
      <w:pPr>
        <w:pStyle w:val="6"/>
        <w:adjustRightInd w:val="0"/>
        <w:spacing w:before="0" w:after="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3</w:t>
      </w:r>
      <w:r>
        <w:rPr>
          <w:rFonts w:hint="eastAsia" w:asciiTheme="minorEastAsia" w:hAnsiTheme="minorEastAsia"/>
          <w:color w:val="auto"/>
          <w:sz w:val="28"/>
          <w:highlight w:val="none"/>
        </w:rPr>
        <w:t>.1.2 采购方职责</w:t>
      </w:r>
    </w:p>
    <w:p>
      <w:pPr>
        <w:adjustRightInd w:val="0"/>
        <w:snapToGrid w:val="0"/>
        <w:spacing w:line="360" w:lineRule="auto"/>
        <w:ind w:firstLine="548" w:firstLineChars="196"/>
        <w:rPr>
          <w:rFonts w:ascii="仿宋" w:hAnsi="仿宋" w:eastAsia="仿宋"/>
          <w:color w:val="auto"/>
          <w:sz w:val="28"/>
          <w:szCs w:val="28"/>
          <w:highlight w:val="none"/>
        </w:rPr>
      </w:pP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w:t>
      </w:r>
      <w:r>
        <w:rPr>
          <w:rFonts w:hint="eastAsia" w:ascii="仿宋" w:hAnsi="仿宋" w:eastAsia="仿宋"/>
          <w:color w:val="auto"/>
          <w:sz w:val="28"/>
          <w:szCs w:val="28"/>
          <w:highlight w:val="none"/>
        </w:rPr>
        <w:t>负责成立相关工作组织，开展项目过程的统一的管控工作。</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rPr>
        <w:t>（2）负责协调调动公司资源，保证资源的连续、可用。</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rPr>
        <w:t>（3）负责在</w:t>
      </w:r>
      <w:r>
        <w:rPr>
          <w:rFonts w:hint="eastAsia" w:ascii="仿宋" w:hAnsi="仿宋" w:eastAsia="仿宋"/>
          <w:color w:val="auto"/>
          <w:sz w:val="28"/>
          <w:szCs w:val="28"/>
          <w:highlight w:val="none"/>
          <w:lang w:val="en-US" w:eastAsia="zh-CN"/>
        </w:rPr>
        <w:t>谈判对象</w:t>
      </w:r>
      <w:r>
        <w:rPr>
          <w:rFonts w:hint="eastAsia" w:ascii="仿宋" w:hAnsi="仿宋" w:eastAsia="仿宋"/>
          <w:color w:val="auto"/>
          <w:sz w:val="28"/>
          <w:szCs w:val="28"/>
          <w:highlight w:val="none"/>
        </w:rPr>
        <w:t>的协助下，开展标准体系优化的工作。</w:t>
      </w:r>
    </w:p>
    <w:p>
      <w:pPr>
        <w:adjustRightInd w:val="0"/>
        <w:snapToGrid w:val="0"/>
        <w:spacing w:line="360" w:lineRule="auto"/>
        <w:ind w:firstLine="548" w:firstLineChars="196"/>
        <w:rPr>
          <w:rFonts w:hint="default"/>
          <w:lang w:val="en-US" w:eastAsia="zh-CN"/>
        </w:rPr>
      </w:pPr>
      <w:r>
        <w:rPr>
          <w:rFonts w:hint="eastAsia" w:ascii="仿宋" w:hAnsi="仿宋" w:eastAsia="仿宋"/>
          <w:color w:val="auto"/>
          <w:sz w:val="28"/>
          <w:szCs w:val="28"/>
          <w:highlight w:val="none"/>
        </w:rPr>
        <w:t>（4）负责体系的推广与部署工作。</w:t>
      </w:r>
    </w:p>
    <w:p>
      <w:pPr>
        <w:pStyle w:val="6"/>
        <w:adjustRightInd w:val="0"/>
        <w:spacing w:beforeLines="50" w:afterLines="5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4.</w:t>
      </w:r>
      <w:r>
        <w:rPr>
          <w:rFonts w:hint="eastAsia" w:asciiTheme="minorEastAsia" w:hAnsiTheme="minorEastAsia"/>
          <w:color w:val="auto"/>
          <w:sz w:val="28"/>
          <w:highlight w:val="none"/>
        </w:rPr>
        <w:t>服务期限</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s="仿宋"/>
          <w:b w:val="0"/>
          <w:bCs/>
          <w:color w:val="auto"/>
          <w:sz w:val="28"/>
          <w:szCs w:val="28"/>
          <w:lang w:val="en-US" w:eastAsia="zh-CN"/>
        </w:rPr>
        <w:t>服务期限为3个月，自合同约定之日起算。</w:t>
      </w:r>
    </w:p>
    <w:p>
      <w:pPr>
        <w:pStyle w:val="6"/>
        <w:adjustRightInd w:val="0"/>
        <w:spacing w:beforeLines="50" w:afterLines="5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5</w:t>
      </w:r>
      <w:r>
        <w:rPr>
          <w:rFonts w:hint="eastAsia" w:asciiTheme="minorEastAsia" w:hAnsiTheme="minorEastAsia"/>
          <w:color w:val="auto"/>
          <w:sz w:val="28"/>
          <w:highlight w:val="none"/>
        </w:rPr>
        <w:t>.服务响应</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对于远程服务（主要以电话、Email、MSN等进行远程技术支持），采购方提出的服务请求，</w:t>
      </w: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需在1个工作日内响应（邮件或MSN回复反馈）；对于技术问题，咨询师应在1个工作日内提出最佳解决方案，如遇紧急情况，2个工作日内到达工作现场进行指导</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针对项目提供具体实施方案或计划，合理可行。</w:t>
      </w:r>
    </w:p>
    <w:p>
      <w:pPr>
        <w:pStyle w:val="6"/>
        <w:adjustRightInd w:val="0"/>
        <w:spacing w:beforeLines="50" w:afterLines="5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6</w:t>
      </w:r>
      <w:r>
        <w:rPr>
          <w:rFonts w:hint="eastAsia" w:asciiTheme="minorEastAsia" w:hAnsiTheme="minorEastAsia"/>
          <w:color w:val="auto"/>
          <w:sz w:val="28"/>
          <w:highlight w:val="none"/>
        </w:rPr>
        <w:t>培训要求</w:t>
      </w:r>
    </w:p>
    <w:p>
      <w:pPr>
        <w:spacing w:line="360" w:lineRule="auto"/>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应提供与项目相关的必要的培训，培训应包括但不限于以下内容:标准培训、体系培训、过程培训、</w:t>
      </w:r>
      <w:bookmarkStart w:id="0" w:name="_Toc345531145"/>
      <w:r>
        <w:rPr>
          <w:rFonts w:hint="eastAsia" w:ascii="仿宋" w:hAnsi="仿宋" w:eastAsia="仿宋"/>
          <w:color w:val="auto"/>
          <w:sz w:val="28"/>
          <w:szCs w:val="28"/>
          <w:highlight w:val="none"/>
        </w:rPr>
        <w:t>管理体系宣贯</w:t>
      </w:r>
      <w:bookmarkEnd w:id="0"/>
      <w:bookmarkStart w:id="1" w:name="_Toc345531149"/>
      <w:r>
        <w:rPr>
          <w:rFonts w:hint="eastAsia" w:ascii="仿宋" w:hAnsi="仿宋" w:eastAsia="仿宋"/>
          <w:color w:val="auto"/>
          <w:sz w:val="28"/>
          <w:szCs w:val="28"/>
          <w:highlight w:val="none"/>
        </w:rPr>
        <w:t>、内审员选拨和培训</w:t>
      </w:r>
      <w:bookmarkEnd w:id="1"/>
      <w:r>
        <w:rPr>
          <w:rFonts w:hint="eastAsia" w:ascii="仿宋" w:hAnsi="仿宋" w:eastAsia="仿宋"/>
          <w:color w:val="auto"/>
          <w:szCs w:val="28"/>
          <w:highlight w:val="none"/>
        </w:rPr>
        <w:t>。</w:t>
      </w:r>
    </w:p>
    <w:p>
      <w:pPr>
        <w:pStyle w:val="6"/>
        <w:adjustRightInd w:val="0"/>
        <w:spacing w:beforeLines="50" w:afterLines="5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7.</w:t>
      </w:r>
      <w:r>
        <w:rPr>
          <w:rFonts w:hint="eastAsia" w:asciiTheme="minorEastAsia" w:hAnsiTheme="minorEastAsia"/>
          <w:color w:val="auto"/>
          <w:sz w:val="28"/>
          <w:highlight w:val="none"/>
        </w:rPr>
        <w:t>售后服务</w:t>
      </w:r>
    </w:p>
    <w:p>
      <w:pPr>
        <w:spacing w:line="360" w:lineRule="auto"/>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在完成合同所规定的服务后，将提供一年的售后服务期。售后服务期内，</w:t>
      </w:r>
      <w:r>
        <w:rPr>
          <w:rFonts w:hint="eastAsia" w:ascii="仿宋" w:hAnsi="仿宋" w:eastAsia="仿宋"/>
          <w:color w:val="auto"/>
          <w:sz w:val="28"/>
          <w:szCs w:val="28"/>
          <w:highlight w:val="none"/>
          <w:lang w:eastAsia="zh-CN"/>
        </w:rPr>
        <w:t>服务商</w:t>
      </w:r>
      <w:r>
        <w:rPr>
          <w:rFonts w:hint="eastAsia" w:ascii="仿宋" w:hAnsi="仿宋" w:eastAsia="仿宋"/>
          <w:color w:val="auto"/>
          <w:sz w:val="28"/>
          <w:szCs w:val="28"/>
          <w:highlight w:val="none"/>
        </w:rPr>
        <w:t>免费为采购方提供售后服务和技术支持。</w:t>
      </w:r>
    </w:p>
    <w:p>
      <w:pPr>
        <w:spacing w:line="360" w:lineRule="auto"/>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售后服务和技术支持范围包括但不限于：</w:t>
      </w:r>
    </w:p>
    <w:p>
      <w:pPr>
        <w:pStyle w:val="10"/>
        <w:numPr>
          <w:ilvl w:val="0"/>
          <w:numId w:val="2"/>
        </w:numPr>
        <w:spacing w:line="360" w:lineRule="auto"/>
        <w:ind w:firstLineChars="0"/>
        <w:jc w:val="left"/>
        <w:rPr>
          <w:rFonts w:ascii="仿宋" w:hAnsi="仿宋" w:eastAsia="仿宋"/>
          <w:color w:val="auto"/>
          <w:sz w:val="28"/>
          <w:szCs w:val="28"/>
          <w:highlight w:val="none"/>
        </w:rPr>
      </w:pPr>
      <w:r>
        <w:rPr>
          <w:rFonts w:hint="eastAsia" w:ascii="仿宋" w:hAnsi="仿宋" w:eastAsia="仿宋"/>
          <w:color w:val="auto"/>
          <w:sz w:val="28"/>
          <w:szCs w:val="28"/>
          <w:highlight w:val="none"/>
        </w:rPr>
        <w:t>解答采购方提出的问题。</w:t>
      </w:r>
      <w:r>
        <w:rPr>
          <w:rFonts w:hint="eastAsia" w:ascii="仿宋" w:hAnsi="仿宋" w:eastAsia="仿宋"/>
          <w:color w:val="auto"/>
          <w:sz w:val="28"/>
          <w:szCs w:val="28"/>
          <w:highlight w:val="none"/>
          <w:lang w:val="en-US" w:eastAsia="zh-CN"/>
        </w:rPr>
        <w:t>谈判对象</w:t>
      </w:r>
      <w:r>
        <w:rPr>
          <w:rFonts w:hint="eastAsia" w:ascii="仿宋" w:hAnsi="仿宋" w:eastAsia="仿宋"/>
          <w:color w:val="auto"/>
          <w:sz w:val="28"/>
          <w:szCs w:val="28"/>
          <w:highlight w:val="none"/>
        </w:rPr>
        <w:t>应在24小时内内予以响应，提出最佳解决方案；</w:t>
      </w:r>
    </w:p>
    <w:p>
      <w:pPr>
        <w:pStyle w:val="10"/>
        <w:numPr>
          <w:ilvl w:val="0"/>
          <w:numId w:val="2"/>
        </w:numPr>
        <w:spacing w:line="360" w:lineRule="auto"/>
        <w:ind w:firstLineChars="0"/>
        <w:jc w:val="left"/>
        <w:rPr>
          <w:rFonts w:hint="default"/>
          <w:lang w:val="en-US" w:eastAsia="zh-CN"/>
        </w:rPr>
      </w:pPr>
      <w:r>
        <w:rPr>
          <w:rFonts w:hint="eastAsia" w:ascii="仿宋" w:hAnsi="仿宋" w:eastAsia="仿宋"/>
          <w:color w:val="auto"/>
          <w:sz w:val="28"/>
          <w:szCs w:val="28"/>
          <w:highlight w:val="none"/>
        </w:rPr>
        <w:t>在</w:t>
      </w:r>
      <w:r>
        <w:rPr>
          <w:rFonts w:hint="eastAsia" w:ascii="仿宋" w:hAnsi="仿宋" w:eastAsia="仿宋"/>
          <w:color w:val="auto"/>
          <w:sz w:val="28"/>
          <w:szCs w:val="28"/>
          <w:highlight w:val="none"/>
          <w:lang w:val="en-US" w:eastAsia="zh-CN"/>
        </w:rPr>
        <w:t>谈判对象</w:t>
      </w:r>
      <w:r>
        <w:rPr>
          <w:rFonts w:hint="eastAsia" w:ascii="仿宋" w:hAnsi="仿宋" w:eastAsia="仿宋"/>
          <w:color w:val="auto"/>
          <w:sz w:val="28"/>
          <w:szCs w:val="28"/>
          <w:highlight w:val="none"/>
        </w:rPr>
        <w:t>进行相关的培训、技术交流等方面的活动时，如采购方有意愿参加时，优先安排参加，并在费用方面给予优惠</w:t>
      </w:r>
      <w:r>
        <w:rPr>
          <w:rFonts w:hint="eastAsia" w:asciiTheme="minorEastAsia" w:hAnsiTheme="minorEastAsia" w:eastAsiaTheme="minorEastAsia"/>
          <w:color w:val="auto"/>
          <w:sz w:val="24"/>
          <w:szCs w:val="32"/>
          <w:highlight w:val="none"/>
        </w:rPr>
        <w:t>。</w:t>
      </w:r>
    </w:p>
    <w:p>
      <w:pPr>
        <w:pStyle w:val="10"/>
        <w:widowControl w:val="0"/>
        <w:numPr>
          <w:ilvl w:val="0"/>
          <w:numId w:val="0"/>
        </w:numPr>
        <w:spacing w:line="360" w:lineRule="auto"/>
        <w:jc w:val="left"/>
        <w:rPr>
          <w:rFonts w:hint="eastAsia" w:asciiTheme="minorEastAsia" w:hAnsiTheme="minorEastAsia" w:eastAsiaTheme="minorEastAsia" w:cstheme="minorBidi"/>
          <w:b/>
          <w:bCs/>
          <w:color w:val="auto"/>
          <w:kern w:val="2"/>
          <w:sz w:val="28"/>
          <w:szCs w:val="32"/>
          <w:highlight w:val="none"/>
          <w:lang w:val="en-US" w:eastAsia="zh-CN" w:bidi="ar-SA"/>
        </w:rPr>
      </w:pPr>
      <w:r>
        <w:rPr>
          <w:rFonts w:hint="eastAsia" w:asciiTheme="minorEastAsia" w:hAnsiTheme="minorEastAsia" w:eastAsiaTheme="minorEastAsia" w:cstheme="minorBidi"/>
          <w:b/>
          <w:bCs/>
          <w:color w:val="auto"/>
          <w:kern w:val="2"/>
          <w:sz w:val="28"/>
          <w:szCs w:val="32"/>
          <w:highlight w:val="none"/>
          <w:lang w:val="en-US" w:eastAsia="zh-CN" w:bidi="ar-SA"/>
        </w:rPr>
        <w:t>8.供应商资格</w:t>
      </w:r>
    </w:p>
    <w:p>
      <w:pPr>
        <w:pageBreakBefore w:val="0"/>
        <w:numPr>
          <w:ilvl w:val="0"/>
          <w:numId w:val="0"/>
        </w:numPr>
        <w:kinsoku/>
        <w:wordWrap/>
        <w:overflowPunct/>
        <w:topLinePunct w:val="0"/>
        <w:autoSpaceDE/>
        <w:autoSpaceDN/>
        <w:bidi w:val="0"/>
        <w:adjustRightInd/>
        <w:snapToGrid/>
        <w:spacing w:line="560" w:lineRule="exact"/>
        <w:ind w:firstLine="560" w:firstLineChars="20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公司正常经营并具备相应资信能力（提供信用中国官网下载的近一个月企业信用报告）、相关项目业绩</w:t>
      </w:r>
      <w:bookmarkStart w:id="2" w:name="bdfhcw0"/>
      <w:r>
        <w:rPr>
          <w:rFonts w:hint="eastAsia" w:ascii="仿宋" w:hAnsi="仿宋" w:eastAsia="仿宋" w:cs="仿宋"/>
          <w:color w:val="auto"/>
          <w:sz w:val="28"/>
          <w:szCs w:val="28"/>
          <w:highlight w:val="none"/>
          <w:lang w:eastAsia="zh-CN"/>
        </w:rPr>
        <w:t>（</w:t>
      </w:r>
      <w:bookmarkEnd w:id="2"/>
      <w:r>
        <w:rPr>
          <w:rFonts w:hint="eastAsia" w:ascii="仿宋" w:hAnsi="仿宋" w:eastAsia="仿宋" w:cs="仿宋"/>
          <w:color w:val="auto"/>
          <w:sz w:val="28"/>
          <w:szCs w:val="28"/>
          <w:highlight w:val="none"/>
          <w:lang w:eastAsia="zh-CN"/>
        </w:rPr>
        <w:t>提供报价截止日前36个月</w:t>
      </w:r>
      <w:r>
        <w:rPr>
          <w:rFonts w:hint="eastAsia" w:ascii="仿宋" w:hAnsi="仿宋" w:eastAsia="仿宋" w:cs="仿宋"/>
          <w:color w:val="auto"/>
          <w:sz w:val="28"/>
          <w:szCs w:val="28"/>
          <w:highlight w:val="none"/>
          <w:lang w:val="en-US" w:eastAsia="zh-CN"/>
        </w:rPr>
        <w:t>相关业务</w:t>
      </w:r>
      <w:r>
        <w:rPr>
          <w:rFonts w:hint="eastAsia" w:ascii="仿宋" w:hAnsi="仿宋" w:eastAsia="仿宋" w:cs="仿宋"/>
          <w:color w:val="auto"/>
          <w:sz w:val="28"/>
          <w:szCs w:val="28"/>
          <w:highlight w:val="none"/>
          <w:lang w:eastAsia="zh-CN"/>
        </w:rPr>
        <w:t>领域具有至少1项项目经验）。报价人需具备</w:t>
      </w:r>
      <w:r>
        <w:rPr>
          <w:rFonts w:hint="eastAsia" w:ascii="仿宋" w:hAnsi="仿宋" w:eastAsia="仿宋" w:cs="Times New Roman"/>
          <w:color w:val="auto"/>
          <w:kern w:val="2"/>
          <w:sz w:val="28"/>
          <w:szCs w:val="28"/>
          <w:highlight w:val="none"/>
          <w:lang w:val="en-US" w:eastAsia="zh-CN" w:bidi="ar-SA"/>
        </w:rPr>
        <w:t>ISO45001、ISO14001、ISO9001三标体系认证资格，提供相应证明资格材料。</w:t>
      </w:r>
    </w:p>
    <w:p>
      <w:pPr>
        <w:pageBreakBefore w:val="0"/>
        <w:numPr>
          <w:ilvl w:val="0"/>
          <w:numId w:val="0"/>
        </w:numPr>
        <w:kinsoku/>
        <w:wordWrap/>
        <w:overflowPunct/>
        <w:topLinePunct w:val="0"/>
        <w:autoSpaceDE/>
        <w:autoSpaceDN/>
        <w:bidi w:val="0"/>
        <w:adjustRightInd/>
        <w:snapToGrid/>
        <w:spacing w:line="56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派驻具备相应经验的稳定服务人员开展服务，</w:t>
      </w:r>
      <w:r>
        <w:rPr>
          <w:rFonts w:hint="eastAsia" w:ascii="仿宋" w:hAnsi="仿宋" w:eastAsia="仿宋" w:cs="仿宋"/>
          <w:color w:val="auto"/>
          <w:sz w:val="28"/>
          <w:szCs w:val="28"/>
          <w:highlight w:val="none"/>
          <w:lang w:val="en-US" w:eastAsia="zh-CN"/>
        </w:rPr>
        <w:t>至少包括项目负责人一名，</w:t>
      </w:r>
      <w:r>
        <w:rPr>
          <w:rFonts w:hint="eastAsia" w:ascii="仿宋" w:hAnsi="仿宋" w:eastAsia="仿宋" w:cs="仿宋"/>
          <w:color w:val="auto"/>
          <w:kern w:val="2"/>
          <w:sz w:val="28"/>
          <w:szCs w:val="28"/>
          <w:highlight w:val="none"/>
          <w:lang w:bidi="ar"/>
        </w:rPr>
        <w:t>项目组成员（项目负责人除外）</w:t>
      </w:r>
      <w:r>
        <w:rPr>
          <w:rFonts w:hint="eastAsia" w:ascii="仿宋" w:hAnsi="仿宋" w:eastAsia="仿宋" w:cs="仿宋"/>
          <w:color w:val="auto"/>
          <w:kern w:val="2"/>
          <w:sz w:val="28"/>
          <w:szCs w:val="28"/>
          <w:highlight w:val="none"/>
          <w:lang w:eastAsia="zh-CN" w:bidi="ar"/>
        </w:rPr>
        <w:t>至少包括一名人员。</w:t>
      </w:r>
      <w:r>
        <w:rPr>
          <w:rFonts w:hint="eastAsia" w:ascii="仿宋" w:hAnsi="仿宋" w:eastAsia="仿宋" w:cs="仿宋"/>
          <w:color w:val="auto"/>
          <w:sz w:val="28"/>
          <w:szCs w:val="28"/>
          <w:highlight w:val="none"/>
        </w:rPr>
        <w:t>并按照下列表格格式提供详细的人员配置表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提供可以证明人员业绩、资质的材料）</w:t>
      </w:r>
      <w:r>
        <w:rPr>
          <w:rFonts w:hint="eastAsia" w:ascii="仿宋" w:hAnsi="仿宋" w:eastAsia="仿宋" w:cs="仿宋"/>
          <w:color w:val="auto"/>
          <w:sz w:val="28"/>
          <w:szCs w:val="28"/>
          <w:highlight w:val="none"/>
        </w:rPr>
        <w:t>。</w:t>
      </w:r>
    </w:p>
    <w:tbl>
      <w:tblPr>
        <w:tblStyle w:val="8"/>
        <w:tblpPr w:leftFromText="180" w:rightFromText="180" w:vertAnchor="text" w:horzAnchor="page" w:tblpX="2010" w:tblpY="780"/>
        <w:tblOverlap w:val="never"/>
        <w:tblW w:w="8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5"/>
        <w:gridCol w:w="6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1905" w:type="dxa"/>
            <w:vMerge w:val="restart"/>
            <w:noWrap w:val="0"/>
            <w:vAlign w:val="center"/>
          </w:tcPr>
          <w:p>
            <w:pPr>
              <w:pageBreakBefore w:val="0"/>
              <w:kinsoku/>
              <w:wordWrap/>
              <w:overflowPunct/>
              <w:topLinePunct w:val="0"/>
              <w:autoSpaceDE/>
              <w:autoSpaceDN/>
              <w:bidi w:val="0"/>
              <w:spacing w:line="560" w:lineRule="exact"/>
              <w:jc w:val="center"/>
              <w:rPr>
                <w:rFonts w:hint="default" w:ascii="仿宋" w:hAnsi="仿宋" w:eastAsia="仿宋"/>
                <w:b/>
                <w:szCs w:val="21"/>
                <w:highlight w:val="none"/>
                <w:lang w:val="en-US" w:eastAsia="zh-CN"/>
              </w:rPr>
            </w:pPr>
            <w:r>
              <w:rPr>
                <w:rFonts w:hint="eastAsia" w:ascii="仿宋" w:hAnsi="仿宋" w:eastAsia="仿宋"/>
                <w:b/>
                <w:szCs w:val="21"/>
                <w:highlight w:val="none"/>
              </w:rPr>
              <w:t>姓名</w:t>
            </w:r>
            <w:r>
              <w:rPr>
                <w:rFonts w:hint="eastAsia" w:ascii="仿宋" w:hAnsi="仿宋" w:eastAsia="仿宋"/>
                <w:b/>
                <w:szCs w:val="21"/>
                <w:highlight w:val="none"/>
                <w:lang w:eastAsia="zh-CN"/>
              </w:rPr>
              <w:t>（</w:t>
            </w:r>
            <w:r>
              <w:rPr>
                <w:rFonts w:hint="eastAsia" w:ascii="仿宋" w:hAnsi="仿宋" w:eastAsia="仿宋"/>
                <w:b/>
                <w:szCs w:val="21"/>
                <w:highlight w:val="none"/>
                <w:lang w:val="en-US" w:eastAsia="zh-CN"/>
              </w:rPr>
              <w:t>项目角色）</w:t>
            </w:r>
          </w:p>
        </w:tc>
        <w:tc>
          <w:tcPr>
            <w:tcW w:w="6420" w:type="dxa"/>
            <w:vMerge w:val="restart"/>
            <w:noWrap w:val="0"/>
            <w:vAlign w:val="center"/>
          </w:tcPr>
          <w:p>
            <w:pPr>
              <w:pageBreakBefore w:val="0"/>
              <w:kinsoku/>
              <w:wordWrap/>
              <w:overflowPunct/>
              <w:topLinePunct w:val="0"/>
              <w:autoSpaceDE/>
              <w:autoSpaceDN/>
              <w:bidi w:val="0"/>
              <w:spacing w:line="560" w:lineRule="exact"/>
              <w:jc w:val="center"/>
              <w:rPr>
                <w:rFonts w:hint="eastAsia" w:ascii="仿宋" w:hAnsi="仿宋" w:eastAsia="仿宋"/>
                <w:b/>
                <w:szCs w:val="21"/>
                <w:highlight w:val="none"/>
              </w:rPr>
            </w:pPr>
            <w:r>
              <w:rPr>
                <w:rFonts w:hint="eastAsia" w:ascii="仿宋" w:hAnsi="仿宋" w:eastAsia="仿宋"/>
                <w:b/>
                <w:szCs w:val="21"/>
                <w:highlight w:val="none"/>
                <w:lang w:val="en-US" w:eastAsia="zh-CN"/>
              </w:rPr>
              <w:t>既往项目经验、资历和本</w:t>
            </w:r>
            <w:r>
              <w:rPr>
                <w:rFonts w:hint="eastAsia" w:ascii="仿宋" w:hAnsi="仿宋" w:eastAsia="仿宋"/>
                <w:b/>
                <w:szCs w:val="21"/>
                <w:highlight w:val="none"/>
              </w:rPr>
              <w:t>项目中的职责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1905" w:type="dxa"/>
            <w:vMerge w:val="continue"/>
            <w:noWrap w:val="0"/>
            <w:vAlign w:val="top"/>
          </w:tcPr>
          <w:p>
            <w:pPr>
              <w:pageBreakBefore w:val="0"/>
              <w:kinsoku/>
              <w:wordWrap/>
              <w:overflowPunct/>
              <w:topLinePunct w:val="0"/>
              <w:autoSpaceDE/>
              <w:autoSpaceDN/>
              <w:bidi w:val="0"/>
              <w:spacing w:line="560" w:lineRule="exact"/>
              <w:ind w:left="0" w:right="0"/>
              <w:jc w:val="center"/>
              <w:rPr>
                <w:rFonts w:hint="eastAsia" w:ascii="仿宋" w:hAnsi="仿宋" w:eastAsia="仿宋" w:cs="Arial"/>
                <w:color w:val="000000"/>
                <w:szCs w:val="21"/>
                <w:highlight w:val="none"/>
              </w:rPr>
            </w:pPr>
          </w:p>
        </w:tc>
        <w:tc>
          <w:tcPr>
            <w:tcW w:w="6420" w:type="dxa"/>
            <w:vMerge w:val="continue"/>
            <w:noWrap w:val="0"/>
            <w:vAlign w:val="top"/>
          </w:tcPr>
          <w:p>
            <w:pPr>
              <w:pageBreakBefore w:val="0"/>
              <w:kinsoku/>
              <w:wordWrap/>
              <w:overflowPunct/>
              <w:topLinePunct w:val="0"/>
              <w:autoSpaceDE/>
              <w:autoSpaceDN/>
              <w:bidi w:val="0"/>
              <w:spacing w:line="560" w:lineRule="exact"/>
              <w:ind w:left="0" w:right="0"/>
              <w:jc w:val="center"/>
              <w:rPr>
                <w:rFonts w:hint="eastAsia" w:ascii="仿宋" w:hAnsi="仿宋" w:eastAsia="仿宋" w:cs="Arial"/>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top"/>
          </w:tcPr>
          <w:p>
            <w:pPr>
              <w:pageBreakBefore w:val="0"/>
              <w:kinsoku/>
              <w:wordWrap/>
              <w:overflowPunct/>
              <w:topLinePunct w:val="0"/>
              <w:autoSpaceDE/>
              <w:autoSpaceDN/>
              <w:bidi w:val="0"/>
              <w:spacing w:line="560" w:lineRule="exact"/>
              <w:ind w:left="0" w:right="0"/>
              <w:jc w:val="center"/>
              <w:rPr>
                <w:rFonts w:hint="eastAsia" w:ascii="仿宋" w:hAnsi="仿宋" w:eastAsia="仿宋" w:cs="Arial"/>
                <w:color w:val="000000"/>
                <w:szCs w:val="21"/>
                <w:highlight w:val="none"/>
              </w:rPr>
            </w:pPr>
          </w:p>
        </w:tc>
        <w:tc>
          <w:tcPr>
            <w:tcW w:w="6420" w:type="dxa"/>
            <w:noWrap w:val="0"/>
            <w:vAlign w:val="top"/>
          </w:tcPr>
          <w:p>
            <w:pPr>
              <w:pageBreakBefore w:val="0"/>
              <w:kinsoku/>
              <w:wordWrap/>
              <w:overflowPunct/>
              <w:topLinePunct w:val="0"/>
              <w:autoSpaceDE/>
              <w:autoSpaceDN/>
              <w:bidi w:val="0"/>
              <w:spacing w:line="560" w:lineRule="exact"/>
              <w:ind w:left="0" w:right="0"/>
              <w:jc w:val="center"/>
              <w:rPr>
                <w:rFonts w:hint="eastAsia" w:ascii="仿宋" w:hAnsi="仿宋" w:eastAsia="仿宋" w:cs="Arial"/>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top"/>
          </w:tcPr>
          <w:p>
            <w:pPr>
              <w:pageBreakBefore w:val="0"/>
              <w:kinsoku/>
              <w:wordWrap/>
              <w:overflowPunct/>
              <w:topLinePunct w:val="0"/>
              <w:autoSpaceDE/>
              <w:autoSpaceDN/>
              <w:bidi w:val="0"/>
              <w:spacing w:line="560" w:lineRule="exact"/>
              <w:ind w:left="0" w:right="0"/>
              <w:jc w:val="center"/>
              <w:rPr>
                <w:rFonts w:hint="eastAsia" w:ascii="仿宋" w:hAnsi="仿宋" w:eastAsia="仿宋" w:cs="Arial"/>
                <w:color w:val="000000"/>
                <w:szCs w:val="21"/>
                <w:highlight w:val="none"/>
              </w:rPr>
            </w:pPr>
          </w:p>
        </w:tc>
        <w:tc>
          <w:tcPr>
            <w:tcW w:w="6420" w:type="dxa"/>
            <w:noWrap w:val="0"/>
            <w:vAlign w:val="top"/>
          </w:tcPr>
          <w:p>
            <w:pPr>
              <w:pageBreakBefore w:val="0"/>
              <w:kinsoku/>
              <w:wordWrap/>
              <w:overflowPunct/>
              <w:topLinePunct w:val="0"/>
              <w:autoSpaceDE/>
              <w:autoSpaceDN/>
              <w:bidi w:val="0"/>
              <w:spacing w:line="560" w:lineRule="exact"/>
              <w:ind w:left="0" w:right="0"/>
              <w:jc w:val="center"/>
              <w:rPr>
                <w:rFonts w:hint="eastAsia" w:ascii="仿宋" w:hAnsi="仿宋" w:eastAsia="仿宋" w:cs="Arial"/>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top"/>
          </w:tcPr>
          <w:p>
            <w:pPr>
              <w:pageBreakBefore w:val="0"/>
              <w:kinsoku/>
              <w:wordWrap/>
              <w:overflowPunct/>
              <w:topLinePunct w:val="0"/>
              <w:autoSpaceDE/>
              <w:autoSpaceDN/>
              <w:bidi w:val="0"/>
              <w:spacing w:line="560" w:lineRule="exact"/>
              <w:ind w:left="0" w:right="0"/>
              <w:jc w:val="center"/>
              <w:rPr>
                <w:rFonts w:hint="eastAsia" w:ascii="仿宋" w:hAnsi="仿宋" w:eastAsia="仿宋" w:cs="Arial"/>
                <w:color w:val="000000"/>
                <w:szCs w:val="21"/>
                <w:highlight w:val="none"/>
              </w:rPr>
            </w:pPr>
          </w:p>
        </w:tc>
        <w:tc>
          <w:tcPr>
            <w:tcW w:w="6420" w:type="dxa"/>
            <w:noWrap w:val="0"/>
            <w:vAlign w:val="top"/>
          </w:tcPr>
          <w:p>
            <w:pPr>
              <w:pageBreakBefore w:val="0"/>
              <w:kinsoku/>
              <w:wordWrap/>
              <w:overflowPunct/>
              <w:topLinePunct w:val="0"/>
              <w:autoSpaceDE/>
              <w:autoSpaceDN/>
              <w:bidi w:val="0"/>
              <w:spacing w:line="560" w:lineRule="exact"/>
              <w:ind w:left="0" w:right="0"/>
              <w:jc w:val="center"/>
              <w:rPr>
                <w:rFonts w:hint="eastAsia" w:ascii="仿宋" w:hAnsi="仿宋" w:eastAsia="仿宋" w:cs="Arial"/>
                <w:color w:val="000000"/>
                <w:szCs w:val="21"/>
                <w:highlight w:val="none"/>
              </w:rPr>
            </w:pPr>
          </w:p>
        </w:tc>
      </w:tr>
    </w:tbl>
    <w:p>
      <w:pPr>
        <w:pStyle w:val="2"/>
        <w:ind w:left="0" w:leftChars="0" w:firstLine="0" w:firstLineChars="0"/>
        <w:rPr>
          <w:rFonts w:hint="eastAsia"/>
        </w:rPr>
      </w:pPr>
    </w:p>
    <w:p>
      <w:pPr>
        <w:pStyle w:val="4"/>
        <w:adjustRightInd w:val="0"/>
        <w:spacing w:beforeLines="50" w:afterLines="50"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9.</w:t>
      </w:r>
      <w:r>
        <w:rPr>
          <w:rFonts w:hint="eastAsia" w:asciiTheme="minorEastAsia" w:hAnsiTheme="minorEastAsia" w:eastAsiaTheme="minorEastAsia"/>
          <w:color w:val="auto"/>
          <w:sz w:val="28"/>
          <w:szCs w:val="28"/>
          <w:highlight w:val="none"/>
        </w:rPr>
        <w:t>其他要求</w:t>
      </w:r>
    </w:p>
    <w:p>
      <w:pPr>
        <w:pStyle w:val="6"/>
        <w:adjustRightInd w:val="0"/>
        <w:spacing w:beforeLines="50" w:afterLines="5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9</w:t>
      </w:r>
      <w:r>
        <w:rPr>
          <w:rFonts w:hint="eastAsia" w:asciiTheme="minorEastAsia" w:hAnsiTheme="minorEastAsia"/>
          <w:color w:val="auto"/>
          <w:sz w:val="28"/>
          <w:highlight w:val="none"/>
        </w:rPr>
        <w:t>.1保障性要求</w:t>
      </w:r>
    </w:p>
    <w:p>
      <w:pPr>
        <w:pStyle w:val="10"/>
        <w:numPr>
          <w:ilvl w:val="0"/>
          <w:numId w:val="0"/>
        </w:numPr>
        <w:spacing w:line="360" w:lineRule="auto"/>
        <w:ind w:firstLine="560" w:firstLineChars="200"/>
        <w:jc w:val="left"/>
        <w:rPr>
          <w:rFonts w:ascii="仿宋" w:hAnsi="仿宋" w:eastAsia="仿宋"/>
          <w:color w:val="auto"/>
          <w:sz w:val="28"/>
          <w:szCs w:val="32"/>
          <w:highlight w:val="none"/>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1</w:t>
      </w: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rPr>
        <w:t>整个咨询评估项目按照项目管理进行。</w:t>
      </w: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32"/>
          <w:highlight w:val="none"/>
        </w:rPr>
        <w:t>的实施方案与工作计划需得到双方的一致认可。</w:t>
      </w:r>
    </w:p>
    <w:p>
      <w:pPr>
        <w:pStyle w:val="10"/>
        <w:numPr>
          <w:ilvl w:val="0"/>
          <w:numId w:val="0"/>
        </w:numPr>
        <w:spacing w:line="360" w:lineRule="auto"/>
        <w:ind w:firstLine="560" w:firstLineChars="200"/>
        <w:jc w:val="left"/>
        <w:rPr>
          <w:rFonts w:asciiTheme="minorEastAsia" w:hAnsiTheme="minorEastAsia"/>
          <w:color w:val="auto"/>
          <w:sz w:val="28"/>
          <w:highlight w:val="none"/>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2</w:t>
      </w:r>
      <w:r>
        <w:rPr>
          <w:rFonts w:hint="eastAsia" w:ascii="仿宋" w:hAnsi="仿宋" w:eastAsia="仿宋"/>
          <w:color w:val="auto"/>
          <w:sz w:val="28"/>
          <w:szCs w:val="32"/>
          <w:highlight w:val="none"/>
          <w:lang w:eastAsia="zh-CN"/>
        </w:rPr>
        <w:t>）服务商</w:t>
      </w:r>
      <w:r>
        <w:rPr>
          <w:rFonts w:hint="eastAsia" w:ascii="仿宋" w:hAnsi="仿宋" w:eastAsia="仿宋"/>
          <w:color w:val="auto"/>
          <w:sz w:val="28"/>
          <w:szCs w:val="32"/>
          <w:highlight w:val="none"/>
        </w:rPr>
        <w:t>在项目实施过程中，未经允许不能擅自更换咨询师。若咨询师能力未能满足工作要求或者工作态度不端正，采购方有权向</w:t>
      </w:r>
      <w:r>
        <w:rPr>
          <w:rFonts w:hint="eastAsia" w:ascii="仿宋" w:hAnsi="仿宋" w:eastAsia="仿宋"/>
          <w:color w:val="auto"/>
          <w:sz w:val="28"/>
          <w:szCs w:val="32"/>
          <w:highlight w:val="none"/>
          <w:lang w:eastAsia="zh-CN"/>
        </w:rPr>
        <w:t>服务商</w:t>
      </w:r>
      <w:r>
        <w:rPr>
          <w:rFonts w:hint="eastAsia" w:ascii="仿宋" w:hAnsi="仿宋" w:eastAsia="仿宋"/>
          <w:color w:val="auto"/>
          <w:sz w:val="28"/>
          <w:szCs w:val="32"/>
          <w:highlight w:val="none"/>
        </w:rPr>
        <w:t>提出更换咨询师的要求。</w:t>
      </w:r>
    </w:p>
    <w:p>
      <w:pPr>
        <w:pStyle w:val="6"/>
        <w:adjustRightInd w:val="0"/>
        <w:spacing w:beforeLines="50" w:afterLines="50" w:line="360" w:lineRule="auto"/>
        <w:rPr>
          <w:rFonts w:hint="eastAsia" w:asciiTheme="minorEastAsia" w:hAnsiTheme="minorEastAsia"/>
          <w:color w:val="auto"/>
          <w:sz w:val="28"/>
          <w:highlight w:val="none"/>
          <w:lang w:val="en-US" w:eastAsia="zh-CN"/>
        </w:rPr>
      </w:pPr>
      <w:r>
        <w:rPr>
          <w:rFonts w:hint="eastAsia" w:asciiTheme="minorEastAsia" w:hAnsiTheme="minorEastAsia"/>
          <w:color w:val="auto"/>
          <w:sz w:val="28"/>
          <w:highlight w:val="none"/>
          <w:lang w:val="en-US" w:eastAsia="zh-CN"/>
        </w:rPr>
        <w:t>9.2安全要求</w:t>
      </w:r>
    </w:p>
    <w:p>
      <w:pPr>
        <w:spacing w:line="360" w:lineRule="auto"/>
        <w:ind w:firstLine="560" w:firstLineChars="200"/>
        <w:jc w:val="left"/>
        <w:rPr>
          <w:rFonts w:ascii="仿宋" w:hAnsi="仿宋" w:eastAsia="仿宋"/>
          <w:color w:val="auto"/>
          <w:sz w:val="28"/>
          <w:szCs w:val="32"/>
          <w:highlight w:val="none"/>
        </w:rPr>
      </w:pPr>
      <w:r>
        <w:rPr>
          <w:rFonts w:hint="eastAsia" w:ascii="仿宋" w:hAnsi="仿宋" w:eastAsia="仿宋"/>
          <w:color w:val="auto"/>
          <w:sz w:val="28"/>
          <w:szCs w:val="32"/>
          <w:highlight w:val="none"/>
        </w:rPr>
        <w:t>双方不得</w:t>
      </w:r>
      <w:r>
        <w:rPr>
          <w:rFonts w:ascii="仿宋" w:hAnsi="仿宋" w:eastAsia="仿宋"/>
          <w:color w:val="auto"/>
          <w:sz w:val="28"/>
          <w:szCs w:val="32"/>
          <w:highlight w:val="none"/>
        </w:rPr>
        <w:t>向第三方泄露任何机密信息。双方应采取合理安全措施, 至少采取能确保其自身机密信息的保密措施。</w:t>
      </w:r>
      <w:r>
        <w:rPr>
          <w:rFonts w:hint="eastAsia" w:ascii="仿宋" w:hAnsi="仿宋" w:eastAsia="仿宋"/>
          <w:color w:val="auto"/>
          <w:sz w:val="28"/>
          <w:szCs w:val="32"/>
          <w:highlight w:val="none"/>
        </w:rPr>
        <w:t>双方</w:t>
      </w:r>
      <w:r>
        <w:rPr>
          <w:rFonts w:ascii="仿宋" w:hAnsi="仿宋" w:eastAsia="仿宋"/>
          <w:color w:val="auto"/>
          <w:sz w:val="28"/>
          <w:szCs w:val="32"/>
          <w:highlight w:val="none"/>
        </w:rPr>
        <w:t>只能向必须了解机密信息的员工透露机密信息。双方应与这些员工签订或达成协议，</w:t>
      </w:r>
      <w:r>
        <w:rPr>
          <w:rFonts w:hint="eastAsia" w:ascii="仿宋" w:hAnsi="仿宋" w:eastAsia="仿宋"/>
          <w:color w:val="auto"/>
          <w:sz w:val="28"/>
          <w:szCs w:val="32"/>
          <w:highlight w:val="none"/>
        </w:rPr>
        <w:t>公司保密</w:t>
      </w:r>
      <w:r>
        <w:rPr>
          <w:rFonts w:ascii="仿宋" w:hAnsi="仿宋" w:eastAsia="仿宋"/>
          <w:color w:val="auto"/>
          <w:sz w:val="28"/>
          <w:szCs w:val="32"/>
          <w:highlight w:val="none"/>
        </w:rPr>
        <w:t>信息包括，但不限于：</w:t>
      </w:r>
    </w:p>
    <w:p>
      <w:pPr>
        <w:pStyle w:val="10"/>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1</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产品技术资料</w:t>
      </w:r>
      <w:r>
        <w:rPr>
          <w:rFonts w:hint="eastAsia" w:ascii="仿宋" w:hAnsi="仿宋" w:eastAsia="仿宋"/>
          <w:color w:val="auto"/>
          <w:sz w:val="28"/>
          <w:szCs w:val="32"/>
          <w:highlight w:val="none"/>
          <w:lang w:eastAsia="zh-CN"/>
        </w:rPr>
        <w:t>；</w:t>
      </w:r>
    </w:p>
    <w:p>
      <w:pPr>
        <w:pStyle w:val="10"/>
        <w:numPr>
          <w:ilvl w:val="0"/>
          <w:numId w:val="0"/>
        </w:numPr>
        <w:spacing w:line="360" w:lineRule="auto"/>
        <w:ind w:firstLine="560" w:firstLineChars="20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2</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经营举措</w:t>
      </w:r>
      <w:r>
        <w:rPr>
          <w:rFonts w:hint="eastAsia" w:ascii="仿宋" w:hAnsi="仿宋" w:eastAsia="仿宋"/>
          <w:color w:val="auto"/>
          <w:sz w:val="28"/>
          <w:szCs w:val="32"/>
          <w:highlight w:val="none"/>
          <w:lang w:eastAsia="zh-CN"/>
        </w:rPr>
        <w:t>；</w:t>
      </w:r>
    </w:p>
    <w:p>
      <w:pPr>
        <w:pStyle w:val="10"/>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3</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未来发展计划</w:t>
      </w:r>
      <w:r>
        <w:rPr>
          <w:rFonts w:hint="eastAsia" w:ascii="仿宋" w:hAnsi="仿宋" w:eastAsia="仿宋"/>
          <w:color w:val="auto"/>
          <w:sz w:val="28"/>
          <w:szCs w:val="32"/>
          <w:highlight w:val="none"/>
          <w:lang w:eastAsia="zh-CN"/>
        </w:rPr>
        <w:t>；</w:t>
      </w:r>
    </w:p>
    <w:p>
      <w:pPr>
        <w:pStyle w:val="10"/>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4</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客户资料</w:t>
      </w:r>
      <w:r>
        <w:rPr>
          <w:rFonts w:hint="eastAsia" w:ascii="仿宋" w:hAnsi="仿宋" w:eastAsia="仿宋"/>
          <w:color w:val="auto"/>
          <w:sz w:val="28"/>
          <w:szCs w:val="32"/>
          <w:highlight w:val="none"/>
          <w:lang w:eastAsia="zh-CN"/>
        </w:rPr>
        <w:t>；</w:t>
      </w:r>
    </w:p>
    <w:p>
      <w:pPr>
        <w:pStyle w:val="10"/>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5</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财务资料</w:t>
      </w:r>
      <w:r>
        <w:rPr>
          <w:rFonts w:hint="eastAsia" w:ascii="仿宋" w:hAnsi="仿宋" w:eastAsia="仿宋"/>
          <w:color w:val="auto"/>
          <w:sz w:val="28"/>
          <w:szCs w:val="32"/>
          <w:highlight w:val="none"/>
          <w:lang w:eastAsia="zh-CN"/>
        </w:rPr>
        <w:t>；</w:t>
      </w:r>
    </w:p>
    <w:p>
      <w:pPr>
        <w:pStyle w:val="10"/>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6</w:t>
      </w:r>
      <w:r>
        <w:rPr>
          <w:rFonts w:hint="eastAsia" w:ascii="仿宋" w:hAnsi="仿宋" w:eastAsia="仿宋"/>
          <w:color w:val="auto"/>
          <w:sz w:val="28"/>
          <w:szCs w:val="32"/>
          <w:highlight w:val="none"/>
          <w:lang w:eastAsia="zh-CN"/>
        </w:rPr>
        <w:t>）</w:t>
      </w:r>
      <w:bookmarkStart w:id="3" w:name="_GoBack"/>
      <w:bookmarkEnd w:id="3"/>
      <w:r>
        <w:rPr>
          <w:rFonts w:ascii="仿宋" w:hAnsi="仿宋" w:eastAsia="仿宋"/>
          <w:color w:val="auto"/>
          <w:sz w:val="28"/>
          <w:szCs w:val="32"/>
          <w:highlight w:val="none"/>
        </w:rPr>
        <w:t>体系文件及内部规章制度等文件</w:t>
      </w:r>
      <w:r>
        <w:rPr>
          <w:rFonts w:hint="eastAsia" w:ascii="仿宋" w:hAnsi="仿宋" w:eastAsia="仿宋"/>
          <w:color w:val="auto"/>
          <w:sz w:val="28"/>
          <w:szCs w:val="32"/>
          <w:highlight w:val="none"/>
          <w:lang w:eastAsia="zh-CN"/>
        </w:rPr>
        <w:t>；</w:t>
      </w:r>
    </w:p>
    <w:p>
      <w:pPr>
        <w:pStyle w:val="10"/>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7</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经营活动中所涉及到的其他商业秘密</w:t>
      </w:r>
      <w:r>
        <w:rPr>
          <w:rFonts w:hint="eastAsia" w:ascii="仿宋" w:hAnsi="仿宋" w:eastAsia="仿宋"/>
          <w:color w:val="auto"/>
          <w:sz w:val="28"/>
          <w:szCs w:val="32"/>
          <w:highlight w:val="none"/>
          <w:lang w:eastAsia="zh-CN"/>
        </w:rPr>
        <w:t>；</w:t>
      </w:r>
    </w:p>
    <w:p>
      <w:pPr>
        <w:pStyle w:val="10"/>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8</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双方的访谈记录</w:t>
      </w:r>
      <w:r>
        <w:rPr>
          <w:rFonts w:hint="eastAsia" w:ascii="仿宋" w:hAnsi="仿宋" w:eastAsia="仿宋"/>
          <w:color w:val="auto"/>
          <w:sz w:val="28"/>
          <w:szCs w:val="32"/>
          <w:highlight w:val="none"/>
          <w:lang w:eastAsia="zh-CN"/>
        </w:rPr>
        <w:t>；</w:t>
      </w:r>
    </w:p>
    <w:p>
      <w:pPr>
        <w:pStyle w:val="10"/>
        <w:numPr>
          <w:ilvl w:val="0"/>
          <w:numId w:val="0"/>
        </w:numPr>
        <w:spacing w:line="360" w:lineRule="auto"/>
        <w:ind w:left="480" w:leftChars="0"/>
        <w:jc w:val="left"/>
        <w:rPr>
          <w:rFonts w:hint="eastAsia" w:ascii="仿宋" w:hAnsi="仿宋" w:eastAsia="仿宋"/>
          <w:color w:val="auto"/>
          <w:sz w:val="28"/>
          <w:szCs w:val="32"/>
          <w:highlight w:val="none"/>
          <w:lang w:val="en-US"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9</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包括公司获取并有义务保密的信息，和被认为机密的口头信息</w:t>
      </w:r>
      <w:r>
        <w:rPr>
          <w:rFonts w:hint="eastAsia" w:ascii="仿宋" w:hAnsi="仿宋" w:eastAsia="仿宋"/>
          <w:color w:val="auto"/>
          <w:sz w:val="28"/>
          <w:szCs w:val="32"/>
          <w:highlight w:val="none"/>
          <w:lang w:eastAsia="zh-CN"/>
        </w:rPr>
        <w:t>。</w:t>
      </w:r>
    </w:p>
    <w:p>
      <w:pPr>
        <w:rPr>
          <w:color w:val="auto"/>
          <w:highlight w:val="none"/>
        </w:rPr>
      </w:pPr>
    </w:p>
    <w:p>
      <w:pPr>
        <w:pStyle w:val="6"/>
        <w:adjustRightInd w:val="0"/>
        <w:spacing w:beforeLines="50" w:afterLines="50" w:line="360" w:lineRule="auto"/>
        <w:rPr>
          <w:rFonts w:hint="eastAsia" w:asciiTheme="minorEastAsia" w:hAnsiTheme="minorEastAsia"/>
          <w:color w:val="auto"/>
          <w:sz w:val="28"/>
          <w:highlight w:val="none"/>
          <w:lang w:val="en-US" w:eastAsia="zh-CN"/>
        </w:rPr>
      </w:pPr>
      <w:r>
        <w:rPr>
          <w:rFonts w:hint="eastAsia" w:asciiTheme="minorEastAsia" w:hAnsiTheme="minorEastAsia"/>
          <w:color w:val="auto"/>
          <w:sz w:val="28"/>
          <w:highlight w:val="none"/>
          <w:lang w:val="en-US" w:eastAsia="zh-CN"/>
        </w:rPr>
        <w:t>10.报价要求</w:t>
      </w:r>
    </w:p>
    <w:p>
      <w:pPr>
        <w:ind w:firstLine="560" w:firstLineChars="20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本次采购服务包干报价，包含但不限于</w:t>
      </w:r>
      <w:r>
        <w:rPr>
          <w:rFonts w:hint="eastAsia" w:ascii="仿宋" w:hAnsi="仿宋" w:eastAsia="仿宋" w:cs="Times New Roman"/>
          <w:b w:val="0"/>
          <w:bCs w:val="0"/>
          <w:color w:val="auto"/>
          <w:kern w:val="2"/>
          <w:sz w:val="28"/>
          <w:szCs w:val="28"/>
          <w:highlight w:val="none"/>
          <w:lang w:val="en-US" w:eastAsia="zh-CN" w:bidi="ar-SA"/>
        </w:rPr>
        <w:t>ISO45001、ISO14001、ISO9001</w:t>
      </w:r>
      <w:r>
        <w:rPr>
          <w:rFonts w:hint="eastAsia" w:ascii="仿宋" w:hAnsi="仿宋" w:eastAsia="仿宋" w:cs="Times New Roman"/>
          <w:color w:val="auto"/>
          <w:kern w:val="2"/>
          <w:sz w:val="28"/>
          <w:szCs w:val="28"/>
          <w:highlight w:val="none"/>
          <w:lang w:val="en-US" w:eastAsia="zh-CN" w:bidi="ar-SA"/>
        </w:rPr>
        <w:t>资质2024年监督审核咨询指导培训、审核以及审核老师差旅费、专家费等与该项目相关的所有费用。</w:t>
      </w:r>
    </w:p>
    <w:p>
      <w:pPr>
        <w:pStyle w:val="6"/>
        <w:numPr>
          <w:ilvl w:val="0"/>
          <w:numId w:val="0"/>
        </w:numPr>
        <w:adjustRightInd w:val="0"/>
        <w:spacing w:beforeLines="50" w:afterLines="50" w:line="360" w:lineRule="auto"/>
        <w:rPr>
          <w:rFonts w:hint="eastAsia" w:asciiTheme="minorEastAsia" w:hAnsiTheme="minorEastAsia"/>
          <w:color w:val="auto"/>
          <w:sz w:val="28"/>
          <w:highlight w:val="none"/>
          <w:lang w:val="en-US" w:eastAsia="zh-CN"/>
        </w:rPr>
      </w:pPr>
      <w:r>
        <w:rPr>
          <w:rFonts w:hint="eastAsia" w:asciiTheme="minorEastAsia" w:hAnsiTheme="minorEastAsia"/>
          <w:color w:val="auto"/>
          <w:sz w:val="28"/>
          <w:highlight w:val="none"/>
          <w:lang w:val="en-US" w:eastAsia="zh-CN"/>
        </w:rPr>
        <w:t>11.付款方式</w:t>
      </w:r>
    </w:p>
    <w:p>
      <w:pPr>
        <w:ind w:firstLine="560" w:firstLineChars="20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成交人在规定时限内使采购方通过</w:t>
      </w:r>
      <w:r>
        <w:rPr>
          <w:rFonts w:hint="eastAsia" w:ascii="仿宋" w:hAnsi="仿宋" w:eastAsia="仿宋" w:cs="Times New Roman"/>
          <w:b w:val="0"/>
          <w:bCs w:val="0"/>
          <w:color w:val="auto"/>
          <w:kern w:val="2"/>
          <w:sz w:val="28"/>
          <w:szCs w:val="28"/>
          <w:highlight w:val="none"/>
          <w:lang w:val="en-US" w:eastAsia="zh-CN" w:bidi="ar-SA"/>
        </w:rPr>
        <w:t>ISO45001、ISO14001、ISO9001</w:t>
      </w:r>
      <w:r>
        <w:rPr>
          <w:rFonts w:hint="eastAsia" w:ascii="仿宋" w:hAnsi="仿宋" w:eastAsia="仿宋" w:cs="Times New Roman"/>
          <w:color w:val="auto"/>
          <w:kern w:val="2"/>
          <w:sz w:val="28"/>
          <w:szCs w:val="28"/>
          <w:highlight w:val="none"/>
          <w:lang w:val="en-US" w:eastAsia="zh-CN" w:bidi="ar-SA"/>
        </w:rPr>
        <w:t>监督审核，证书持续有效，经采购方验收合格后成交人开具符合国家税务规定及采购方财务要求的发票，采购方于收到发票后30天内一次性支付合同总价款。</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E235E1"/>
    <w:multiLevelType w:val="multilevel"/>
    <w:tmpl w:val="20E235E1"/>
    <w:lvl w:ilvl="0" w:tentative="0">
      <w:start w:val="6"/>
      <w:numFmt w:val="decimal"/>
      <w:pStyle w:val="5"/>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
    <w:nsid w:val="24DE0D87"/>
    <w:multiLevelType w:val="multilevel"/>
    <w:tmpl w:val="24DE0D87"/>
    <w:lvl w:ilvl="0" w:tentative="0">
      <w:start w:val="1"/>
      <w:numFmt w:val="bullet"/>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EB150C"/>
    <w:rsid w:val="001950A3"/>
    <w:rsid w:val="001A2C7F"/>
    <w:rsid w:val="001F5456"/>
    <w:rsid w:val="00214171"/>
    <w:rsid w:val="0023488B"/>
    <w:rsid w:val="002B1F1D"/>
    <w:rsid w:val="00421C9F"/>
    <w:rsid w:val="00DF69A4"/>
    <w:rsid w:val="00E728E3"/>
    <w:rsid w:val="00F378D2"/>
    <w:rsid w:val="00FA70FA"/>
    <w:rsid w:val="01706452"/>
    <w:rsid w:val="018D5D1A"/>
    <w:rsid w:val="01B4697C"/>
    <w:rsid w:val="01BC341B"/>
    <w:rsid w:val="01DE35C5"/>
    <w:rsid w:val="01FA5195"/>
    <w:rsid w:val="02444D56"/>
    <w:rsid w:val="02947207"/>
    <w:rsid w:val="02A77201"/>
    <w:rsid w:val="02BD45BF"/>
    <w:rsid w:val="02D26529"/>
    <w:rsid w:val="02DD424C"/>
    <w:rsid w:val="02FD4B04"/>
    <w:rsid w:val="03092626"/>
    <w:rsid w:val="030A398E"/>
    <w:rsid w:val="033B006F"/>
    <w:rsid w:val="037209FE"/>
    <w:rsid w:val="03901670"/>
    <w:rsid w:val="03961DA5"/>
    <w:rsid w:val="03A03E25"/>
    <w:rsid w:val="03A558D6"/>
    <w:rsid w:val="03AF0897"/>
    <w:rsid w:val="03B63D62"/>
    <w:rsid w:val="03BA2015"/>
    <w:rsid w:val="03CC6C0D"/>
    <w:rsid w:val="041920D7"/>
    <w:rsid w:val="0427112E"/>
    <w:rsid w:val="046641D2"/>
    <w:rsid w:val="046F7112"/>
    <w:rsid w:val="049029C1"/>
    <w:rsid w:val="04943118"/>
    <w:rsid w:val="049D57BE"/>
    <w:rsid w:val="04AD625D"/>
    <w:rsid w:val="04C46EF2"/>
    <w:rsid w:val="04EA1D79"/>
    <w:rsid w:val="04ED2D8D"/>
    <w:rsid w:val="04F12241"/>
    <w:rsid w:val="05087241"/>
    <w:rsid w:val="05200F63"/>
    <w:rsid w:val="05274A7C"/>
    <w:rsid w:val="053C076E"/>
    <w:rsid w:val="05493256"/>
    <w:rsid w:val="0556631C"/>
    <w:rsid w:val="056A2EC5"/>
    <w:rsid w:val="05A01502"/>
    <w:rsid w:val="05E451BA"/>
    <w:rsid w:val="05F55C45"/>
    <w:rsid w:val="06005919"/>
    <w:rsid w:val="06182706"/>
    <w:rsid w:val="062022BC"/>
    <w:rsid w:val="06252235"/>
    <w:rsid w:val="062A0286"/>
    <w:rsid w:val="06425006"/>
    <w:rsid w:val="06472E01"/>
    <w:rsid w:val="06505547"/>
    <w:rsid w:val="0680582F"/>
    <w:rsid w:val="06827337"/>
    <w:rsid w:val="068F74FE"/>
    <w:rsid w:val="06B53217"/>
    <w:rsid w:val="06B63853"/>
    <w:rsid w:val="071E6184"/>
    <w:rsid w:val="07264597"/>
    <w:rsid w:val="07365FD3"/>
    <w:rsid w:val="073755F1"/>
    <w:rsid w:val="077310AC"/>
    <w:rsid w:val="07822517"/>
    <w:rsid w:val="07854257"/>
    <w:rsid w:val="078831A0"/>
    <w:rsid w:val="07BA75EE"/>
    <w:rsid w:val="07BD73FB"/>
    <w:rsid w:val="07CE3B40"/>
    <w:rsid w:val="07DA06D6"/>
    <w:rsid w:val="07E80FCF"/>
    <w:rsid w:val="0800350D"/>
    <w:rsid w:val="082753FE"/>
    <w:rsid w:val="082F53E9"/>
    <w:rsid w:val="08470DA2"/>
    <w:rsid w:val="08A0346A"/>
    <w:rsid w:val="08B75F3A"/>
    <w:rsid w:val="08C600B7"/>
    <w:rsid w:val="08CF59F9"/>
    <w:rsid w:val="08D936A0"/>
    <w:rsid w:val="08E67B39"/>
    <w:rsid w:val="08E857D5"/>
    <w:rsid w:val="091175DD"/>
    <w:rsid w:val="092733F9"/>
    <w:rsid w:val="092D7784"/>
    <w:rsid w:val="092F413B"/>
    <w:rsid w:val="093B4210"/>
    <w:rsid w:val="093D39D7"/>
    <w:rsid w:val="097E6986"/>
    <w:rsid w:val="09C94F0E"/>
    <w:rsid w:val="0A0C200B"/>
    <w:rsid w:val="0A327864"/>
    <w:rsid w:val="0A3D73AF"/>
    <w:rsid w:val="0A4E4FCE"/>
    <w:rsid w:val="0AA26546"/>
    <w:rsid w:val="0AF861B5"/>
    <w:rsid w:val="0B0B1A45"/>
    <w:rsid w:val="0B1F7092"/>
    <w:rsid w:val="0B523F3F"/>
    <w:rsid w:val="0B783139"/>
    <w:rsid w:val="0BB22FB1"/>
    <w:rsid w:val="0BBB78D5"/>
    <w:rsid w:val="0BC80D66"/>
    <w:rsid w:val="0C0342A2"/>
    <w:rsid w:val="0C1663D3"/>
    <w:rsid w:val="0C3C7933"/>
    <w:rsid w:val="0C587929"/>
    <w:rsid w:val="0C715AB4"/>
    <w:rsid w:val="0CB11144"/>
    <w:rsid w:val="0CEB0558"/>
    <w:rsid w:val="0CEE0DF7"/>
    <w:rsid w:val="0CF4336F"/>
    <w:rsid w:val="0D123F2E"/>
    <w:rsid w:val="0D1A12D4"/>
    <w:rsid w:val="0D42697A"/>
    <w:rsid w:val="0D484832"/>
    <w:rsid w:val="0D4B3A82"/>
    <w:rsid w:val="0D5220E1"/>
    <w:rsid w:val="0D544A16"/>
    <w:rsid w:val="0D5907DA"/>
    <w:rsid w:val="0D6B4548"/>
    <w:rsid w:val="0D76093A"/>
    <w:rsid w:val="0D876B02"/>
    <w:rsid w:val="0D8E770D"/>
    <w:rsid w:val="0D916E5A"/>
    <w:rsid w:val="0D9C1C87"/>
    <w:rsid w:val="0DA50969"/>
    <w:rsid w:val="0DAB0BD0"/>
    <w:rsid w:val="0DB93102"/>
    <w:rsid w:val="0DC014A7"/>
    <w:rsid w:val="0E177194"/>
    <w:rsid w:val="0E45050C"/>
    <w:rsid w:val="0E473956"/>
    <w:rsid w:val="0E5F04ED"/>
    <w:rsid w:val="0E904D1B"/>
    <w:rsid w:val="0EBA50B1"/>
    <w:rsid w:val="0EC11B5C"/>
    <w:rsid w:val="0F29068B"/>
    <w:rsid w:val="0F357EF5"/>
    <w:rsid w:val="0F407551"/>
    <w:rsid w:val="0F6A41DE"/>
    <w:rsid w:val="0F86540A"/>
    <w:rsid w:val="0F866972"/>
    <w:rsid w:val="0FA65557"/>
    <w:rsid w:val="0FDD65B4"/>
    <w:rsid w:val="0FF41F15"/>
    <w:rsid w:val="1016504B"/>
    <w:rsid w:val="102245BF"/>
    <w:rsid w:val="10305E4E"/>
    <w:rsid w:val="10341F58"/>
    <w:rsid w:val="10871E94"/>
    <w:rsid w:val="109A5B60"/>
    <w:rsid w:val="10D15E24"/>
    <w:rsid w:val="10D250E4"/>
    <w:rsid w:val="10F2701B"/>
    <w:rsid w:val="1105099F"/>
    <w:rsid w:val="11072199"/>
    <w:rsid w:val="112537FD"/>
    <w:rsid w:val="11362589"/>
    <w:rsid w:val="11500F20"/>
    <w:rsid w:val="116503E2"/>
    <w:rsid w:val="117F3CAE"/>
    <w:rsid w:val="118152D6"/>
    <w:rsid w:val="1188347C"/>
    <w:rsid w:val="11A630DE"/>
    <w:rsid w:val="11CD3EB8"/>
    <w:rsid w:val="11D211DA"/>
    <w:rsid w:val="11ED045A"/>
    <w:rsid w:val="12066939"/>
    <w:rsid w:val="120C32F1"/>
    <w:rsid w:val="12106219"/>
    <w:rsid w:val="121B2E5E"/>
    <w:rsid w:val="12454154"/>
    <w:rsid w:val="1252082E"/>
    <w:rsid w:val="125E0E12"/>
    <w:rsid w:val="126A1F94"/>
    <w:rsid w:val="12867E4B"/>
    <w:rsid w:val="12945C6E"/>
    <w:rsid w:val="12B00ECB"/>
    <w:rsid w:val="12CB3C38"/>
    <w:rsid w:val="12CB56A4"/>
    <w:rsid w:val="12FF7CB0"/>
    <w:rsid w:val="13260A46"/>
    <w:rsid w:val="133274BF"/>
    <w:rsid w:val="13461BD4"/>
    <w:rsid w:val="13563C56"/>
    <w:rsid w:val="13622B6E"/>
    <w:rsid w:val="13815A18"/>
    <w:rsid w:val="13A227C9"/>
    <w:rsid w:val="13A54EB3"/>
    <w:rsid w:val="13A92605"/>
    <w:rsid w:val="13B871D3"/>
    <w:rsid w:val="13BF7ED8"/>
    <w:rsid w:val="13CD47E0"/>
    <w:rsid w:val="13DC4371"/>
    <w:rsid w:val="13E446A6"/>
    <w:rsid w:val="13F3761E"/>
    <w:rsid w:val="13F5617A"/>
    <w:rsid w:val="13FA1D44"/>
    <w:rsid w:val="1401385E"/>
    <w:rsid w:val="140367C1"/>
    <w:rsid w:val="141768D2"/>
    <w:rsid w:val="141B4575"/>
    <w:rsid w:val="14363D90"/>
    <w:rsid w:val="146F14F4"/>
    <w:rsid w:val="148D5B29"/>
    <w:rsid w:val="14AF0F7B"/>
    <w:rsid w:val="14C1292C"/>
    <w:rsid w:val="14CA1F65"/>
    <w:rsid w:val="15227E5E"/>
    <w:rsid w:val="15392300"/>
    <w:rsid w:val="15610848"/>
    <w:rsid w:val="159B7ECD"/>
    <w:rsid w:val="15BF3F23"/>
    <w:rsid w:val="161101B8"/>
    <w:rsid w:val="161B44AE"/>
    <w:rsid w:val="1633472A"/>
    <w:rsid w:val="166D3368"/>
    <w:rsid w:val="16801905"/>
    <w:rsid w:val="16864DB3"/>
    <w:rsid w:val="16925F44"/>
    <w:rsid w:val="16B1505C"/>
    <w:rsid w:val="16D0631B"/>
    <w:rsid w:val="16F425FA"/>
    <w:rsid w:val="170A28A1"/>
    <w:rsid w:val="17177AED"/>
    <w:rsid w:val="17380A34"/>
    <w:rsid w:val="173D6048"/>
    <w:rsid w:val="17557724"/>
    <w:rsid w:val="17670628"/>
    <w:rsid w:val="17895DEE"/>
    <w:rsid w:val="179327B7"/>
    <w:rsid w:val="180E5A71"/>
    <w:rsid w:val="18651DA8"/>
    <w:rsid w:val="187A79CD"/>
    <w:rsid w:val="18A44ECB"/>
    <w:rsid w:val="18B27AFA"/>
    <w:rsid w:val="18BF5DD5"/>
    <w:rsid w:val="18D5496E"/>
    <w:rsid w:val="18E83026"/>
    <w:rsid w:val="18F63894"/>
    <w:rsid w:val="19167EB4"/>
    <w:rsid w:val="1919476B"/>
    <w:rsid w:val="193E3A2A"/>
    <w:rsid w:val="19910332"/>
    <w:rsid w:val="19C0458A"/>
    <w:rsid w:val="19C670D2"/>
    <w:rsid w:val="19CA344C"/>
    <w:rsid w:val="19E232F5"/>
    <w:rsid w:val="1A123BA6"/>
    <w:rsid w:val="1A592567"/>
    <w:rsid w:val="1A66501B"/>
    <w:rsid w:val="1A687185"/>
    <w:rsid w:val="1A802ADD"/>
    <w:rsid w:val="1A994D3F"/>
    <w:rsid w:val="1AA04ECD"/>
    <w:rsid w:val="1AC13DA5"/>
    <w:rsid w:val="1AD048E7"/>
    <w:rsid w:val="1AD9016A"/>
    <w:rsid w:val="1B062862"/>
    <w:rsid w:val="1B111BA1"/>
    <w:rsid w:val="1B234A15"/>
    <w:rsid w:val="1B2D2D56"/>
    <w:rsid w:val="1B2F13C1"/>
    <w:rsid w:val="1B4A159A"/>
    <w:rsid w:val="1B655E36"/>
    <w:rsid w:val="1B696F69"/>
    <w:rsid w:val="1B6C4CB0"/>
    <w:rsid w:val="1B6D5D4B"/>
    <w:rsid w:val="1B77586E"/>
    <w:rsid w:val="1BB137EA"/>
    <w:rsid w:val="1BB5727C"/>
    <w:rsid w:val="1C067EDA"/>
    <w:rsid w:val="1C0D7588"/>
    <w:rsid w:val="1C1F699A"/>
    <w:rsid w:val="1C2A606B"/>
    <w:rsid w:val="1C390ECC"/>
    <w:rsid w:val="1C4852AD"/>
    <w:rsid w:val="1C536D7D"/>
    <w:rsid w:val="1C6F4CA1"/>
    <w:rsid w:val="1C7D0B4A"/>
    <w:rsid w:val="1CB85698"/>
    <w:rsid w:val="1CD37E60"/>
    <w:rsid w:val="1CFA0ACE"/>
    <w:rsid w:val="1CFA6946"/>
    <w:rsid w:val="1D056942"/>
    <w:rsid w:val="1D0B34D4"/>
    <w:rsid w:val="1D14001F"/>
    <w:rsid w:val="1D224C60"/>
    <w:rsid w:val="1D24668D"/>
    <w:rsid w:val="1D5C434B"/>
    <w:rsid w:val="1D812B75"/>
    <w:rsid w:val="1D891B9C"/>
    <w:rsid w:val="1D8A423C"/>
    <w:rsid w:val="1D901250"/>
    <w:rsid w:val="1DA02095"/>
    <w:rsid w:val="1DAE2360"/>
    <w:rsid w:val="1DD2549F"/>
    <w:rsid w:val="1DE027A7"/>
    <w:rsid w:val="1E352C90"/>
    <w:rsid w:val="1E3A3FF1"/>
    <w:rsid w:val="1E4F0962"/>
    <w:rsid w:val="1E5F13DD"/>
    <w:rsid w:val="1EB909B4"/>
    <w:rsid w:val="1EDF128F"/>
    <w:rsid w:val="1EE9414B"/>
    <w:rsid w:val="1EED6D05"/>
    <w:rsid w:val="1F331525"/>
    <w:rsid w:val="1F3B47CC"/>
    <w:rsid w:val="1F3D6B9A"/>
    <w:rsid w:val="1F5E471B"/>
    <w:rsid w:val="1F5E55D1"/>
    <w:rsid w:val="1F65788A"/>
    <w:rsid w:val="1F8246BA"/>
    <w:rsid w:val="1F8D7E84"/>
    <w:rsid w:val="1FA454C4"/>
    <w:rsid w:val="1FAE208E"/>
    <w:rsid w:val="1FDB4E77"/>
    <w:rsid w:val="2005477B"/>
    <w:rsid w:val="2013155A"/>
    <w:rsid w:val="2017340A"/>
    <w:rsid w:val="201E530E"/>
    <w:rsid w:val="20592E0C"/>
    <w:rsid w:val="206874F9"/>
    <w:rsid w:val="20A54D2A"/>
    <w:rsid w:val="20C50D98"/>
    <w:rsid w:val="20D626CE"/>
    <w:rsid w:val="20FF78DC"/>
    <w:rsid w:val="2101758E"/>
    <w:rsid w:val="2102112C"/>
    <w:rsid w:val="21044AB7"/>
    <w:rsid w:val="211F357E"/>
    <w:rsid w:val="21614AB6"/>
    <w:rsid w:val="21642E0E"/>
    <w:rsid w:val="2176105C"/>
    <w:rsid w:val="21860939"/>
    <w:rsid w:val="21A70DFC"/>
    <w:rsid w:val="21A769FC"/>
    <w:rsid w:val="21C26A6B"/>
    <w:rsid w:val="21C319CF"/>
    <w:rsid w:val="21C8681D"/>
    <w:rsid w:val="21E22627"/>
    <w:rsid w:val="21EB347D"/>
    <w:rsid w:val="22103EBC"/>
    <w:rsid w:val="221646F7"/>
    <w:rsid w:val="2225331F"/>
    <w:rsid w:val="222A33DC"/>
    <w:rsid w:val="222C552C"/>
    <w:rsid w:val="224B547B"/>
    <w:rsid w:val="229B651B"/>
    <w:rsid w:val="229E770F"/>
    <w:rsid w:val="22BD198F"/>
    <w:rsid w:val="230015C5"/>
    <w:rsid w:val="23124624"/>
    <w:rsid w:val="2312759B"/>
    <w:rsid w:val="233350E5"/>
    <w:rsid w:val="23527E51"/>
    <w:rsid w:val="236A72FA"/>
    <w:rsid w:val="23954AAD"/>
    <w:rsid w:val="23977779"/>
    <w:rsid w:val="23992432"/>
    <w:rsid w:val="23DC14EB"/>
    <w:rsid w:val="23F17E23"/>
    <w:rsid w:val="23F202AD"/>
    <w:rsid w:val="23FD2D03"/>
    <w:rsid w:val="240A3927"/>
    <w:rsid w:val="241B3245"/>
    <w:rsid w:val="24232C09"/>
    <w:rsid w:val="24283C2F"/>
    <w:rsid w:val="24286D3E"/>
    <w:rsid w:val="24472878"/>
    <w:rsid w:val="245761F0"/>
    <w:rsid w:val="247F6AE9"/>
    <w:rsid w:val="24803C0F"/>
    <w:rsid w:val="24853415"/>
    <w:rsid w:val="248F0B6A"/>
    <w:rsid w:val="24914955"/>
    <w:rsid w:val="24A55BC6"/>
    <w:rsid w:val="24B156AB"/>
    <w:rsid w:val="24B9177E"/>
    <w:rsid w:val="24C81693"/>
    <w:rsid w:val="24F658B4"/>
    <w:rsid w:val="25042176"/>
    <w:rsid w:val="251A5F29"/>
    <w:rsid w:val="256C3A92"/>
    <w:rsid w:val="25824327"/>
    <w:rsid w:val="25982CE0"/>
    <w:rsid w:val="25AE1527"/>
    <w:rsid w:val="25B76308"/>
    <w:rsid w:val="25CA4714"/>
    <w:rsid w:val="25CF4046"/>
    <w:rsid w:val="25ED0AC6"/>
    <w:rsid w:val="25F63D5F"/>
    <w:rsid w:val="26592ECE"/>
    <w:rsid w:val="26884CC0"/>
    <w:rsid w:val="2696658F"/>
    <w:rsid w:val="26B1405D"/>
    <w:rsid w:val="26B45084"/>
    <w:rsid w:val="26BD483F"/>
    <w:rsid w:val="26CE4BBF"/>
    <w:rsid w:val="26DE20B2"/>
    <w:rsid w:val="26EE72C7"/>
    <w:rsid w:val="26F123EF"/>
    <w:rsid w:val="270569F2"/>
    <w:rsid w:val="27507927"/>
    <w:rsid w:val="275B1AB8"/>
    <w:rsid w:val="27805234"/>
    <w:rsid w:val="27BC2700"/>
    <w:rsid w:val="27BF5D0A"/>
    <w:rsid w:val="27C07F56"/>
    <w:rsid w:val="27C1462D"/>
    <w:rsid w:val="27CD558C"/>
    <w:rsid w:val="27E509A5"/>
    <w:rsid w:val="27EA52C8"/>
    <w:rsid w:val="27F11389"/>
    <w:rsid w:val="28414D06"/>
    <w:rsid w:val="284942C2"/>
    <w:rsid w:val="28742C70"/>
    <w:rsid w:val="28831BFA"/>
    <w:rsid w:val="28831E45"/>
    <w:rsid w:val="28A0614F"/>
    <w:rsid w:val="28AE0696"/>
    <w:rsid w:val="28AF09B8"/>
    <w:rsid w:val="28BC1531"/>
    <w:rsid w:val="29206656"/>
    <w:rsid w:val="296317CB"/>
    <w:rsid w:val="29AF578A"/>
    <w:rsid w:val="29B07543"/>
    <w:rsid w:val="29BB6733"/>
    <w:rsid w:val="29BC327F"/>
    <w:rsid w:val="29CA3456"/>
    <w:rsid w:val="29D25903"/>
    <w:rsid w:val="29EA4C72"/>
    <w:rsid w:val="29F5654D"/>
    <w:rsid w:val="2A1D73D9"/>
    <w:rsid w:val="2A5659EF"/>
    <w:rsid w:val="2A5903E5"/>
    <w:rsid w:val="2A656BBA"/>
    <w:rsid w:val="2A6B5678"/>
    <w:rsid w:val="2AA90DAA"/>
    <w:rsid w:val="2AAC2215"/>
    <w:rsid w:val="2AB76423"/>
    <w:rsid w:val="2ABE0E76"/>
    <w:rsid w:val="2AD527EB"/>
    <w:rsid w:val="2B4C0A9B"/>
    <w:rsid w:val="2B5E2793"/>
    <w:rsid w:val="2B653BD6"/>
    <w:rsid w:val="2B7018D3"/>
    <w:rsid w:val="2B9B53C5"/>
    <w:rsid w:val="2BDA750E"/>
    <w:rsid w:val="2BE71FF9"/>
    <w:rsid w:val="2BE75E88"/>
    <w:rsid w:val="2C0D6479"/>
    <w:rsid w:val="2C1868C2"/>
    <w:rsid w:val="2C264887"/>
    <w:rsid w:val="2C316433"/>
    <w:rsid w:val="2C3332AB"/>
    <w:rsid w:val="2C343A3F"/>
    <w:rsid w:val="2C580ECD"/>
    <w:rsid w:val="2C63231F"/>
    <w:rsid w:val="2C7508F2"/>
    <w:rsid w:val="2C8A08F2"/>
    <w:rsid w:val="2C995F6E"/>
    <w:rsid w:val="2CA4570D"/>
    <w:rsid w:val="2CAD3280"/>
    <w:rsid w:val="2CBA513A"/>
    <w:rsid w:val="2CC25B11"/>
    <w:rsid w:val="2CCF24E2"/>
    <w:rsid w:val="2CD4648C"/>
    <w:rsid w:val="2D013B8F"/>
    <w:rsid w:val="2D3B03DC"/>
    <w:rsid w:val="2D5476A2"/>
    <w:rsid w:val="2D702158"/>
    <w:rsid w:val="2D9C143F"/>
    <w:rsid w:val="2DA10FCE"/>
    <w:rsid w:val="2DA322FE"/>
    <w:rsid w:val="2DC800B0"/>
    <w:rsid w:val="2DCE0750"/>
    <w:rsid w:val="2DE432B2"/>
    <w:rsid w:val="2E333A14"/>
    <w:rsid w:val="2E5904FF"/>
    <w:rsid w:val="2E6815B4"/>
    <w:rsid w:val="2E7D6DD2"/>
    <w:rsid w:val="2EA55943"/>
    <w:rsid w:val="2EBD333B"/>
    <w:rsid w:val="2EE104CC"/>
    <w:rsid w:val="2EF00C74"/>
    <w:rsid w:val="2F2E6F67"/>
    <w:rsid w:val="2F32101B"/>
    <w:rsid w:val="2F653505"/>
    <w:rsid w:val="2F7D3308"/>
    <w:rsid w:val="2F894CB6"/>
    <w:rsid w:val="2F9402D9"/>
    <w:rsid w:val="2FBC583F"/>
    <w:rsid w:val="30042A74"/>
    <w:rsid w:val="301010B1"/>
    <w:rsid w:val="3048287A"/>
    <w:rsid w:val="304F5876"/>
    <w:rsid w:val="306271A5"/>
    <w:rsid w:val="308A5734"/>
    <w:rsid w:val="309A4ACE"/>
    <w:rsid w:val="30E253D3"/>
    <w:rsid w:val="311105CB"/>
    <w:rsid w:val="312C582A"/>
    <w:rsid w:val="31350A9D"/>
    <w:rsid w:val="3151745B"/>
    <w:rsid w:val="31530298"/>
    <w:rsid w:val="31585D30"/>
    <w:rsid w:val="31A008D0"/>
    <w:rsid w:val="31BF4864"/>
    <w:rsid w:val="31C67BAA"/>
    <w:rsid w:val="31CE0644"/>
    <w:rsid w:val="31E004B7"/>
    <w:rsid w:val="31E522F8"/>
    <w:rsid w:val="31EF13A0"/>
    <w:rsid w:val="322C4361"/>
    <w:rsid w:val="32433111"/>
    <w:rsid w:val="32613819"/>
    <w:rsid w:val="326E33D7"/>
    <w:rsid w:val="32AF780A"/>
    <w:rsid w:val="32BF53B2"/>
    <w:rsid w:val="32C90455"/>
    <w:rsid w:val="32ED383B"/>
    <w:rsid w:val="32FD7DE1"/>
    <w:rsid w:val="33133AE5"/>
    <w:rsid w:val="335E5C86"/>
    <w:rsid w:val="33910A43"/>
    <w:rsid w:val="33940155"/>
    <w:rsid w:val="33990161"/>
    <w:rsid w:val="339A1BB6"/>
    <w:rsid w:val="33D52F1F"/>
    <w:rsid w:val="33E1541A"/>
    <w:rsid w:val="33FE128F"/>
    <w:rsid w:val="341142E5"/>
    <w:rsid w:val="342564E6"/>
    <w:rsid w:val="34703118"/>
    <w:rsid w:val="347B0AD7"/>
    <w:rsid w:val="347B7741"/>
    <w:rsid w:val="348B6911"/>
    <w:rsid w:val="34953CBF"/>
    <w:rsid w:val="34A721FA"/>
    <w:rsid w:val="34AD3867"/>
    <w:rsid w:val="34C24DE1"/>
    <w:rsid w:val="34F174FB"/>
    <w:rsid w:val="34F37A7C"/>
    <w:rsid w:val="351C0ACD"/>
    <w:rsid w:val="352011C8"/>
    <w:rsid w:val="35260761"/>
    <w:rsid w:val="35294729"/>
    <w:rsid w:val="35750557"/>
    <w:rsid w:val="3583430A"/>
    <w:rsid w:val="359E6C2D"/>
    <w:rsid w:val="35A7227D"/>
    <w:rsid w:val="35AA262E"/>
    <w:rsid w:val="35AC0618"/>
    <w:rsid w:val="35B979C0"/>
    <w:rsid w:val="35BD6CBD"/>
    <w:rsid w:val="35BF4758"/>
    <w:rsid w:val="35D419C8"/>
    <w:rsid w:val="35DA3CD0"/>
    <w:rsid w:val="35E20F3C"/>
    <w:rsid w:val="35F001BC"/>
    <w:rsid w:val="35F37039"/>
    <w:rsid w:val="35F875DC"/>
    <w:rsid w:val="362D70F2"/>
    <w:rsid w:val="363A62ED"/>
    <w:rsid w:val="36522F0C"/>
    <w:rsid w:val="36655DCB"/>
    <w:rsid w:val="36694E42"/>
    <w:rsid w:val="366F4784"/>
    <w:rsid w:val="367175B0"/>
    <w:rsid w:val="369200FC"/>
    <w:rsid w:val="369D661E"/>
    <w:rsid w:val="36B2112A"/>
    <w:rsid w:val="36DA6C43"/>
    <w:rsid w:val="36EC1A34"/>
    <w:rsid w:val="374E1E6B"/>
    <w:rsid w:val="3758369D"/>
    <w:rsid w:val="376D68DD"/>
    <w:rsid w:val="37811DBD"/>
    <w:rsid w:val="37984D96"/>
    <w:rsid w:val="37BB77A9"/>
    <w:rsid w:val="37BC0EC3"/>
    <w:rsid w:val="37C02DA4"/>
    <w:rsid w:val="37CF6F31"/>
    <w:rsid w:val="3837703B"/>
    <w:rsid w:val="385B3C23"/>
    <w:rsid w:val="386B0EE5"/>
    <w:rsid w:val="3894683D"/>
    <w:rsid w:val="38B87E87"/>
    <w:rsid w:val="38C6396E"/>
    <w:rsid w:val="38C63B62"/>
    <w:rsid w:val="391408F4"/>
    <w:rsid w:val="394232FF"/>
    <w:rsid w:val="3946792E"/>
    <w:rsid w:val="394E0BDD"/>
    <w:rsid w:val="396807FD"/>
    <w:rsid w:val="39901D00"/>
    <w:rsid w:val="39A5612A"/>
    <w:rsid w:val="39B653FD"/>
    <w:rsid w:val="39E012C8"/>
    <w:rsid w:val="39E92E1D"/>
    <w:rsid w:val="39EC0A3A"/>
    <w:rsid w:val="39FA4979"/>
    <w:rsid w:val="39FA54A7"/>
    <w:rsid w:val="3A084694"/>
    <w:rsid w:val="3A204DB8"/>
    <w:rsid w:val="3A230975"/>
    <w:rsid w:val="3A264F42"/>
    <w:rsid w:val="3A2A650B"/>
    <w:rsid w:val="3A521B72"/>
    <w:rsid w:val="3A5E47A0"/>
    <w:rsid w:val="3A7048D9"/>
    <w:rsid w:val="3A803DCE"/>
    <w:rsid w:val="3A90735E"/>
    <w:rsid w:val="3AC32190"/>
    <w:rsid w:val="3AC73AE9"/>
    <w:rsid w:val="3AE225A7"/>
    <w:rsid w:val="3AEB150C"/>
    <w:rsid w:val="3B066FA6"/>
    <w:rsid w:val="3B5100D7"/>
    <w:rsid w:val="3B7440A0"/>
    <w:rsid w:val="3B982704"/>
    <w:rsid w:val="3BAD7D16"/>
    <w:rsid w:val="3BBE6F03"/>
    <w:rsid w:val="3BDF5CA7"/>
    <w:rsid w:val="3BE526DA"/>
    <w:rsid w:val="3BE974A1"/>
    <w:rsid w:val="3BFA33FD"/>
    <w:rsid w:val="3C3D4D3F"/>
    <w:rsid w:val="3C5D38FC"/>
    <w:rsid w:val="3C7B1581"/>
    <w:rsid w:val="3C804FEA"/>
    <w:rsid w:val="3C9F4DE1"/>
    <w:rsid w:val="3CB21A4F"/>
    <w:rsid w:val="3CD76C93"/>
    <w:rsid w:val="3CDA71E9"/>
    <w:rsid w:val="3CDC6980"/>
    <w:rsid w:val="3CF016C8"/>
    <w:rsid w:val="3D107D4A"/>
    <w:rsid w:val="3D1B6BC2"/>
    <w:rsid w:val="3D386290"/>
    <w:rsid w:val="3D623146"/>
    <w:rsid w:val="3D6A0255"/>
    <w:rsid w:val="3D6A125B"/>
    <w:rsid w:val="3D895DDC"/>
    <w:rsid w:val="3D9A2109"/>
    <w:rsid w:val="3DB228B8"/>
    <w:rsid w:val="3DC864EC"/>
    <w:rsid w:val="3DE115FC"/>
    <w:rsid w:val="3DE51306"/>
    <w:rsid w:val="3DF00992"/>
    <w:rsid w:val="3E203E3B"/>
    <w:rsid w:val="3E59218B"/>
    <w:rsid w:val="3E8E37FC"/>
    <w:rsid w:val="3EB27718"/>
    <w:rsid w:val="3EB938C6"/>
    <w:rsid w:val="3EBA0342"/>
    <w:rsid w:val="3ED835F1"/>
    <w:rsid w:val="3EFD6964"/>
    <w:rsid w:val="3F2B2ACF"/>
    <w:rsid w:val="3F42569D"/>
    <w:rsid w:val="3F432EFC"/>
    <w:rsid w:val="3F611BC6"/>
    <w:rsid w:val="3F67634F"/>
    <w:rsid w:val="3F806A53"/>
    <w:rsid w:val="3FE00028"/>
    <w:rsid w:val="3FF313CF"/>
    <w:rsid w:val="3FFB476A"/>
    <w:rsid w:val="400F64D3"/>
    <w:rsid w:val="40337F64"/>
    <w:rsid w:val="405718E0"/>
    <w:rsid w:val="405B208D"/>
    <w:rsid w:val="406151E6"/>
    <w:rsid w:val="4065150F"/>
    <w:rsid w:val="409620D8"/>
    <w:rsid w:val="40A00B38"/>
    <w:rsid w:val="40AF6F29"/>
    <w:rsid w:val="40CD672D"/>
    <w:rsid w:val="40D35E20"/>
    <w:rsid w:val="40D56590"/>
    <w:rsid w:val="40E768F0"/>
    <w:rsid w:val="410329C3"/>
    <w:rsid w:val="410D01B6"/>
    <w:rsid w:val="413004BC"/>
    <w:rsid w:val="41437058"/>
    <w:rsid w:val="41581B1C"/>
    <w:rsid w:val="41593247"/>
    <w:rsid w:val="41704C4E"/>
    <w:rsid w:val="41A319F1"/>
    <w:rsid w:val="41C07EA7"/>
    <w:rsid w:val="41DD7CCA"/>
    <w:rsid w:val="41FE7EF8"/>
    <w:rsid w:val="42192F2E"/>
    <w:rsid w:val="422554A4"/>
    <w:rsid w:val="423768CC"/>
    <w:rsid w:val="42457E3B"/>
    <w:rsid w:val="4273673C"/>
    <w:rsid w:val="428C0A03"/>
    <w:rsid w:val="4299056A"/>
    <w:rsid w:val="42B1072F"/>
    <w:rsid w:val="42CC0F41"/>
    <w:rsid w:val="42D02422"/>
    <w:rsid w:val="42D43E57"/>
    <w:rsid w:val="42EF5148"/>
    <w:rsid w:val="430B4BAE"/>
    <w:rsid w:val="4321723D"/>
    <w:rsid w:val="432378C8"/>
    <w:rsid w:val="43247255"/>
    <w:rsid w:val="4326429A"/>
    <w:rsid w:val="43290635"/>
    <w:rsid w:val="433410A9"/>
    <w:rsid w:val="435758E8"/>
    <w:rsid w:val="4359427E"/>
    <w:rsid w:val="43734434"/>
    <w:rsid w:val="43C12830"/>
    <w:rsid w:val="43D17B28"/>
    <w:rsid w:val="43E30DC8"/>
    <w:rsid w:val="43E757EE"/>
    <w:rsid w:val="43EB18C3"/>
    <w:rsid w:val="43EF5FE8"/>
    <w:rsid w:val="44266D0D"/>
    <w:rsid w:val="447877E2"/>
    <w:rsid w:val="448C0207"/>
    <w:rsid w:val="449A4AA7"/>
    <w:rsid w:val="44A74169"/>
    <w:rsid w:val="44A8714B"/>
    <w:rsid w:val="44BD2354"/>
    <w:rsid w:val="44C600A0"/>
    <w:rsid w:val="44F06CA2"/>
    <w:rsid w:val="450055CC"/>
    <w:rsid w:val="450D18C7"/>
    <w:rsid w:val="453A5982"/>
    <w:rsid w:val="45472F65"/>
    <w:rsid w:val="45886DF6"/>
    <w:rsid w:val="458C442E"/>
    <w:rsid w:val="45BF7348"/>
    <w:rsid w:val="45C25CC8"/>
    <w:rsid w:val="45F25D90"/>
    <w:rsid w:val="462C6418"/>
    <w:rsid w:val="463B12AF"/>
    <w:rsid w:val="46431218"/>
    <w:rsid w:val="464F7572"/>
    <w:rsid w:val="466765DF"/>
    <w:rsid w:val="468177FE"/>
    <w:rsid w:val="46A50CBB"/>
    <w:rsid w:val="46B05F05"/>
    <w:rsid w:val="46B153A2"/>
    <w:rsid w:val="46D37C28"/>
    <w:rsid w:val="46DE7C22"/>
    <w:rsid w:val="46E84DA1"/>
    <w:rsid w:val="46F612B5"/>
    <w:rsid w:val="47244996"/>
    <w:rsid w:val="47260646"/>
    <w:rsid w:val="47347AC4"/>
    <w:rsid w:val="473C0218"/>
    <w:rsid w:val="47417C37"/>
    <w:rsid w:val="47421FC6"/>
    <w:rsid w:val="474F7571"/>
    <w:rsid w:val="476A1914"/>
    <w:rsid w:val="47707F4C"/>
    <w:rsid w:val="477A27AD"/>
    <w:rsid w:val="478648CF"/>
    <w:rsid w:val="47877773"/>
    <w:rsid w:val="479D21A0"/>
    <w:rsid w:val="47A65D88"/>
    <w:rsid w:val="47B35BC1"/>
    <w:rsid w:val="47B6696F"/>
    <w:rsid w:val="47B84041"/>
    <w:rsid w:val="47C01FF1"/>
    <w:rsid w:val="47DC18FF"/>
    <w:rsid w:val="48067ED8"/>
    <w:rsid w:val="4809713D"/>
    <w:rsid w:val="483D0118"/>
    <w:rsid w:val="486527F6"/>
    <w:rsid w:val="48700F1B"/>
    <w:rsid w:val="488F2BBC"/>
    <w:rsid w:val="48AB13E2"/>
    <w:rsid w:val="48B82599"/>
    <w:rsid w:val="48C46AD8"/>
    <w:rsid w:val="48CA4756"/>
    <w:rsid w:val="48D17F49"/>
    <w:rsid w:val="48D93A4A"/>
    <w:rsid w:val="48DD7AC0"/>
    <w:rsid w:val="48DF61AB"/>
    <w:rsid w:val="48F15F96"/>
    <w:rsid w:val="491173CB"/>
    <w:rsid w:val="491D34D0"/>
    <w:rsid w:val="492C1908"/>
    <w:rsid w:val="493201F9"/>
    <w:rsid w:val="495155DC"/>
    <w:rsid w:val="496E2005"/>
    <w:rsid w:val="498E69C6"/>
    <w:rsid w:val="49AF28EE"/>
    <w:rsid w:val="49F531AD"/>
    <w:rsid w:val="4A1709A5"/>
    <w:rsid w:val="4A5B138E"/>
    <w:rsid w:val="4AAA1C5A"/>
    <w:rsid w:val="4AAA2401"/>
    <w:rsid w:val="4ACE5A37"/>
    <w:rsid w:val="4AD81D70"/>
    <w:rsid w:val="4B4C115B"/>
    <w:rsid w:val="4B5E01DE"/>
    <w:rsid w:val="4B6260DF"/>
    <w:rsid w:val="4B7F0DD8"/>
    <w:rsid w:val="4B847748"/>
    <w:rsid w:val="4BB807E5"/>
    <w:rsid w:val="4BDE521D"/>
    <w:rsid w:val="4BE715D9"/>
    <w:rsid w:val="4C241BE3"/>
    <w:rsid w:val="4C31634A"/>
    <w:rsid w:val="4C353AA1"/>
    <w:rsid w:val="4C3B2785"/>
    <w:rsid w:val="4C4056A5"/>
    <w:rsid w:val="4C4606A7"/>
    <w:rsid w:val="4C4F2ACF"/>
    <w:rsid w:val="4C6336AB"/>
    <w:rsid w:val="4C653693"/>
    <w:rsid w:val="4C682796"/>
    <w:rsid w:val="4C843618"/>
    <w:rsid w:val="4C8A28BF"/>
    <w:rsid w:val="4C965349"/>
    <w:rsid w:val="4C9A27EF"/>
    <w:rsid w:val="4C9E24B7"/>
    <w:rsid w:val="4CB2333F"/>
    <w:rsid w:val="4CC252D7"/>
    <w:rsid w:val="4CD6495A"/>
    <w:rsid w:val="4D1A2B6E"/>
    <w:rsid w:val="4D496450"/>
    <w:rsid w:val="4D916A6D"/>
    <w:rsid w:val="4DEF7E53"/>
    <w:rsid w:val="4DFE1F28"/>
    <w:rsid w:val="4DFF399C"/>
    <w:rsid w:val="4E3650BA"/>
    <w:rsid w:val="4E5023F1"/>
    <w:rsid w:val="4E5A51A8"/>
    <w:rsid w:val="4EBE3386"/>
    <w:rsid w:val="4ED45646"/>
    <w:rsid w:val="4EDC4BAA"/>
    <w:rsid w:val="4EE21C1F"/>
    <w:rsid w:val="4EEB3D0B"/>
    <w:rsid w:val="4EF63BED"/>
    <w:rsid w:val="4F2E4048"/>
    <w:rsid w:val="4F435A24"/>
    <w:rsid w:val="4F447215"/>
    <w:rsid w:val="4F6B035D"/>
    <w:rsid w:val="4F705D96"/>
    <w:rsid w:val="4F726600"/>
    <w:rsid w:val="4F990B6C"/>
    <w:rsid w:val="4FA04A59"/>
    <w:rsid w:val="4FBC3D26"/>
    <w:rsid w:val="4FE35F97"/>
    <w:rsid w:val="4FFE047A"/>
    <w:rsid w:val="50065AEC"/>
    <w:rsid w:val="50312A44"/>
    <w:rsid w:val="503D60D0"/>
    <w:rsid w:val="503D60F3"/>
    <w:rsid w:val="50437227"/>
    <w:rsid w:val="504730E7"/>
    <w:rsid w:val="504B40FD"/>
    <w:rsid w:val="505D402B"/>
    <w:rsid w:val="506D32E1"/>
    <w:rsid w:val="508C1FC2"/>
    <w:rsid w:val="508C538F"/>
    <w:rsid w:val="50A85991"/>
    <w:rsid w:val="50D160C5"/>
    <w:rsid w:val="50DC668A"/>
    <w:rsid w:val="50DD0C76"/>
    <w:rsid w:val="50ED7E08"/>
    <w:rsid w:val="51017D79"/>
    <w:rsid w:val="511F5F00"/>
    <w:rsid w:val="516B6828"/>
    <w:rsid w:val="516E5251"/>
    <w:rsid w:val="51715B0D"/>
    <w:rsid w:val="51A92C90"/>
    <w:rsid w:val="51B535A3"/>
    <w:rsid w:val="51BE775A"/>
    <w:rsid w:val="51D9216B"/>
    <w:rsid w:val="51F36544"/>
    <w:rsid w:val="520B030C"/>
    <w:rsid w:val="520F33A8"/>
    <w:rsid w:val="52287C2C"/>
    <w:rsid w:val="52297399"/>
    <w:rsid w:val="524E3E5C"/>
    <w:rsid w:val="525E6262"/>
    <w:rsid w:val="528A7BA2"/>
    <w:rsid w:val="529A3469"/>
    <w:rsid w:val="52AE7934"/>
    <w:rsid w:val="52C3379B"/>
    <w:rsid w:val="52D65919"/>
    <w:rsid w:val="52DF269D"/>
    <w:rsid w:val="530E298D"/>
    <w:rsid w:val="53235B71"/>
    <w:rsid w:val="532C77F9"/>
    <w:rsid w:val="535D4915"/>
    <w:rsid w:val="53654557"/>
    <w:rsid w:val="537A3588"/>
    <w:rsid w:val="53912458"/>
    <w:rsid w:val="53984E7D"/>
    <w:rsid w:val="53C20A41"/>
    <w:rsid w:val="53FB3A2B"/>
    <w:rsid w:val="543C48DD"/>
    <w:rsid w:val="54644B2F"/>
    <w:rsid w:val="54652F85"/>
    <w:rsid w:val="54781121"/>
    <w:rsid w:val="54863D25"/>
    <w:rsid w:val="54B0313F"/>
    <w:rsid w:val="54D17C36"/>
    <w:rsid w:val="54F9037E"/>
    <w:rsid w:val="551C5C34"/>
    <w:rsid w:val="552622B6"/>
    <w:rsid w:val="55446443"/>
    <w:rsid w:val="5553160F"/>
    <w:rsid w:val="55707B02"/>
    <w:rsid w:val="5575181B"/>
    <w:rsid w:val="55866AEF"/>
    <w:rsid w:val="5590242D"/>
    <w:rsid w:val="55BE1AEE"/>
    <w:rsid w:val="55F5767A"/>
    <w:rsid w:val="56257203"/>
    <w:rsid w:val="562828D1"/>
    <w:rsid w:val="569F11E6"/>
    <w:rsid w:val="56DF2C08"/>
    <w:rsid w:val="56FE49AE"/>
    <w:rsid w:val="570E5B82"/>
    <w:rsid w:val="573430E6"/>
    <w:rsid w:val="574D0FED"/>
    <w:rsid w:val="575D1790"/>
    <w:rsid w:val="57645EFC"/>
    <w:rsid w:val="57687B35"/>
    <w:rsid w:val="57AC6468"/>
    <w:rsid w:val="57B6786F"/>
    <w:rsid w:val="57BF7F18"/>
    <w:rsid w:val="57CA7FBD"/>
    <w:rsid w:val="583F2B0C"/>
    <w:rsid w:val="584B1616"/>
    <w:rsid w:val="584D53F3"/>
    <w:rsid w:val="585273F2"/>
    <w:rsid w:val="5864666D"/>
    <w:rsid w:val="586950CC"/>
    <w:rsid w:val="587851CD"/>
    <w:rsid w:val="58892B07"/>
    <w:rsid w:val="58B5411B"/>
    <w:rsid w:val="58E63550"/>
    <w:rsid w:val="58F60E1D"/>
    <w:rsid w:val="591A334D"/>
    <w:rsid w:val="592A0366"/>
    <w:rsid w:val="592C1567"/>
    <w:rsid w:val="596A76BE"/>
    <w:rsid w:val="599C7F5A"/>
    <w:rsid w:val="59A31B78"/>
    <w:rsid w:val="59B156E8"/>
    <w:rsid w:val="59BD5C2D"/>
    <w:rsid w:val="59D10701"/>
    <w:rsid w:val="59E67F56"/>
    <w:rsid w:val="5A121617"/>
    <w:rsid w:val="5A1D2FA7"/>
    <w:rsid w:val="5A4F5F8D"/>
    <w:rsid w:val="5A5C42D3"/>
    <w:rsid w:val="5A6A757B"/>
    <w:rsid w:val="5A78438D"/>
    <w:rsid w:val="5A7B0D5E"/>
    <w:rsid w:val="5B077BC8"/>
    <w:rsid w:val="5B2C5465"/>
    <w:rsid w:val="5B4848E5"/>
    <w:rsid w:val="5B5F10B7"/>
    <w:rsid w:val="5B6F0B99"/>
    <w:rsid w:val="5BCF1921"/>
    <w:rsid w:val="5BEF158B"/>
    <w:rsid w:val="5C0D528A"/>
    <w:rsid w:val="5C3659E1"/>
    <w:rsid w:val="5C4204BB"/>
    <w:rsid w:val="5C5730CF"/>
    <w:rsid w:val="5C65767B"/>
    <w:rsid w:val="5C6639A0"/>
    <w:rsid w:val="5CA5737D"/>
    <w:rsid w:val="5CC70246"/>
    <w:rsid w:val="5CC84570"/>
    <w:rsid w:val="5CCB6DCD"/>
    <w:rsid w:val="5CD64E82"/>
    <w:rsid w:val="5CE54CC8"/>
    <w:rsid w:val="5D17256D"/>
    <w:rsid w:val="5D25577B"/>
    <w:rsid w:val="5D257F20"/>
    <w:rsid w:val="5D2A5A7E"/>
    <w:rsid w:val="5D5933B3"/>
    <w:rsid w:val="5D6554E0"/>
    <w:rsid w:val="5D6C31B5"/>
    <w:rsid w:val="5D713101"/>
    <w:rsid w:val="5D777BE9"/>
    <w:rsid w:val="5DB729A7"/>
    <w:rsid w:val="5DC00CC7"/>
    <w:rsid w:val="5DC11A7F"/>
    <w:rsid w:val="5DD76EB3"/>
    <w:rsid w:val="5E28291D"/>
    <w:rsid w:val="5E35077A"/>
    <w:rsid w:val="5E453574"/>
    <w:rsid w:val="5E516C88"/>
    <w:rsid w:val="5E563BB0"/>
    <w:rsid w:val="5E6112AF"/>
    <w:rsid w:val="5F02312D"/>
    <w:rsid w:val="5F121C1F"/>
    <w:rsid w:val="5F1E2BB0"/>
    <w:rsid w:val="5F373849"/>
    <w:rsid w:val="5F781BE5"/>
    <w:rsid w:val="5F9A5E70"/>
    <w:rsid w:val="5FA4246E"/>
    <w:rsid w:val="5FD4199E"/>
    <w:rsid w:val="5FDA6BB4"/>
    <w:rsid w:val="5FF45DB6"/>
    <w:rsid w:val="5FFE7CB0"/>
    <w:rsid w:val="602E3750"/>
    <w:rsid w:val="602F02B9"/>
    <w:rsid w:val="60410D54"/>
    <w:rsid w:val="60561D65"/>
    <w:rsid w:val="60626A8A"/>
    <w:rsid w:val="6063176D"/>
    <w:rsid w:val="606B6C29"/>
    <w:rsid w:val="60706727"/>
    <w:rsid w:val="607309FF"/>
    <w:rsid w:val="6076689C"/>
    <w:rsid w:val="607D5FD0"/>
    <w:rsid w:val="609E0646"/>
    <w:rsid w:val="60A028AD"/>
    <w:rsid w:val="60B52E1B"/>
    <w:rsid w:val="60C30061"/>
    <w:rsid w:val="60C902F4"/>
    <w:rsid w:val="6147374D"/>
    <w:rsid w:val="6153615C"/>
    <w:rsid w:val="61662985"/>
    <w:rsid w:val="61667433"/>
    <w:rsid w:val="616843AE"/>
    <w:rsid w:val="6183238E"/>
    <w:rsid w:val="61AE76F1"/>
    <w:rsid w:val="61D86806"/>
    <w:rsid w:val="61DE4D8F"/>
    <w:rsid w:val="6201765E"/>
    <w:rsid w:val="621C1C21"/>
    <w:rsid w:val="622739A7"/>
    <w:rsid w:val="627B71AE"/>
    <w:rsid w:val="62804211"/>
    <w:rsid w:val="62804295"/>
    <w:rsid w:val="62957B9E"/>
    <w:rsid w:val="62AD16AC"/>
    <w:rsid w:val="62AF6AA1"/>
    <w:rsid w:val="62BE50F7"/>
    <w:rsid w:val="62DB25F0"/>
    <w:rsid w:val="63006291"/>
    <w:rsid w:val="6309041E"/>
    <w:rsid w:val="63274C55"/>
    <w:rsid w:val="633A5C2A"/>
    <w:rsid w:val="63556365"/>
    <w:rsid w:val="63607CE2"/>
    <w:rsid w:val="63674AC2"/>
    <w:rsid w:val="637D12E9"/>
    <w:rsid w:val="63802DCE"/>
    <w:rsid w:val="63A0023C"/>
    <w:rsid w:val="63C86D78"/>
    <w:rsid w:val="63F376D8"/>
    <w:rsid w:val="63F87B46"/>
    <w:rsid w:val="63FE2709"/>
    <w:rsid w:val="641B46DA"/>
    <w:rsid w:val="6428427C"/>
    <w:rsid w:val="64294CFA"/>
    <w:rsid w:val="649233EF"/>
    <w:rsid w:val="6496024F"/>
    <w:rsid w:val="64A47BC8"/>
    <w:rsid w:val="64AB1CE1"/>
    <w:rsid w:val="64C22421"/>
    <w:rsid w:val="64CC1830"/>
    <w:rsid w:val="64CD43F5"/>
    <w:rsid w:val="64D557C2"/>
    <w:rsid w:val="64D93326"/>
    <w:rsid w:val="64D96DBD"/>
    <w:rsid w:val="6504464F"/>
    <w:rsid w:val="651F6D68"/>
    <w:rsid w:val="65267E91"/>
    <w:rsid w:val="65463C30"/>
    <w:rsid w:val="65722D12"/>
    <w:rsid w:val="65951690"/>
    <w:rsid w:val="65951A62"/>
    <w:rsid w:val="65B2788F"/>
    <w:rsid w:val="65BB78C4"/>
    <w:rsid w:val="65F77CBF"/>
    <w:rsid w:val="65FA0B31"/>
    <w:rsid w:val="661772DF"/>
    <w:rsid w:val="66284991"/>
    <w:rsid w:val="663208A3"/>
    <w:rsid w:val="66347489"/>
    <w:rsid w:val="66355512"/>
    <w:rsid w:val="665161E5"/>
    <w:rsid w:val="66777B30"/>
    <w:rsid w:val="669556A1"/>
    <w:rsid w:val="669E2B06"/>
    <w:rsid w:val="66BE550E"/>
    <w:rsid w:val="66CC622D"/>
    <w:rsid w:val="66CD7308"/>
    <w:rsid w:val="66CE4385"/>
    <w:rsid w:val="66DD6CFB"/>
    <w:rsid w:val="67156AAB"/>
    <w:rsid w:val="671E2E50"/>
    <w:rsid w:val="67231D14"/>
    <w:rsid w:val="67330623"/>
    <w:rsid w:val="678A6EB5"/>
    <w:rsid w:val="679760CB"/>
    <w:rsid w:val="67C86418"/>
    <w:rsid w:val="67D94069"/>
    <w:rsid w:val="67F95C9B"/>
    <w:rsid w:val="681B67CD"/>
    <w:rsid w:val="68502062"/>
    <w:rsid w:val="68523744"/>
    <w:rsid w:val="685B781D"/>
    <w:rsid w:val="686C63D5"/>
    <w:rsid w:val="68713414"/>
    <w:rsid w:val="687C11AE"/>
    <w:rsid w:val="68894E38"/>
    <w:rsid w:val="689B50B0"/>
    <w:rsid w:val="68B144E5"/>
    <w:rsid w:val="68D93F0A"/>
    <w:rsid w:val="68FA7B3C"/>
    <w:rsid w:val="69304F53"/>
    <w:rsid w:val="693115C3"/>
    <w:rsid w:val="69420FEB"/>
    <w:rsid w:val="69765D3A"/>
    <w:rsid w:val="699110FF"/>
    <w:rsid w:val="69B87D40"/>
    <w:rsid w:val="69BA55B2"/>
    <w:rsid w:val="69D572B0"/>
    <w:rsid w:val="6A0810D8"/>
    <w:rsid w:val="6A3917C0"/>
    <w:rsid w:val="6A5529BE"/>
    <w:rsid w:val="6A5A48E9"/>
    <w:rsid w:val="6A800DAB"/>
    <w:rsid w:val="6A894F6E"/>
    <w:rsid w:val="6ACE3FC8"/>
    <w:rsid w:val="6ADA34DF"/>
    <w:rsid w:val="6AEC0AD2"/>
    <w:rsid w:val="6AF75E4A"/>
    <w:rsid w:val="6B107903"/>
    <w:rsid w:val="6B320EBD"/>
    <w:rsid w:val="6B5A422D"/>
    <w:rsid w:val="6B851FFD"/>
    <w:rsid w:val="6B9B17F4"/>
    <w:rsid w:val="6BCF1A26"/>
    <w:rsid w:val="6BDA1A72"/>
    <w:rsid w:val="6BEF2609"/>
    <w:rsid w:val="6C050DEB"/>
    <w:rsid w:val="6C1F5089"/>
    <w:rsid w:val="6C3C28D3"/>
    <w:rsid w:val="6C677515"/>
    <w:rsid w:val="6CD725F9"/>
    <w:rsid w:val="6CE035F4"/>
    <w:rsid w:val="6CE4248B"/>
    <w:rsid w:val="6D2E27A3"/>
    <w:rsid w:val="6D761B9E"/>
    <w:rsid w:val="6D84283D"/>
    <w:rsid w:val="6D975DB1"/>
    <w:rsid w:val="6DAF2FBB"/>
    <w:rsid w:val="6DBE300E"/>
    <w:rsid w:val="6DC042D8"/>
    <w:rsid w:val="6DCD5C9F"/>
    <w:rsid w:val="6DD75D44"/>
    <w:rsid w:val="6E4239A6"/>
    <w:rsid w:val="6E9162A7"/>
    <w:rsid w:val="6EA87004"/>
    <w:rsid w:val="6EC12212"/>
    <w:rsid w:val="6ECB1FA6"/>
    <w:rsid w:val="6EE55AD8"/>
    <w:rsid w:val="6EF72E8D"/>
    <w:rsid w:val="6F002377"/>
    <w:rsid w:val="6F256076"/>
    <w:rsid w:val="6F2D175E"/>
    <w:rsid w:val="6F332BFF"/>
    <w:rsid w:val="6F3B5725"/>
    <w:rsid w:val="6F470F14"/>
    <w:rsid w:val="6F546A41"/>
    <w:rsid w:val="6F5C7A39"/>
    <w:rsid w:val="6F631DAF"/>
    <w:rsid w:val="6F672C77"/>
    <w:rsid w:val="6F746167"/>
    <w:rsid w:val="6FA9752C"/>
    <w:rsid w:val="6FAC0C49"/>
    <w:rsid w:val="6FC41261"/>
    <w:rsid w:val="6FE629D6"/>
    <w:rsid w:val="6FE93A24"/>
    <w:rsid w:val="6FF97F0D"/>
    <w:rsid w:val="6FFE0635"/>
    <w:rsid w:val="703F6DE8"/>
    <w:rsid w:val="7042467C"/>
    <w:rsid w:val="704A3193"/>
    <w:rsid w:val="707E2111"/>
    <w:rsid w:val="709A22E0"/>
    <w:rsid w:val="70AE3C16"/>
    <w:rsid w:val="70E66CAB"/>
    <w:rsid w:val="70E9533B"/>
    <w:rsid w:val="70FE00E9"/>
    <w:rsid w:val="71000211"/>
    <w:rsid w:val="712B4ABE"/>
    <w:rsid w:val="714504AD"/>
    <w:rsid w:val="716D56F8"/>
    <w:rsid w:val="71BD0A11"/>
    <w:rsid w:val="71D05021"/>
    <w:rsid w:val="71E45318"/>
    <w:rsid w:val="71F55123"/>
    <w:rsid w:val="721A107C"/>
    <w:rsid w:val="72290F72"/>
    <w:rsid w:val="722F1348"/>
    <w:rsid w:val="72362E3B"/>
    <w:rsid w:val="72436B1A"/>
    <w:rsid w:val="72713549"/>
    <w:rsid w:val="728F302B"/>
    <w:rsid w:val="72D87374"/>
    <w:rsid w:val="730C7874"/>
    <w:rsid w:val="731B3187"/>
    <w:rsid w:val="732443EA"/>
    <w:rsid w:val="735349B9"/>
    <w:rsid w:val="737023F5"/>
    <w:rsid w:val="73750FBF"/>
    <w:rsid w:val="737F17F3"/>
    <w:rsid w:val="739D63CF"/>
    <w:rsid w:val="73D15D18"/>
    <w:rsid w:val="73E62379"/>
    <w:rsid w:val="73F8751B"/>
    <w:rsid w:val="73FA0A7B"/>
    <w:rsid w:val="741D154B"/>
    <w:rsid w:val="74231E52"/>
    <w:rsid w:val="7425364D"/>
    <w:rsid w:val="743458A4"/>
    <w:rsid w:val="74404C8C"/>
    <w:rsid w:val="74694279"/>
    <w:rsid w:val="749651C8"/>
    <w:rsid w:val="74B67E11"/>
    <w:rsid w:val="74E5004E"/>
    <w:rsid w:val="74E9613E"/>
    <w:rsid w:val="75181FA5"/>
    <w:rsid w:val="75196D18"/>
    <w:rsid w:val="752E5B13"/>
    <w:rsid w:val="752F4A54"/>
    <w:rsid w:val="753707AB"/>
    <w:rsid w:val="75377EB7"/>
    <w:rsid w:val="753D1E0E"/>
    <w:rsid w:val="754223F6"/>
    <w:rsid w:val="754E468E"/>
    <w:rsid w:val="755C4DF6"/>
    <w:rsid w:val="75863F2E"/>
    <w:rsid w:val="75E64A12"/>
    <w:rsid w:val="75EA6871"/>
    <w:rsid w:val="76174069"/>
    <w:rsid w:val="76284CA5"/>
    <w:rsid w:val="7633753F"/>
    <w:rsid w:val="7662069E"/>
    <w:rsid w:val="76777908"/>
    <w:rsid w:val="769E4E50"/>
    <w:rsid w:val="76A4576C"/>
    <w:rsid w:val="76C64886"/>
    <w:rsid w:val="76E05672"/>
    <w:rsid w:val="76F42C89"/>
    <w:rsid w:val="76FA40EF"/>
    <w:rsid w:val="77100595"/>
    <w:rsid w:val="772D3054"/>
    <w:rsid w:val="77393A83"/>
    <w:rsid w:val="7770452C"/>
    <w:rsid w:val="779E2D76"/>
    <w:rsid w:val="77A17279"/>
    <w:rsid w:val="77A829D8"/>
    <w:rsid w:val="77AC1B75"/>
    <w:rsid w:val="77AE1121"/>
    <w:rsid w:val="77B1715E"/>
    <w:rsid w:val="77C51B90"/>
    <w:rsid w:val="77CA2546"/>
    <w:rsid w:val="77D82140"/>
    <w:rsid w:val="77EE3312"/>
    <w:rsid w:val="77F30CEA"/>
    <w:rsid w:val="78012ADB"/>
    <w:rsid w:val="78607446"/>
    <w:rsid w:val="78651EF7"/>
    <w:rsid w:val="788E546C"/>
    <w:rsid w:val="78A73C6A"/>
    <w:rsid w:val="78B75347"/>
    <w:rsid w:val="78C6298B"/>
    <w:rsid w:val="78E24604"/>
    <w:rsid w:val="78EE1E98"/>
    <w:rsid w:val="79144025"/>
    <w:rsid w:val="794430D8"/>
    <w:rsid w:val="797320C2"/>
    <w:rsid w:val="79846DAB"/>
    <w:rsid w:val="79914481"/>
    <w:rsid w:val="79EF0D51"/>
    <w:rsid w:val="7A1D6908"/>
    <w:rsid w:val="7A320FDA"/>
    <w:rsid w:val="7A3E7CF9"/>
    <w:rsid w:val="7A5640BB"/>
    <w:rsid w:val="7A593035"/>
    <w:rsid w:val="7A6E6D96"/>
    <w:rsid w:val="7A9029F6"/>
    <w:rsid w:val="7AA165E6"/>
    <w:rsid w:val="7ABD529D"/>
    <w:rsid w:val="7AE02C73"/>
    <w:rsid w:val="7AF0284C"/>
    <w:rsid w:val="7B0B23A8"/>
    <w:rsid w:val="7B0F3E2B"/>
    <w:rsid w:val="7B1869D9"/>
    <w:rsid w:val="7B1F1A88"/>
    <w:rsid w:val="7B4165B2"/>
    <w:rsid w:val="7B541AA6"/>
    <w:rsid w:val="7B686506"/>
    <w:rsid w:val="7B6A0BEB"/>
    <w:rsid w:val="7B6A7942"/>
    <w:rsid w:val="7B6F1DCE"/>
    <w:rsid w:val="7B802EFD"/>
    <w:rsid w:val="7BB44205"/>
    <w:rsid w:val="7BB75E31"/>
    <w:rsid w:val="7BBC5147"/>
    <w:rsid w:val="7BF128C7"/>
    <w:rsid w:val="7BF273FC"/>
    <w:rsid w:val="7C2A3635"/>
    <w:rsid w:val="7C3E5920"/>
    <w:rsid w:val="7C645466"/>
    <w:rsid w:val="7C9F65AE"/>
    <w:rsid w:val="7CAD5F36"/>
    <w:rsid w:val="7CBE4A49"/>
    <w:rsid w:val="7CDE7A5B"/>
    <w:rsid w:val="7D205658"/>
    <w:rsid w:val="7D59208C"/>
    <w:rsid w:val="7D7E2626"/>
    <w:rsid w:val="7DA929A0"/>
    <w:rsid w:val="7DB54ABB"/>
    <w:rsid w:val="7DBB070C"/>
    <w:rsid w:val="7DC85CB6"/>
    <w:rsid w:val="7E1A4F18"/>
    <w:rsid w:val="7E4971B2"/>
    <w:rsid w:val="7E5A727C"/>
    <w:rsid w:val="7E6F4929"/>
    <w:rsid w:val="7E6F4C10"/>
    <w:rsid w:val="7E924F28"/>
    <w:rsid w:val="7E9D7988"/>
    <w:rsid w:val="7EA25BF6"/>
    <w:rsid w:val="7EA445D6"/>
    <w:rsid w:val="7EA75EFC"/>
    <w:rsid w:val="7EA907B9"/>
    <w:rsid w:val="7EC9072C"/>
    <w:rsid w:val="7ECF256C"/>
    <w:rsid w:val="7ED42449"/>
    <w:rsid w:val="7EFD5094"/>
    <w:rsid w:val="7F420B31"/>
    <w:rsid w:val="7F642E17"/>
    <w:rsid w:val="7F81093A"/>
    <w:rsid w:val="7F887FDA"/>
    <w:rsid w:val="7F9043FF"/>
    <w:rsid w:val="7F9979FB"/>
    <w:rsid w:val="7F9E46D8"/>
    <w:rsid w:val="7FAD1A28"/>
    <w:rsid w:val="7FC16FC9"/>
    <w:rsid w:val="7FC373F5"/>
    <w:rsid w:val="7FCE1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2"/>
    <w:basedOn w:val="1"/>
    <w:next w:val="5"/>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0"/>
    <w:pPr>
      <w:keepNext/>
      <w:keepLines/>
      <w:spacing w:before="260" w:after="260" w:line="416" w:lineRule="auto"/>
      <w:outlineLvl w:val="2"/>
    </w:pPr>
    <w:rPr>
      <w:rFonts w:asciiTheme="minorHAnsi" w:hAnsiTheme="minorHAnsi" w:eastAsiaTheme="minorEastAsia" w:cstheme="minorBidi"/>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autoSpaceDE/>
      <w:autoSpaceDN/>
      <w:spacing w:line="312" w:lineRule="atLeast"/>
      <w:ind w:left="0" w:firstLine="210"/>
      <w:textAlignment w:val="baseline"/>
    </w:pPr>
    <w:rPr>
      <w:sz w:val="21"/>
    </w:rPr>
  </w:style>
  <w:style w:type="paragraph" w:styleId="3">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5">
    <w:name w:val="Title"/>
    <w:basedOn w:val="1"/>
    <w:next w:val="1"/>
    <w:qFormat/>
    <w:uiPriority w:val="0"/>
    <w:pPr>
      <w:numPr>
        <w:ilvl w:val="0"/>
        <w:numId w:val="1"/>
      </w:numPr>
      <w:spacing w:before="240" w:after="60" w:line="240" w:lineRule="auto"/>
      <w:ind w:firstLine="0" w:firstLineChars="0"/>
      <w:jc w:val="center"/>
      <w:outlineLvl w:val="0"/>
    </w:pPr>
    <w:rPr>
      <w:rFonts w:ascii="Arial" w:hAnsi="Arial" w:cs="Arial"/>
      <w:b/>
      <w:bCs/>
      <w:sz w:val="32"/>
      <w:szCs w:val="32"/>
    </w:rPr>
  </w:style>
  <w:style w:type="paragraph" w:styleId="7">
    <w:name w:val="Body Text"/>
    <w:basedOn w:val="1"/>
    <w:next w:val="5"/>
    <w:unhideWhenUsed/>
    <w:qFormat/>
    <w:uiPriority w:val="99"/>
    <w:pPr>
      <w:spacing w:after="120"/>
    </w:pPr>
  </w:style>
  <w:style w:type="paragraph" w:customStyle="1" w:styleId="10">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1625</Words>
  <Characters>1859</Characters>
  <Lines>0</Lines>
  <Paragraphs>0</Paragraphs>
  <TotalTime>1</TotalTime>
  <ScaleCrop>false</ScaleCrop>
  <LinksUpToDate>false</LinksUpToDate>
  <CharactersWithSpaces>1862</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2024-08-08T08:57:00Z</dcterms:created>
  <dc:creator>罗莹</dc:creator>
  <cp:lastModifiedBy>罗莹</cp:lastModifiedBy>
  <dcterms:modified xsi:type="dcterms:W3CDTF">2024-08-08T08:59:27Z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D484AEBF4E2C4D8F89BE646018DE4DEF</vt:lpwstr>
  </property>
</Properties>
</file>