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635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10"/>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）技术要求附件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）技术要求附件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1206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1"/>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yellow"/>
          <w:u w:val="single"/>
          <w:lang w:val="zh-CN"/>
        </w:rPr>
      </w:pPr>
      <w:r>
        <w:rPr>
          <w:rFonts w:hint="eastAsia" w:ascii="黑体" w:hAnsi="黑体" w:eastAsia="黑体" w:cs="宋体"/>
          <w:b/>
          <w:color w:val="auto"/>
          <w:sz w:val="36"/>
          <w:szCs w:val="36"/>
          <w:highlight w:val="yellow"/>
          <w:u w:val="single"/>
          <w:lang w:val="zh-CN"/>
        </w:rPr>
        <w:t>阀冷便携式控保功能测试仪研制项目</w:t>
      </w:r>
    </w:p>
    <w:p>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pPr>
        <w:adjustRightInd w:val="0"/>
        <w:snapToGrid w:val="0"/>
        <w:spacing w:before="156" w:line="360" w:lineRule="auto"/>
        <w:jc w:val="center"/>
        <w:rPr>
          <w:rFonts w:hint="eastAsia" w:ascii="楷体_GB2312" w:hAnsi="楷体_GB2312" w:eastAsia="楷体_GB2312" w:cs="楷体_GB2312"/>
          <w:b/>
          <w:color w:val="auto"/>
          <w:sz w:val="36"/>
          <w:szCs w:val="36"/>
          <w:highlight w:val="yellow"/>
          <w:lang w:val="en-US" w:eastAsia="zh-CN"/>
        </w:rPr>
      </w:pPr>
      <w:r>
        <w:rPr>
          <w:rFonts w:hint="eastAsia" w:ascii="楷体_GB2312" w:hAnsi="楷体_GB2312" w:eastAsia="楷体_GB2312" w:cs="楷体_GB2312"/>
          <w:b/>
          <w:color w:val="FF0000"/>
          <w:sz w:val="36"/>
          <w:szCs w:val="36"/>
          <w:highlight w:val="none"/>
          <w:lang w:val="en-US" w:eastAsia="zh-CN"/>
        </w:rPr>
        <w:t>/*更新标黄部分内容*/</w:t>
      </w:r>
    </w:p>
    <w:p>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1、项目立项依据：《昆明局2024年第一批职工技术创新项目审查会议纪要》（〔2024/专 33 号〕）</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2、项目主要内容：</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阀冷便携式控保功能测试仪装置加工及测试。</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本项目研究一种阀冷便携式控保功能测试仪装置，本装置根据阀冷系统模拟量刀闸端子特点，订购通用测试快装连接附件，含匹配端子测试连接适配器和通用快装测试线缆。使用快装连接附件，实现阀冷系统无需解线即可便捷插入端子，实现测试仪模拟信号的快速转换连接，提高阀冷系统测试试验效率。</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基于通用测试快装连接附件建立的电气连接，测试仪主要实现但不限于如下功能：</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1.冗余仪表的“三取二”保护功能验证、仪表报警功能验证；</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2.流量结合压力等组合仪表保护功能验证；</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3.泄漏功能的量化工况模拟，液位可视化显示，验证保护功能；</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yellow"/>
          <w:lang w:val="en-US" w:eastAsia="zh-CN"/>
        </w:rPr>
        <w:t>4.模拟控制温度仪表变化，一键操作全自动模拟工况，验证风机、喷淋泵、三通阀和电加热器等相关设备控制逻辑正确性。</w:t>
      </w:r>
    </w:p>
    <w:p>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yellow"/>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eastAsia="宋体" w:cs="宋体"/>
          <w:color w:val="auto"/>
          <w:sz w:val="28"/>
          <w:szCs w:val="28"/>
          <w:highlight w:val="yellow"/>
          <w:lang w:val="en-US" w:eastAsia="zh-CN"/>
        </w:rPr>
        <w:t>阀冷便携式控保功能测试仪</w:t>
      </w:r>
      <w:r>
        <w:rPr>
          <w:rFonts w:hint="eastAsia" w:ascii="宋体" w:hAnsi="宋体" w:cs="宋体"/>
          <w:color w:val="auto"/>
          <w:sz w:val="28"/>
          <w:szCs w:val="28"/>
          <w:highlight w:val="yellow"/>
          <w:lang w:val="en-US" w:eastAsia="zh-CN"/>
        </w:rPr>
        <w:t>装置加工</w:t>
      </w:r>
      <w:r>
        <w:rPr>
          <w:rFonts w:hint="eastAsia" w:ascii="宋体" w:hAnsi="宋体" w:eastAsia="宋体" w:cs="宋体"/>
          <w:color w:val="auto"/>
          <w:sz w:val="28"/>
          <w:szCs w:val="28"/>
          <w:highlight w:val="yellow"/>
          <w:lang w:val="en-US" w:eastAsia="zh-CN"/>
        </w:rPr>
        <w:t>及</w:t>
      </w:r>
      <w:r>
        <w:rPr>
          <w:rFonts w:hint="eastAsia" w:ascii="宋体" w:hAnsi="宋体" w:cs="宋体"/>
          <w:color w:val="auto"/>
          <w:sz w:val="28"/>
          <w:szCs w:val="28"/>
          <w:highlight w:val="yellow"/>
          <w:lang w:val="en-US" w:eastAsia="zh-CN"/>
        </w:rPr>
        <w:t>测试</w:t>
      </w:r>
      <w:r>
        <w:rPr>
          <w:rFonts w:hint="eastAsia" w:ascii="宋体" w:hAnsi="宋体" w:eastAsia="宋体" w:cs="宋体"/>
          <w:color w:val="auto"/>
          <w:sz w:val="28"/>
          <w:szCs w:val="28"/>
          <w:highlight w:val="yellow"/>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t>本项目研究一种阀冷便携式控保功能测试仪装置，本装置根据阀冷系统模拟量刀闸端子特点，订购通用测试快装连接附件，含匹配端子测试连接适配器和通用快装测试线缆。使用快装连接附件，实现阀冷系统无需解线即可便捷插入端子，实现测试仪模拟信号的快速转换连接，提高阀冷系统测试试验效率。</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t>基于通用测试快装连接附件建立的电气连接，测试仪主要实现但不限于如下功能：</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t>1.冗余仪表的“三取二”保护功能验证、仪表报警功能验证；</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t>2.流量结合压力等组合仪表保护功能验证；</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yellow"/>
          <w:lang w:val="en-US" w:eastAsia="zh-CN"/>
        </w:rPr>
      </w:pPr>
      <w:r>
        <w:rPr>
          <w:rFonts w:hint="eastAsia" w:ascii="宋体" w:hAnsi="宋体" w:cs="宋体"/>
          <w:color w:val="auto"/>
          <w:sz w:val="28"/>
          <w:szCs w:val="28"/>
          <w:highlight w:val="yellow"/>
          <w:lang w:val="en-US" w:eastAsia="zh-CN"/>
        </w:rPr>
        <w:t>3.泄漏功能的量化工况模拟，液位可视化显示，验证保护功能；</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yellow"/>
          <w:lang w:val="en-US" w:eastAsia="zh-CN"/>
        </w:rPr>
        <w:t>4.模拟控制温度仪表变化，一键操作全自动模拟工况，验证风机、喷淋泵、三通阀和电加热器等相关设备控制逻辑正确性。</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投标方负责以下工作内容，按照以下服务内容报价：</w:t>
      </w:r>
    </w:p>
    <w:tbl>
      <w:tblPr>
        <w:tblStyle w:val="8"/>
        <w:tblW w:w="49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2458"/>
        <w:gridCol w:w="851"/>
        <w:gridCol w:w="944"/>
        <w:gridCol w:w="35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403" w:type="pct"/>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序号</w:t>
            </w:r>
          </w:p>
        </w:tc>
        <w:tc>
          <w:tcPr>
            <w:tcW w:w="1453" w:type="pct"/>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采购内容</w:t>
            </w:r>
          </w:p>
        </w:tc>
        <w:tc>
          <w:tcPr>
            <w:tcW w:w="503" w:type="pct"/>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单位</w:t>
            </w:r>
          </w:p>
        </w:tc>
        <w:tc>
          <w:tcPr>
            <w:tcW w:w="558" w:type="pct"/>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数量</w:t>
            </w:r>
          </w:p>
        </w:tc>
        <w:tc>
          <w:tcPr>
            <w:tcW w:w="2081" w:type="pct"/>
            <w:noWrap w:val="0"/>
            <w:vAlign w:val="center"/>
          </w:tcPr>
          <w:p>
            <w:pPr>
              <w:adjustRightInd w:val="0"/>
              <w:snapToGrid w:val="0"/>
              <w:spacing w:line="240" w:lineRule="auto"/>
              <w:jc w:val="center"/>
              <w:rPr>
                <w:rFonts w:hint="eastAsia" w:ascii="宋体" w:hAnsi="宋体" w:eastAsia="宋体" w:cs="宋体"/>
                <w:b/>
                <w:bCs/>
                <w:color w:val="auto"/>
                <w:kern w:val="0"/>
                <w:sz w:val="18"/>
                <w:szCs w:val="20"/>
                <w:highlight w:val="none"/>
                <w:lang w:val="en-US" w:eastAsia="zh-CN"/>
              </w:rPr>
            </w:pPr>
            <w:r>
              <w:rPr>
                <w:rFonts w:hint="eastAsia" w:ascii="宋体" w:hAnsi="宋体" w:eastAsia="宋体" w:cs="宋体"/>
                <w:b/>
                <w:bCs/>
                <w:color w:val="auto"/>
                <w:kern w:val="0"/>
                <w:sz w:val="18"/>
                <w:szCs w:val="20"/>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403" w:type="pct"/>
            <w:noWrap w:val="0"/>
            <w:vAlign w:val="center"/>
          </w:tcPr>
          <w:p>
            <w:pPr>
              <w:keepNext w:val="0"/>
              <w:keepLines w:val="0"/>
              <w:widowControl/>
              <w:suppressLineNumbers w:val="0"/>
              <w:jc w:val="center"/>
              <w:textAlignment w:val="center"/>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1</w:t>
            </w:r>
          </w:p>
        </w:tc>
        <w:tc>
          <w:tcPr>
            <w:tcW w:w="1453" w:type="pct"/>
            <w:noWrap w:val="0"/>
            <w:vAlign w:val="center"/>
          </w:tcPr>
          <w:p>
            <w:pPr>
              <w:keepNext w:val="0"/>
              <w:keepLines w:val="0"/>
              <w:widowControl/>
              <w:suppressLineNumbers w:val="0"/>
              <w:jc w:val="center"/>
              <w:textAlignment w:val="center"/>
              <w:rPr>
                <w:rFonts w:hint="default" w:ascii="宋体" w:hAnsi="宋体" w:eastAsia="宋体" w:cs="宋体"/>
                <w:b w:val="0"/>
                <w:bCs w:val="0"/>
                <w:color w:val="auto"/>
                <w:kern w:val="0"/>
                <w:sz w:val="18"/>
                <w:szCs w:val="18"/>
                <w:highlight w:val="yellow"/>
                <w:lang w:val="en-US" w:eastAsia="zh-CN"/>
              </w:rPr>
            </w:pPr>
            <w:r>
              <w:rPr>
                <w:rFonts w:hint="eastAsia" w:ascii="宋体" w:hAnsi="宋体" w:eastAsia="宋体" w:cs="宋体"/>
                <w:b w:val="0"/>
                <w:bCs w:val="0"/>
                <w:color w:val="auto"/>
                <w:kern w:val="0"/>
                <w:sz w:val="18"/>
                <w:szCs w:val="18"/>
                <w:highlight w:val="yellow"/>
                <w:lang w:val="en-US" w:eastAsia="zh-CN"/>
              </w:rPr>
              <w:t>阀冷便携式控保功能测试仪装置</w:t>
            </w:r>
            <w:r>
              <w:rPr>
                <w:rFonts w:hint="eastAsia" w:ascii="宋体" w:hAnsi="宋体" w:cs="宋体"/>
                <w:b w:val="0"/>
                <w:bCs w:val="0"/>
                <w:color w:val="auto"/>
                <w:kern w:val="0"/>
                <w:sz w:val="18"/>
                <w:szCs w:val="18"/>
                <w:highlight w:val="yellow"/>
                <w:lang w:val="en-US" w:eastAsia="zh-CN"/>
              </w:rPr>
              <w:t>加工</w:t>
            </w:r>
          </w:p>
        </w:tc>
        <w:tc>
          <w:tcPr>
            <w:tcW w:w="503" w:type="pct"/>
            <w:noWrap w:val="0"/>
            <w:vAlign w:val="center"/>
          </w:tcPr>
          <w:p>
            <w:pPr>
              <w:keepNext w:val="0"/>
              <w:keepLines w:val="0"/>
              <w:widowControl/>
              <w:suppressLineNumbers w:val="0"/>
              <w:jc w:val="center"/>
              <w:textAlignment w:val="center"/>
              <w:rPr>
                <w:rFonts w:hint="default" w:ascii="宋体" w:hAnsi="宋体" w:eastAsia="宋体" w:cs="宋体"/>
                <w:b w:val="0"/>
                <w:bCs w:val="0"/>
                <w:color w:val="auto"/>
                <w:kern w:val="0"/>
                <w:sz w:val="18"/>
                <w:szCs w:val="18"/>
                <w:highlight w:val="yellow"/>
                <w:lang w:val="en-US" w:eastAsia="zh-CN"/>
              </w:rPr>
            </w:pPr>
            <w:r>
              <w:rPr>
                <w:rFonts w:hint="eastAsia" w:ascii="宋体" w:hAnsi="宋体" w:eastAsia="宋体" w:cs="宋体"/>
                <w:b w:val="0"/>
                <w:bCs w:val="0"/>
                <w:color w:val="auto"/>
                <w:kern w:val="0"/>
                <w:sz w:val="18"/>
                <w:szCs w:val="18"/>
                <w:highlight w:val="yellow"/>
                <w:lang w:val="en-US" w:eastAsia="zh-CN"/>
              </w:rPr>
              <w:t>项</w:t>
            </w:r>
          </w:p>
        </w:tc>
        <w:tc>
          <w:tcPr>
            <w:tcW w:w="558" w:type="pct"/>
            <w:noWrap w:val="0"/>
            <w:vAlign w:val="center"/>
          </w:tcPr>
          <w:p>
            <w:pPr>
              <w:keepNext w:val="0"/>
              <w:keepLines w:val="0"/>
              <w:widowControl/>
              <w:suppressLineNumbers w:val="0"/>
              <w:jc w:val="center"/>
              <w:textAlignment w:val="center"/>
              <w:rPr>
                <w:rFonts w:hint="default" w:ascii="宋体" w:hAnsi="宋体" w:eastAsia="宋体" w:cs="宋体"/>
                <w:b w:val="0"/>
                <w:bCs w:val="0"/>
                <w:color w:val="auto"/>
                <w:kern w:val="0"/>
                <w:sz w:val="18"/>
                <w:szCs w:val="18"/>
                <w:highlight w:val="yellow"/>
                <w:lang w:val="en-US" w:eastAsia="zh-CN"/>
              </w:rPr>
            </w:pPr>
            <w:r>
              <w:rPr>
                <w:rFonts w:hint="eastAsia" w:ascii="宋体" w:hAnsi="宋体" w:eastAsia="宋体" w:cs="宋体"/>
                <w:b w:val="0"/>
                <w:bCs w:val="0"/>
                <w:color w:val="auto"/>
                <w:kern w:val="0"/>
                <w:sz w:val="18"/>
                <w:szCs w:val="18"/>
                <w:highlight w:val="yellow"/>
                <w:lang w:val="en-US" w:eastAsia="zh-CN"/>
              </w:rPr>
              <w:t>1</w:t>
            </w:r>
          </w:p>
        </w:tc>
        <w:tc>
          <w:tcPr>
            <w:tcW w:w="2081" w:type="pct"/>
            <w:noWrap w:val="0"/>
            <w:vAlign w:val="center"/>
          </w:tcPr>
          <w:p>
            <w:pPr>
              <w:keepNext w:val="0"/>
              <w:keepLines w:val="0"/>
              <w:widowControl/>
              <w:suppressLineNumbers w:val="0"/>
              <w:jc w:val="left"/>
              <w:textAlignment w:val="center"/>
              <w:rPr>
                <w:rFonts w:hint="default" w:ascii="宋体" w:hAnsi="宋体" w:eastAsia="宋体" w:cs="宋体"/>
                <w:b w:val="0"/>
                <w:bCs w:val="0"/>
                <w:color w:val="auto"/>
                <w:kern w:val="0"/>
                <w:sz w:val="18"/>
                <w:szCs w:val="18"/>
                <w:highlight w:val="yellow"/>
                <w:lang w:val="en-US" w:eastAsia="zh-CN"/>
              </w:rPr>
            </w:pPr>
            <w:r>
              <w:rPr>
                <w:rFonts w:hint="eastAsia" w:ascii="宋体" w:hAnsi="宋体" w:eastAsia="宋体" w:cs="宋体"/>
                <w:b w:val="0"/>
                <w:bCs w:val="0"/>
                <w:color w:val="auto"/>
                <w:kern w:val="0"/>
                <w:sz w:val="18"/>
                <w:szCs w:val="18"/>
                <w:highlight w:val="yellow"/>
                <w:lang w:val="en-US" w:eastAsia="zh-CN"/>
              </w:rPr>
              <w:t>1含通用测试快装连接附件</w:t>
            </w:r>
            <w:r>
              <w:rPr>
                <w:rFonts w:hint="eastAsia" w:ascii="宋体" w:hAnsi="宋体" w:cs="宋体"/>
                <w:b w:val="0"/>
                <w:bCs w:val="0"/>
                <w:color w:val="auto"/>
                <w:kern w:val="0"/>
                <w:sz w:val="18"/>
                <w:szCs w:val="18"/>
                <w:highlight w:val="yellow"/>
                <w:lang w:val="en-US" w:eastAsia="zh-CN"/>
              </w:rPr>
              <w:t>；2</w:t>
            </w:r>
            <w:r>
              <w:rPr>
                <w:rFonts w:hint="eastAsia" w:ascii="宋体" w:hAnsi="宋体" w:eastAsia="宋体" w:cs="宋体"/>
                <w:b w:val="0"/>
                <w:bCs w:val="0"/>
                <w:color w:val="auto"/>
                <w:kern w:val="0"/>
                <w:sz w:val="18"/>
                <w:szCs w:val="18"/>
                <w:highlight w:val="yellow"/>
                <w:lang w:val="en-US" w:eastAsia="zh-CN"/>
              </w:rPr>
              <w:t>.可根据不同设备程序逻辑进行功能扩展，便于设备后期推广应用</w:t>
            </w:r>
            <w:r>
              <w:rPr>
                <w:rFonts w:hint="eastAsia" w:ascii="宋体" w:hAnsi="宋体" w:cs="宋体"/>
                <w:b w:val="0"/>
                <w:bCs w:val="0"/>
                <w:color w:val="auto"/>
                <w:kern w:val="0"/>
                <w:sz w:val="18"/>
                <w:szCs w:val="18"/>
                <w:highlight w:val="yellow"/>
                <w:lang w:val="en-US" w:eastAsia="zh-CN"/>
              </w:rPr>
              <w:t>；3</w:t>
            </w:r>
            <w:r>
              <w:rPr>
                <w:rFonts w:hint="eastAsia" w:ascii="宋体" w:hAnsi="宋体" w:cs="宋体"/>
                <w:b w:val="0"/>
                <w:bCs w:val="0"/>
                <w:color w:val="auto"/>
                <w:kern w:val="0"/>
                <w:sz w:val="18"/>
                <w:szCs w:val="18"/>
                <w:highlight w:val="yellow"/>
                <w:shd w:val="clear" w:fill="FFFF00"/>
                <w:lang w:val="en-US" w:eastAsia="zh-CN"/>
              </w:rPr>
              <w:t>.功能满足上述要求；4.装置输入、输出精度要求在0.5%以内，输出值可以设定特定斜率变化。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03" w:type="pct"/>
            <w:noWrap w:val="0"/>
            <w:vAlign w:val="center"/>
          </w:tcPr>
          <w:p>
            <w:pPr>
              <w:keepNext w:val="0"/>
              <w:keepLines w:val="0"/>
              <w:widowControl/>
              <w:suppressLineNumbers w:val="0"/>
              <w:jc w:val="center"/>
              <w:textAlignment w:val="center"/>
              <w:rPr>
                <w:rFonts w:hint="eastAsia" w:ascii="宋体" w:hAnsi="宋体" w:eastAsia="宋体" w:cs="宋体"/>
                <w:b w:val="0"/>
                <w:bCs w:val="0"/>
                <w:color w:val="auto"/>
                <w:kern w:val="0"/>
                <w:sz w:val="18"/>
                <w:szCs w:val="18"/>
                <w:highlight w:val="none"/>
                <w:lang w:val="en-US" w:eastAsia="zh-CN"/>
              </w:rPr>
            </w:pPr>
            <w:r>
              <w:rPr>
                <w:rFonts w:hint="eastAsia" w:ascii="宋体" w:hAnsi="宋体" w:eastAsia="宋体" w:cs="宋体"/>
                <w:b w:val="0"/>
                <w:bCs w:val="0"/>
                <w:color w:val="auto"/>
                <w:kern w:val="0"/>
                <w:sz w:val="18"/>
                <w:szCs w:val="18"/>
                <w:highlight w:val="none"/>
                <w:lang w:val="en-US" w:eastAsia="zh-CN"/>
              </w:rPr>
              <w:t>2</w:t>
            </w:r>
          </w:p>
        </w:tc>
        <w:tc>
          <w:tcPr>
            <w:tcW w:w="1453" w:type="pct"/>
            <w:noWrap w:val="0"/>
            <w:vAlign w:val="center"/>
          </w:tcPr>
          <w:p>
            <w:pPr>
              <w:keepNext w:val="0"/>
              <w:keepLines w:val="0"/>
              <w:widowControl/>
              <w:suppressLineNumbers w:val="0"/>
              <w:jc w:val="center"/>
              <w:textAlignment w:val="center"/>
              <w:rPr>
                <w:rFonts w:hint="default" w:ascii="宋体" w:hAnsi="宋体" w:eastAsia="宋体" w:cs="宋体"/>
                <w:b w:val="0"/>
                <w:bCs w:val="0"/>
                <w:color w:val="auto"/>
                <w:kern w:val="0"/>
                <w:sz w:val="18"/>
                <w:szCs w:val="18"/>
                <w:highlight w:val="yellow"/>
                <w:lang w:val="en-US" w:eastAsia="zh-CN"/>
              </w:rPr>
            </w:pPr>
            <w:r>
              <w:rPr>
                <w:rFonts w:hint="eastAsia" w:ascii="宋体" w:hAnsi="宋体" w:eastAsia="宋体" w:cs="宋体"/>
                <w:b w:val="0"/>
                <w:bCs w:val="0"/>
                <w:color w:val="auto"/>
                <w:kern w:val="0"/>
                <w:sz w:val="18"/>
                <w:szCs w:val="18"/>
                <w:highlight w:val="yellow"/>
                <w:lang w:val="en-US" w:eastAsia="zh-CN"/>
              </w:rPr>
              <w:t>阀冷便携式控保功能测试仪装置</w:t>
            </w:r>
            <w:r>
              <w:rPr>
                <w:rFonts w:hint="eastAsia" w:ascii="宋体" w:hAnsi="宋体" w:cs="宋体"/>
                <w:b w:val="0"/>
                <w:bCs w:val="0"/>
                <w:color w:val="auto"/>
                <w:kern w:val="0"/>
                <w:sz w:val="18"/>
                <w:szCs w:val="18"/>
                <w:highlight w:val="yellow"/>
                <w:lang w:val="en-US" w:eastAsia="zh-CN"/>
              </w:rPr>
              <w:t>测试</w:t>
            </w:r>
          </w:p>
        </w:tc>
        <w:tc>
          <w:tcPr>
            <w:tcW w:w="503" w:type="pct"/>
            <w:noWrap w:val="0"/>
            <w:vAlign w:val="center"/>
          </w:tcPr>
          <w:p>
            <w:pPr>
              <w:keepNext w:val="0"/>
              <w:keepLines w:val="0"/>
              <w:widowControl/>
              <w:suppressLineNumbers w:val="0"/>
              <w:jc w:val="center"/>
              <w:textAlignment w:val="center"/>
              <w:rPr>
                <w:rFonts w:hint="eastAsia" w:ascii="宋体" w:hAnsi="宋体" w:eastAsia="宋体" w:cs="宋体"/>
                <w:b w:val="0"/>
                <w:bCs w:val="0"/>
                <w:color w:val="auto"/>
                <w:kern w:val="0"/>
                <w:sz w:val="18"/>
                <w:szCs w:val="18"/>
                <w:highlight w:val="yellow"/>
                <w:lang w:val="en-US" w:eastAsia="zh-CN"/>
              </w:rPr>
            </w:pPr>
            <w:r>
              <w:rPr>
                <w:rFonts w:hint="eastAsia" w:ascii="宋体" w:hAnsi="宋体" w:eastAsia="宋体" w:cs="宋体"/>
                <w:b w:val="0"/>
                <w:bCs w:val="0"/>
                <w:color w:val="auto"/>
                <w:kern w:val="0"/>
                <w:sz w:val="18"/>
                <w:szCs w:val="18"/>
                <w:highlight w:val="yellow"/>
                <w:lang w:val="en-US" w:eastAsia="zh-CN"/>
              </w:rPr>
              <w:t>项</w:t>
            </w:r>
          </w:p>
        </w:tc>
        <w:tc>
          <w:tcPr>
            <w:tcW w:w="558" w:type="pct"/>
            <w:noWrap w:val="0"/>
            <w:vAlign w:val="center"/>
          </w:tcPr>
          <w:p>
            <w:pPr>
              <w:keepNext w:val="0"/>
              <w:keepLines w:val="0"/>
              <w:widowControl/>
              <w:suppressLineNumbers w:val="0"/>
              <w:jc w:val="center"/>
              <w:textAlignment w:val="center"/>
              <w:rPr>
                <w:rFonts w:hint="default" w:ascii="宋体" w:hAnsi="宋体" w:eastAsia="宋体" w:cs="宋体"/>
                <w:b w:val="0"/>
                <w:bCs w:val="0"/>
                <w:color w:val="auto"/>
                <w:kern w:val="0"/>
                <w:sz w:val="18"/>
                <w:szCs w:val="18"/>
                <w:highlight w:val="yellow"/>
                <w:lang w:val="en-US" w:eastAsia="zh-CN"/>
              </w:rPr>
            </w:pPr>
            <w:r>
              <w:rPr>
                <w:rFonts w:hint="eastAsia" w:ascii="宋体" w:hAnsi="宋体" w:cs="宋体"/>
                <w:b w:val="0"/>
                <w:bCs w:val="0"/>
                <w:color w:val="auto"/>
                <w:kern w:val="0"/>
                <w:sz w:val="18"/>
                <w:szCs w:val="18"/>
                <w:highlight w:val="yellow"/>
                <w:lang w:val="en-US" w:eastAsia="zh-CN"/>
              </w:rPr>
              <w:t>1</w:t>
            </w:r>
          </w:p>
        </w:tc>
        <w:tc>
          <w:tcPr>
            <w:tcW w:w="2081" w:type="pct"/>
            <w:noWrap w:val="0"/>
            <w:vAlign w:val="center"/>
          </w:tcPr>
          <w:p>
            <w:pPr>
              <w:keepNext w:val="0"/>
              <w:keepLines w:val="0"/>
              <w:widowControl/>
              <w:suppressLineNumbers w:val="0"/>
              <w:jc w:val="left"/>
              <w:textAlignment w:val="center"/>
              <w:rPr>
                <w:rFonts w:hint="default" w:ascii="宋体" w:hAnsi="宋体" w:cs="宋体"/>
                <w:b w:val="0"/>
                <w:bCs w:val="0"/>
                <w:color w:val="auto"/>
                <w:kern w:val="0"/>
                <w:sz w:val="18"/>
                <w:szCs w:val="18"/>
                <w:highlight w:val="yellow"/>
                <w:lang w:val="en-US" w:eastAsia="zh-CN"/>
              </w:rPr>
            </w:pPr>
            <w:r>
              <w:rPr>
                <w:rFonts w:hint="eastAsia" w:ascii="宋体" w:hAnsi="宋体" w:cs="宋体"/>
                <w:b w:val="0"/>
                <w:bCs w:val="0"/>
                <w:color w:val="auto"/>
                <w:kern w:val="0"/>
                <w:sz w:val="18"/>
                <w:szCs w:val="18"/>
                <w:highlight w:val="yellow"/>
                <w:lang w:val="en-US" w:eastAsia="zh-CN"/>
              </w:rPr>
              <w:t>要求由通过中国合格评定国家认可委员会（CNAS）的认可，具有校准能力的实验室出具第三方检测报告。</w:t>
            </w:r>
          </w:p>
        </w:tc>
      </w:tr>
    </w:tbl>
    <w:p>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9"/>
        <w:rPr>
          <w:rFonts w:hint="eastAsia" w:ascii="宋体" w:hAnsi="宋体" w:cs="宋体"/>
          <w:color w:val="auto"/>
          <w:sz w:val="28"/>
          <w:szCs w:val="28"/>
          <w:highlight w:val="yellow"/>
          <w:lang w:val="en-US" w:eastAsia="zh-CN"/>
        </w:rPr>
      </w:pP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yellow"/>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cs="宋体"/>
          <w:b w:val="0"/>
          <w:bCs/>
          <w:color w:val="auto"/>
          <w:sz w:val="28"/>
          <w:szCs w:val="28"/>
          <w:highlight w:val="yellow"/>
          <w:u w:val="single"/>
          <w:lang w:val="en-US" w:eastAsia="zh-CN"/>
        </w:rPr>
        <w:t>2024</w:t>
      </w:r>
      <w:r>
        <w:rPr>
          <w:rFonts w:hint="eastAsia" w:ascii="宋体" w:hAnsi="宋体" w:eastAsia="宋体" w:cs="宋体"/>
          <w:b w:val="0"/>
          <w:bCs/>
          <w:color w:val="auto"/>
          <w:sz w:val="28"/>
          <w:szCs w:val="28"/>
          <w:highlight w:val="yellow"/>
          <w:u w:val="single"/>
          <w:lang w:val="en-US" w:eastAsia="zh-CN"/>
        </w:rPr>
        <w:t>年</w:t>
      </w:r>
      <w:r>
        <w:rPr>
          <w:rFonts w:hint="eastAsia" w:ascii="宋体" w:hAnsi="宋体" w:cs="宋体"/>
          <w:b w:val="0"/>
          <w:bCs/>
          <w:color w:val="auto"/>
          <w:sz w:val="28"/>
          <w:szCs w:val="28"/>
          <w:highlight w:val="yellow"/>
          <w:u w:val="single"/>
          <w:lang w:val="en-US" w:eastAsia="zh-CN"/>
        </w:rPr>
        <w:t>07</w:t>
      </w:r>
      <w:r>
        <w:rPr>
          <w:rFonts w:hint="eastAsia" w:ascii="宋体" w:hAnsi="宋体" w:eastAsia="宋体" w:cs="宋体"/>
          <w:b w:val="0"/>
          <w:bCs/>
          <w:color w:val="auto"/>
          <w:sz w:val="28"/>
          <w:szCs w:val="28"/>
          <w:highlight w:val="yellow"/>
          <w:u w:val="single"/>
          <w:lang w:val="en-US" w:eastAsia="zh-CN"/>
        </w:rPr>
        <w:t>月</w:t>
      </w:r>
      <w:r>
        <w:rPr>
          <w:rFonts w:hint="eastAsia" w:ascii="宋体" w:hAnsi="宋体" w:cs="宋体"/>
          <w:b w:val="0"/>
          <w:bCs/>
          <w:color w:val="auto"/>
          <w:sz w:val="28"/>
          <w:szCs w:val="28"/>
          <w:highlight w:val="yellow"/>
          <w:u w:val="single"/>
          <w:lang w:val="en-US" w:eastAsia="zh-CN"/>
        </w:rPr>
        <w:t>12</w:t>
      </w:r>
      <w:bookmarkStart w:id="3" w:name="_GoBack"/>
      <w:bookmarkEnd w:id="3"/>
      <w:r>
        <w:rPr>
          <w:rFonts w:hint="eastAsia" w:ascii="宋体" w:hAnsi="宋体" w:eastAsia="宋体" w:cs="宋体"/>
          <w:b w:val="0"/>
          <w:bCs/>
          <w:color w:val="auto"/>
          <w:sz w:val="28"/>
          <w:szCs w:val="28"/>
          <w:highlight w:val="yellow"/>
          <w:u w:val="single"/>
          <w:lang w:val="en-US" w:eastAsia="zh-CN"/>
        </w:rPr>
        <w:t>日</w:t>
      </w:r>
      <w:r>
        <w:rPr>
          <w:rFonts w:hint="eastAsia" w:ascii="宋体" w:hAnsi="宋体" w:cs="宋体"/>
          <w:b w:val="0"/>
          <w:bCs/>
          <w:color w:val="auto"/>
          <w:sz w:val="28"/>
          <w:szCs w:val="28"/>
          <w:highlight w:val="yellow"/>
          <w:u w:val="single"/>
          <w:lang w:val="en-US" w:eastAsia="zh-CN"/>
        </w:rPr>
        <w:t>至2024</w:t>
      </w:r>
      <w:r>
        <w:rPr>
          <w:rFonts w:hint="eastAsia" w:ascii="宋体" w:hAnsi="宋体" w:eastAsia="宋体" w:cs="宋体"/>
          <w:b w:val="0"/>
          <w:bCs/>
          <w:color w:val="auto"/>
          <w:sz w:val="28"/>
          <w:szCs w:val="28"/>
          <w:highlight w:val="yellow"/>
          <w:u w:val="single"/>
          <w:lang w:val="en-US" w:eastAsia="zh-CN"/>
        </w:rPr>
        <w:t>年</w:t>
      </w:r>
      <w:r>
        <w:rPr>
          <w:rFonts w:hint="eastAsia" w:ascii="宋体" w:hAnsi="宋体" w:cs="宋体"/>
          <w:b w:val="0"/>
          <w:bCs/>
          <w:color w:val="auto"/>
          <w:sz w:val="28"/>
          <w:szCs w:val="28"/>
          <w:highlight w:val="yellow"/>
          <w:u w:val="single"/>
          <w:lang w:val="en-US" w:eastAsia="zh-CN"/>
        </w:rPr>
        <w:t>11</w:t>
      </w:r>
      <w:r>
        <w:rPr>
          <w:rFonts w:hint="eastAsia" w:ascii="宋体" w:hAnsi="宋体" w:eastAsia="宋体" w:cs="宋体"/>
          <w:b w:val="0"/>
          <w:bCs/>
          <w:color w:val="auto"/>
          <w:sz w:val="28"/>
          <w:szCs w:val="28"/>
          <w:highlight w:val="yellow"/>
          <w:u w:val="single"/>
          <w:lang w:val="en-US" w:eastAsia="zh-CN"/>
        </w:rPr>
        <w:t>月</w:t>
      </w:r>
      <w:r>
        <w:rPr>
          <w:rFonts w:hint="eastAsia" w:ascii="宋体" w:hAnsi="宋体" w:cs="宋体"/>
          <w:b w:val="0"/>
          <w:bCs/>
          <w:color w:val="auto"/>
          <w:sz w:val="28"/>
          <w:szCs w:val="28"/>
          <w:highlight w:val="yellow"/>
          <w:u w:val="single"/>
          <w:lang w:val="en-US" w:eastAsia="zh-CN"/>
        </w:rPr>
        <w:t>15</w:t>
      </w:r>
      <w:r>
        <w:rPr>
          <w:rFonts w:hint="eastAsia" w:ascii="宋体" w:hAnsi="宋体" w:eastAsia="宋体" w:cs="宋体"/>
          <w:b w:val="0"/>
          <w:bCs/>
          <w:color w:val="auto"/>
          <w:sz w:val="28"/>
          <w:szCs w:val="28"/>
          <w:highlight w:val="yellow"/>
          <w:u w:val="single"/>
          <w:lang w:val="en-US" w:eastAsia="zh-CN"/>
        </w:rPr>
        <w:t>日</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yellow"/>
          <w:lang w:val="en-US" w:eastAsia="zh-CN"/>
        </w:rPr>
        <w:t>若定标时间晚于起始时间，服务期限顺延</w:t>
      </w:r>
      <w:r>
        <w:rPr>
          <w:rFonts w:hint="eastAsia" w:ascii="宋体" w:hAnsi="宋体" w:cs="宋体"/>
          <w:color w:val="auto"/>
          <w:sz w:val="28"/>
          <w:szCs w:val="28"/>
          <w:highlight w:val="yellow"/>
          <w:lang w:val="en-US" w:eastAsia="zh-CN"/>
        </w:rPr>
        <w:t>，</w:t>
      </w:r>
      <w:r>
        <w:rPr>
          <w:rFonts w:hint="eastAsia" w:ascii="宋体" w:hAnsi="宋体" w:cs="宋体"/>
          <w:b w:val="0"/>
          <w:bCs/>
          <w:color w:val="auto"/>
          <w:sz w:val="28"/>
          <w:szCs w:val="28"/>
          <w:highlight w:val="yellow"/>
          <w:u w:val="single"/>
          <w:lang w:val="en-US" w:eastAsia="zh-CN"/>
        </w:rPr>
        <w:t>以双方函件为准</w:t>
      </w:r>
      <w:r>
        <w:rPr>
          <w:rFonts w:hint="eastAsia" w:ascii="宋体" w:hAnsi="宋体" w:eastAsia="宋体" w:cs="宋体"/>
          <w:b w:val="0"/>
          <w:bCs/>
          <w:color w:val="auto"/>
          <w:sz w:val="28"/>
          <w:szCs w:val="28"/>
          <w:highlight w:val="yellow"/>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云南省昆明市禄劝县中屏镇±500kV禄劝换流站（位置需详细，涉及运距和价格计算）</w:t>
      </w:r>
      <w:r>
        <w:rPr>
          <w:rFonts w:hint="eastAsia" w:ascii="宋体" w:hAnsi="宋体" w:eastAsia="宋体" w:cs="宋体"/>
          <w:color w:val="auto"/>
          <w:sz w:val="28"/>
          <w:szCs w:val="28"/>
          <w:highlight w:val="none"/>
          <w:u w:val="singl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yellow"/>
          <w:u w:val="single"/>
          <w:lang w:val="en-US" w:eastAsia="zh-CN"/>
        </w:rPr>
      </w:pPr>
      <w:r>
        <w:rPr>
          <w:rFonts w:hint="eastAsia" w:ascii="宋体" w:hAnsi="宋体" w:eastAsia="宋体" w:cs="宋体"/>
          <w:color w:val="auto"/>
          <w:sz w:val="28"/>
          <w:szCs w:val="28"/>
          <w:highlight w:val="yellow"/>
          <w:lang w:val="en-US" w:eastAsia="zh-CN"/>
        </w:rPr>
        <w:t xml:space="preserve">2.4其他要求：  </w:t>
      </w:r>
      <w:r>
        <w:rPr>
          <w:rFonts w:hint="eastAsia" w:ascii="宋体" w:hAnsi="宋体" w:eastAsia="宋体" w:cs="宋体"/>
          <w:color w:val="auto"/>
          <w:sz w:val="28"/>
          <w:szCs w:val="28"/>
          <w:highlight w:val="yellow"/>
          <w:u w:val="single"/>
          <w:lang w:val="en-US" w:eastAsia="zh-CN"/>
        </w:rPr>
        <w:t xml:space="preserve"> </w:t>
      </w:r>
      <w:r>
        <w:rPr>
          <w:rFonts w:hint="eastAsia" w:ascii="宋体" w:hAnsi="宋体" w:cs="宋体"/>
          <w:color w:val="auto"/>
          <w:sz w:val="28"/>
          <w:szCs w:val="28"/>
          <w:highlight w:val="yellow"/>
          <w:u w:val="single"/>
          <w:lang w:val="en-US" w:eastAsia="zh-CN"/>
        </w:rPr>
        <w:t>无</w:t>
      </w:r>
      <w:r>
        <w:rPr>
          <w:rFonts w:hint="eastAsia" w:ascii="宋体" w:hAnsi="宋体" w:eastAsia="宋体" w:cs="宋体"/>
          <w:color w:val="auto"/>
          <w:sz w:val="28"/>
          <w:szCs w:val="28"/>
          <w:highlight w:val="yellow"/>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4.2.1卖方应严格执行国家现行法规、规章，行业的规范，确保提供的产品或服务符合相关规定。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FF0000"/>
          <w:sz w:val="28"/>
          <w:szCs w:val="28"/>
          <w:highlight w:val="yellow"/>
          <w:u w:val="single"/>
          <w:lang w:val="en-US" w:eastAsia="zh-CN"/>
        </w:rPr>
      </w:pPr>
      <w:r>
        <w:rPr>
          <w:rFonts w:hint="eastAsia" w:ascii="宋体" w:hAnsi="宋体" w:eastAsia="宋体" w:cs="宋体"/>
          <w:color w:val="FF0000"/>
          <w:sz w:val="28"/>
          <w:szCs w:val="28"/>
          <w:highlight w:val="yellow"/>
          <w:lang w:val="en-US" w:eastAsia="zh-CN"/>
        </w:rPr>
        <w:t>4.2.6其他要求</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cs="宋体"/>
          <w:color w:val="FF0000"/>
          <w:sz w:val="28"/>
          <w:szCs w:val="28"/>
          <w:highlight w:val="yellow"/>
          <w:u w:val="single"/>
          <w:lang w:val="en-US" w:eastAsia="zh-CN"/>
        </w:rPr>
      </w:pPr>
      <w:r>
        <w:rPr>
          <w:rFonts w:hint="eastAsia" w:ascii="宋体" w:hAnsi="宋体" w:cs="宋体"/>
          <w:color w:val="FF0000"/>
          <w:sz w:val="28"/>
          <w:szCs w:val="28"/>
          <w:highlight w:val="yellow"/>
          <w:u w:val="single"/>
          <w:lang w:val="en-US" w:eastAsia="zh-CN"/>
        </w:rPr>
        <w:t>1）</w:t>
      </w:r>
      <w:r>
        <w:rPr>
          <w:rFonts w:hint="eastAsia" w:ascii="宋体" w:hAnsi="宋体" w:eastAsia="宋体" w:cs="宋体"/>
          <w:color w:val="FF0000"/>
          <w:sz w:val="28"/>
          <w:szCs w:val="28"/>
          <w:highlight w:val="yellow"/>
          <w:u w:val="single"/>
          <w:lang w:val="en-US" w:eastAsia="zh-CN"/>
        </w:rPr>
        <w:t>投标单位</w:t>
      </w:r>
      <w:r>
        <w:rPr>
          <w:rFonts w:hint="eastAsia" w:ascii="宋体" w:hAnsi="宋体" w:cs="宋体"/>
          <w:color w:val="FF0000"/>
          <w:sz w:val="28"/>
          <w:szCs w:val="28"/>
          <w:highlight w:val="yellow"/>
          <w:u w:val="single"/>
          <w:lang w:val="en-US" w:eastAsia="zh-CN"/>
        </w:rPr>
        <w:t>应</w:t>
      </w:r>
      <w:r>
        <w:rPr>
          <w:rFonts w:hint="eastAsia" w:ascii="宋体" w:hAnsi="宋体" w:eastAsia="宋体" w:cs="宋体"/>
          <w:color w:val="FF0000"/>
          <w:sz w:val="28"/>
          <w:szCs w:val="28"/>
          <w:highlight w:val="yellow"/>
          <w:u w:val="single"/>
          <w:lang w:val="en-US" w:eastAsia="zh-CN"/>
        </w:rPr>
        <w:t>熟悉阀冷系统控制保护逻辑</w:t>
      </w:r>
      <w:r>
        <w:rPr>
          <w:rFonts w:hint="eastAsia" w:ascii="宋体" w:hAnsi="宋体" w:cs="宋体"/>
          <w:color w:val="FF0000"/>
          <w:sz w:val="28"/>
          <w:szCs w:val="28"/>
          <w:highlight w:val="yellow"/>
          <w:u w:val="single"/>
          <w:lang w:val="en-US" w:eastAsia="zh-CN"/>
        </w:rPr>
        <w:t>。</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pPr>
        <w:wordWrap/>
        <w:spacing w:line="360" w:lineRule="auto"/>
        <w:jc w:val="center"/>
        <w:rPr>
          <w:rFonts w:hint="eastAsia" w:ascii="宋体" w:hAnsi="宋体"/>
          <w:bCs/>
          <w:color w:val="auto"/>
          <w:spacing w:val="15"/>
          <w:szCs w:val="21"/>
          <w:highlight w:val="none"/>
          <w:lang w:eastAsia="zh-CN"/>
        </w:rPr>
      </w:pPr>
      <w:r>
        <w:rPr>
          <w:rFonts w:hint="eastAsia" w:ascii="宋体" w:hAnsi="宋体" w:cs="宋体"/>
          <w:color w:val="auto"/>
          <w:sz w:val="21"/>
          <w:szCs w:val="21"/>
          <w:highlight w:val="none"/>
          <w:lang w:val="en-US" w:eastAsia="zh-CN"/>
        </w:rPr>
        <w:t xml:space="preserve">   </w:t>
      </w:r>
    </w:p>
    <w:p>
      <w:pPr>
        <w:spacing w:line="360" w:lineRule="auto"/>
        <w:rPr>
          <w:rFonts w:hint="eastAsia" w:ascii="宋体" w:hAnsi="宋体" w:cs="宋体"/>
          <w:color w:val="auto"/>
          <w:spacing w:val="-1"/>
          <w:szCs w:val="21"/>
          <w:highlight w:val="none"/>
          <w:lang w:val="en-US" w:eastAsia="zh-CN"/>
        </w:rPr>
      </w:pPr>
    </w:p>
    <w:p>
      <w:pPr>
        <w:adjustRightInd w:val="0"/>
        <w:snapToGrid w:val="0"/>
        <w:spacing w:before="156" w:line="360" w:lineRule="auto"/>
        <w:jc w:val="left"/>
        <w:outlineLvl w:val="0"/>
        <w:rPr>
          <w:rFonts w:hint="eastAsia" w:ascii="宋体" w:hAnsi="宋体" w:cs="宋体"/>
          <w:color w:val="auto"/>
          <w:spacing w:val="-1"/>
          <w:szCs w:val="21"/>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ascii="Times New Roman" w:hAnsi="Times New Roman" w:eastAsia="宋体" w:cs="Times New Roman"/>
          <w:b/>
          <w:color w:val="FF0000"/>
          <w:sz w:val="28"/>
          <w:szCs w:val="28"/>
          <w:highlight w:val="none"/>
          <w:lang w:val="en-US" w:eastAsia="zh-CN"/>
        </w:rPr>
        <w:t>（有设备的，例如设备修理需附图，分整体和局部，需写明所需服务内容，尽量细致）</w:t>
      </w:r>
    </w:p>
    <w:p>
      <w:pPr>
        <w:spacing w:line="360" w:lineRule="auto"/>
        <w:rPr>
          <w:rFonts w:hint="eastAsia" w:ascii="宋体" w:hAnsi="宋体" w:cs="宋体"/>
          <w:color w:val="auto"/>
          <w:spacing w:val="-1"/>
          <w:szCs w:val="21"/>
          <w:highlight w:val="none"/>
          <w:lang w:val="en-US" w:eastAsia="zh-CN"/>
        </w:rPr>
      </w:pPr>
    </w:p>
    <w:tbl>
      <w:tblPr>
        <w:tblStyle w:val="8"/>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87"/>
        <w:gridCol w:w="1075"/>
        <w:gridCol w:w="2207"/>
        <w:gridCol w:w="4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0" w:type="dxa"/>
            <w:noWrap w:val="0"/>
            <w:vAlign w:val="center"/>
          </w:tcPr>
          <w:p>
            <w:pPr>
              <w:spacing w:line="360" w:lineRule="auto"/>
              <w:jc w:val="center"/>
              <w:rPr>
                <w:rFonts w:ascii="宋体" w:hAnsi="宋体" w:cs="宋体"/>
                <w:b/>
                <w:bCs/>
                <w:color w:val="FF0000"/>
                <w:kern w:val="0"/>
                <w:sz w:val="18"/>
                <w:szCs w:val="20"/>
                <w:highlight w:val="none"/>
              </w:rPr>
            </w:pPr>
            <w:r>
              <w:rPr>
                <w:rFonts w:hint="default" w:ascii="宋体" w:hAnsi="宋体" w:eastAsia="宋体"/>
                <w:b/>
                <w:color w:val="FF0000"/>
                <w:kern w:val="0"/>
                <w:sz w:val="18"/>
                <w:szCs w:val="21"/>
                <w:highlight w:val="none"/>
              </w:rPr>
              <w:t>序号</w:t>
            </w:r>
          </w:p>
        </w:tc>
        <w:tc>
          <w:tcPr>
            <w:tcW w:w="1987" w:type="dxa"/>
            <w:noWrap w:val="0"/>
            <w:vAlign w:val="center"/>
          </w:tcPr>
          <w:p>
            <w:pPr>
              <w:adjustRightInd w:val="0"/>
              <w:snapToGrid w:val="0"/>
              <w:spacing w:beforeLines="0" w:afterLines="0" w:line="360" w:lineRule="auto"/>
              <w:jc w:val="center"/>
              <w:rPr>
                <w:rFonts w:ascii="宋体" w:hAnsi="宋体" w:cs="宋体"/>
                <w:b/>
                <w:bCs/>
                <w:color w:val="FF0000"/>
                <w:kern w:val="0"/>
                <w:sz w:val="18"/>
                <w:szCs w:val="20"/>
                <w:highlight w:val="none"/>
              </w:rPr>
            </w:pPr>
            <w:r>
              <w:rPr>
                <w:rFonts w:hint="eastAsia" w:ascii="宋体" w:hAnsi="宋体" w:eastAsia="宋体"/>
                <w:b/>
                <w:color w:val="FF0000"/>
                <w:kern w:val="0"/>
                <w:sz w:val="18"/>
                <w:szCs w:val="21"/>
                <w:highlight w:val="none"/>
                <w:lang w:eastAsia="zh-CN"/>
              </w:rPr>
              <w:t>子项</w:t>
            </w:r>
            <w:r>
              <w:rPr>
                <w:rFonts w:hint="default" w:ascii="宋体" w:hAnsi="宋体" w:eastAsia="宋体"/>
                <w:b/>
                <w:color w:val="FF0000"/>
                <w:kern w:val="0"/>
                <w:sz w:val="18"/>
                <w:szCs w:val="21"/>
                <w:highlight w:val="none"/>
              </w:rPr>
              <w:t>名称</w:t>
            </w:r>
          </w:p>
        </w:tc>
        <w:tc>
          <w:tcPr>
            <w:tcW w:w="1075" w:type="dxa"/>
            <w:noWrap w:val="0"/>
            <w:vAlign w:val="center"/>
          </w:tcPr>
          <w:p>
            <w:pPr>
              <w:adjustRightInd w:val="0"/>
              <w:snapToGrid w:val="0"/>
              <w:spacing w:beforeLines="0" w:afterLines="0" w:line="360" w:lineRule="auto"/>
              <w:jc w:val="center"/>
              <w:rPr>
                <w:rFonts w:hint="eastAsia" w:ascii="宋体" w:hAnsi="宋体" w:eastAsia="宋体" w:cs="宋体"/>
                <w:b/>
                <w:bCs/>
                <w:color w:val="FF0000"/>
                <w:kern w:val="0"/>
                <w:sz w:val="18"/>
                <w:szCs w:val="20"/>
                <w:highlight w:val="none"/>
                <w:lang w:eastAsia="zh-CN"/>
              </w:rPr>
            </w:pPr>
            <w:r>
              <w:rPr>
                <w:rFonts w:hint="eastAsia" w:ascii="宋体" w:hAnsi="宋体" w:eastAsia="宋体"/>
                <w:b/>
                <w:color w:val="FF0000"/>
                <w:kern w:val="0"/>
                <w:sz w:val="18"/>
                <w:szCs w:val="21"/>
                <w:highlight w:val="none"/>
                <w:lang w:eastAsia="zh-CN"/>
              </w:rPr>
              <w:t>型号</w:t>
            </w:r>
          </w:p>
        </w:tc>
        <w:tc>
          <w:tcPr>
            <w:tcW w:w="2207" w:type="dxa"/>
            <w:noWrap w:val="0"/>
            <w:vAlign w:val="center"/>
          </w:tcPr>
          <w:p>
            <w:pPr>
              <w:adjustRightInd w:val="0"/>
              <w:snapToGrid w:val="0"/>
              <w:spacing w:beforeLines="0" w:afterLines="0" w:line="360" w:lineRule="auto"/>
              <w:jc w:val="center"/>
              <w:rPr>
                <w:rFonts w:ascii="宋体" w:hAnsi="宋体" w:cs="宋体"/>
                <w:b/>
                <w:bCs/>
                <w:color w:val="FF0000"/>
                <w:kern w:val="0"/>
                <w:sz w:val="18"/>
                <w:szCs w:val="20"/>
                <w:highlight w:val="none"/>
              </w:rPr>
            </w:pPr>
            <w:r>
              <w:rPr>
                <w:rFonts w:hint="eastAsia" w:ascii="宋体" w:hAnsi="宋体"/>
                <w:b/>
                <w:color w:val="FF0000"/>
                <w:kern w:val="0"/>
                <w:sz w:val="18"/>
                <w:szCs w:val="21"/>
                <w:highlight w:val="none"/>
                <w:lang w:val="en-US" w:eastAsia="zh-CN"/>
              </w:rPr>
              <w:t>附图</w:t>
            </w:r>
          </w:p>
        </w:tc>
        <w:tc>
          <w:tcPr>
            <w:tcW w:w="4260" w:type="dxa"/>
            <w:noWrap w:val="0"/>
            <w:vAlign w:val="center"/>
          </w:tcPr>
          <w:p>
            <w:pPr>
              <w:adjustRightInd w:val="0"/>
              <w:snapToGrid w:val="0"/>
              <w:spacing w:beforeLines="0" w:afterLines="0" w:line="360" w:lineRule="auto"/>
              <w:jc w:val="center"/>
              <w:rPr>
                <w:rFonts w:ascii="宋体" w:hAnsi="宋体" w:cs="宋体"/>
                <w:b/>
                <w:bCs/>
                <w:color w:val="FF0000"/>
                <w:kern w:val="0"/>
                <w:sz w:val="18"/>
                <w:szCs w:val="20"/>
                <w:highlight w:val="none"/>
              </w:rPr>
            </w:pPr>
            <w:r>
              <w:rPr>
                <w:rFonts w:hint="default" w:ascii="宋体" w:hAnsi="宋体" w:eastAsia="宋体"/>
                <w:b/>
                <w:color w:val="FF0000"/>
                <w:kern w:val="0"/>
                <w:sz w:val="18"/>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700" w:type="dxa"/>
            <w:noWrap w:val="0"/>
            <w:vAlign w:val="center"/>
          </w:tcPr>
          <w:p>
            <w:pPr>
              <w:adjustRightInd w:val="0"/>
              <w:snapToGrid w:val="0"/>
              <w:spacing w:beforeLines="0" w:afterLines="0" w:line="360" w:lineRule="auto"/>
              <w:jc w:val="center"/>
              <w:rPr>
                <w:rFonts w:hint="eastAsia" w:ascii="宋体" w:hAnsi="宋体" w:cs="宋体"/>
                <w:b/>
                <w:bCs/>
                <w:color w:val="FF0000"/>
                <w:kern w:val="0"/>
                <w:sz w:val="18"/>
                <w:szCs w:val="20"/>
                <w:highlight w:val="yellow"/>
              </w:rPr>
            </w:pPr>
          </w:p>
        </w:tc>
        <w:tc>
          <w:tcPr>
            <w:tcW w:w="1987" w:type="dxa"/>
            <w:noWrap w:val="0"/>
            <w:vAlign w:val="center"/>
          </w:tcPr>
          <w:p>
            <w:pPr>
              <w:keepNext w:val="0"/>
              <w:keepLines w:val="0"/>
              <w:widowControl/>
              <w:suppressLineNumbers w:val="0"/>
              <w:jc w:val="center"/>
              <w:textAlignment w:val="center"/>
              <w:rPr>
                <w:rFonts w:hint="default" w:ascii="宋体" w:hAnsi="宋体" w:eastAsia="宋体" w:cs="宋体"/>
                <w:b/>
                <w:i w:val="0"/>
                <w:color w:val="FF0000"/>
                <w:kern w:val="0"/>
                <w:sz w:val="18"/>
                <w:szCs w:val="18"/>
                <w:highlight w:val="yellow"/>
                <w:u w:val="none"/>
                <w:lang w:val="en-US" w:eastAsia="zh-CN" w:bidi="ar"/>
              </w:rPr>
            </w:pPr>
            <w:r>
              <w:rPr>
                <w:rFonts w:hint="eastAsia" w:ascii="宋体" w:hAnsi="宋体" w:cs="宋体"/>
                <w:b/>
                <w:i w:val="0"/>
                <w:color w:val="FF0000"/>
                <w:kern w:val="0"/>
                <w:sz w:val="18"/>
                <w:szCs w:val="18"/>
                <w:highlight w:val="yellow"/>
                <w:u w:val="none"/>
                <w:lang w:val="en-US" w:eastAsia="zh-CN" w:bidi="ar"/>
              </w:rPr>
              <w:t>无</w:t>
            </w:r>
          </w:p>
        </w:tc>
        <w:tc>
          <w:tcPr>
            <w:tcW w:w="1075" w:type="dxa"/>
            <w:noWrap w:val="0"/>
            <w:vAlign w:val="center"/>
          </w:tcPr>
          <w:p>
            <w:pPr>
              <w:adjustRightInd w:val="0"/>
              <w:snapToGrid w:val="0"/>
              <w:spacing w:beforeLines="0" w:afterLines="0" w:line="360" w:lineRule="auto"/>
              <w:jc w:val="center"/>
              <w:rPr>
                <w:rFonts w:hint="default" w:ascii="宋体" w:hAnsi="宋体" w:eastAsia="宋体" w:cs="宋体"/>
                <w:b/>
                <w:i w:val="0"/>
                <w:color w:val="FF0000"/>
                <w:kern w:val="0"/>
                <w:sz w:val="18"/>
                <w:szCs w:val="18"/>
                <w:highlight w:val="yellow"/>
                <w:u w:val="none"/>
                <w:lang w:val="en-US" w:eastAsia="zh-CN" w:bidi="ar"/>
              </w:rPr>
            </w:pPr>
          </w:p>
        </w:tc>
        <w:tc>
          <w:tcPr>
            <w:tcW w:w="2207" w:type="dxa"/>
            <w:noWrap w:val="0"/>
            <w:vAlign w:val="center"/>
          </w:tcPr>
          <w:p>
            <w:pPr>
              <w:keepNext w:val="0"/>
              <w:keepLines w:val="0"/>
              <w:widowControl/>
              <w:suppressLineNumbers w:val="0"/>
              <w:jc w:val="center"/>
              <w:textAlignment w:val="center"/>
              <w:rPr>
                <w:rFonts w:hint="eastAsia" w:ascii="宋体" w:hAnsi="宋体" w:eastAsia="宋体" w:cs="宋体"/>
                <w:color w:val="FF0000"/>
                <w:kern w:val="2"/>
                <w:sz w:val="18"/>
                <w:szCs w:val="18"/>
                <w:highlight w:val="yellow"/>
                <w:lang w:val="en-US" w:eastAsia="zh-CN" w:bidi="ar-SA"/>
              </w:rPr>
            </w:pPr>
          </w:p>
        </w:tc>
        <w:tc>
          <w:tcPr>
            <w:tcW w:w="4260" w:type="dxa"/>
            <w:noWrap w:val="0"/>
            <w:vAlign w:val="center"/>
          </w:tcPr>
          <w:p>
            <w:pPr>
              <w:adjustRightInd w:val="0"/>
              <w:snapToGrid w:val="0"/>
              <w:spacing w:line="360" w:lineRule="auto"/>
              <w:jc w:val="both"/>
              <w:rPr>
                <w:rFonts w:hint="default" w:ascii="宋体" w:hAnsi="宋体" w:eastAsia="宋体" w:cs="宋体"/>
                <w:b w:val="0"/>
                <w:bCs w:val="0"/>
                <w:color w:val="FF0000"/>
                <w:kern w:val="0"/>
                <w:sz w:val="18"/>
                <w:szCs w:val="18"/>
                <w:highlight w:val="yellow"/>
                <w:lang w:val="en-US" w:eastAsia="zh-CN" w:bidi="ar-SA"/>
              </w:rPr>
            </w:pPr>
          </w:p>
        </w:tc>
      </w:tr>
    </w:tbl>
    <w:p>
      <w:pPr>
        <w:spacing w:line="360" w:lineRule="auto"/>
        <w:rPr>
          <w:rFonts w:hint="eastAsia" w:ascii="宋体" w:hAnsi="宋体" w:cs="宋体"/>
          <w:color w:val="auto"/>
          <w:spacing w:val="-1"/>
          <w:szCs w:val="21"/>
          <w:highlight w:val="none"/>
          <w:lang w:val="en-US" w:eastAsia="zh-CN"/>
        </w:rPr>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pPr>
    </w:p>
    <w:p>
      <w:pPr>
        <w:numPr>
          <w:ilvl w:val="0"/>
          <w:numId w:val="2"/>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联系人信息</w:t>
      </w:r>
    </w:p>
    <w:p>
      <w:pPr>
        <w:numPr>
          <w:ilvl w:val="0"/>
          <w:numId w:val="0"/>
        </w:numPr>
        <w:spacing w:line="360" w:lineRule="auto"/>
        <w:jc w:val="left"/>
        <w:outlineLvl w:val="9"/>
        <w:rPr>
          <w:rFonts w:hint="default"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 xml:space="preserve">                          ***公司（供应商填写）</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2"/>
        <w:gridCol w:w="1626"/>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姓名</w:t>
            </w:r>
          </w:p>
        </w:tc>
        <w:tc>
          <w:tcPr>
            <w:tcW w:w="1626"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职务</w:t>
            </w:r>
          </w:p>
        </w:tc>
        <w:tc>
          <w:tcPr>
            <w:tcW w:w="1704"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联系方式</w:t>
            </w:r>
          </w:p>
        </w:tc>
        <w:tc>
          <w:tcPr>
            <w:tcW w:w="1705" w:type="dxa"/>
            <w:noWrap w:val="0"/>
            <w:vAlign w:val="top"/>
          </w:tcPr>
          <w:p>
            <w:pPr>
              <w:numPr>
                <w:ilvl w:val="0"/>
                <w:numId w:val="0"/>
              </w:numPr>
              <w:spacing w:line="360" w:lineRule="auto"/>
              <w:ind w:left="0" w:leftChars="0" w:firstLine="0" w:firstLineChars="0"/>
              <w:jc w:val="center"/>
              <w:outlineLvl w:val="9"/>
              <w:rPr>
                <w:rFonts w:hint="eastAsia" w:ascii="Times New Roman" w:hAnsi="Times New Roman" w:eastAsia="宋体" w:cs="Times New Roman"/>
                <w:b/>
                <w:color w:val="auto"/>
                <w:kern w:val="2"/>
                <w:sz w:val="28"/>
                <w:szCs w:val="28"/>
                <w:highlight w:val="none"/>
                <w:vertAlign w:val="baseline"/>
                <w:lang w:val="en-US" w:eastAsia="zh-CN" w:bidi="ar-SA"/>
              </w:rPr>
            </w:pPr>
            <w:r>
              <w:rPr>
                <w:rFonts w:hint="eastAsia" w:cs="Times New Roman"/>
                <w:b/>
                <w:color w:val="auto"/>
                <w:sz w:val="28"/>
                <w:szCs w:val="28"/>
                <w:highlight w:val="none"/>
                <w:vertAlign w:val="baseline"/>
                <w:lang w:val="en-US" w:eastAsia="zh-CN"/>
              </w:rPr>
              <w:t>邮箱</w:t>
            </w:r>
          </w:p>
        </w:tc>
        <w:tc>
          <w:tcPr>
            <w:tcW w:w="1705" w:type="dxa"/>
            <w:noWrap w:val="0"/>
            <w:vAlign w:val="top"/>
          </w:tcPr>
          <w:p>
            <w:pPr>
              <w:numPr>
                <w:ilvl w:val="0"/>
                <w:numId w:val="0"/>
              </w:numPr>
              <w:spacing w:line="360" w:lineRule="auto"/>
              <w:jc w:val="center"/>
              <w:outlineLvl w:val="9"/>
              <w:rPr>
                <w:rFonts w:hint="eastAsia" w:ascii="Times New Roman" w:hAnsi="Times New Roman" w:eastAsia="宋体" w:cs="Times New Roman"/>
                <w:b/>
                <w:color w:val="auto"/>
                <w:sz w:val="28"/>
                <w:szCs w:val="28"/>
                <w:highlight w:val="none"/>
                <w:vertAlign w:val="baseline"/>
                <w:lang w:val="en-US" w:eastAsia="zh-CN"/>
              </w:rPr>
            </w:pPr>
            <w:r>
              <w:rPr>
                <w:rFonts w:hint="eastAsia" w:cs="Times New Roman"/>
                <w:b/>
                <w:color w:val="auto"/>
                <w:sz w:val="28"/>
                <w:szCs w:val="28"/>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82"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626"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4"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c>
          <w:tcPr>
            <w:tcW w:w="1705" w:type="dxa"/>
            <w:noWrap w:val="0"/>
            <w:vAlign w:val="top"/>
          </w:tcPr>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vertAlign w:val="baseline"/>
                <w:lang w:val="en-US" w:eastAsia="zh-CN"/>
              </w:rPr>
            </w:pPr>
          </w:p>
        </w:tc>
      </w:tr>
    </w:tbl>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为方便沟通，请将此项目联系人信息填写后，上传系统。</w:t>
      </w: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sectPr>
      <w:headerReference r:id="rId7" w:type="default"/>
      <w:footerReference r:id="rId8"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aJJfsM0BAACnAwAADgAAAAAAAAABACAAAAAeAQAAZHJzL2Uy&#10;b0RvYy54bWxQSwUGAAAAAAYABgBZAQAAXQUAAAAA&#10;">
              <v:fill on="f" focussize="0,0"/>
              <v:stroke on="f"/>
              <v:imagedata o:title=""/>
              <o:lock v:ext="edit" aspectratio="f"/>
              <v:textbox inset="0mm,0mm,0mm,0mm" style="mso-fit-shape-to-text:t;">
                <w:txbxContent>
                  <w:p>
                    <w:pPr>
                      <w:pStyle w:val="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YlsXDc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WPl8qjgCAABwBAAADgAAAAAAAAABACAAAAAfAQAAZHJzL2Uyb0RvYy54&#10;bWxQSwUGAAAAAAYABgBZAQAAyQU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文本框 5" o:spid="_x0000_s1026" o:spt="202" type="#_x0000_t202" style="position:absolute;left:0pt;margin-top:0pt;height:144pt;width:86.3pt;mso-position-horizontal:center;mso-position-horizontal-relative:margin;z-index:25166438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HXimijfAQAAsw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Yb7NlzAEAAKgDAAAOAAAAAAAAAAEAIAAAAB4BAABkcnMvZTJv&#10;RG9jLnhtbFBLBQYAAAAABgAGAFkBAABc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2"/>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19F56971"/>
    <w:multiLevelType w:val="singleLevel"/>
    <w:tmpl w:val="19F56971"/>
    <w:lvl w:ilvl="0" w:tentative="0">
      <w:start w:val="7"/>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Q4OWI1OGI2NTViMzg5MGZkNjhmYTBlMTcxNTA4ZWMifQ=="/>
  </w:docVars>
  <w:rsids>
    <w:rsidRoot w:val="00000000"/>
    <w:rsid w:val="001F562B"/>
    <w:rsid w:val="00310F91"/>
    <w:rsid w:val="004C5E80"/>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E108F2"/>
    <w:rsid w:val="05E438A3"/>
    <w:rsid w:val="05EB68D3"/>
    <w:rsid w:val="05F24B2A"/>
    <w:rsid w:val="06107C70"/>
    <w:rsid w:val="06182AFF"/>
    <w:rsid w:val="06370B12"/>
    <w:rsid w:val="06404F3B"/>
    <w:rsid w:val="065052D2"/>
    <w:rsid w:val="06522EEB"/>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222C"/>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B6761"/>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F475F"/>
    <w:rsid w:val="0EE762F8"/>
    <w:rsid w:val="0EF73643"/>
    <w:rsid w:val="0EFC65D9"/>
    <w:rsid w:val="0F131D91"/>
    <w:rsid w:val="0F1B31AD"/>
    <w:rsid w:val="0F1D5631"/>
    <w:rsid w:val="0F223B6E"/>
    <w:rsid w:val="0F333741"/>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1D4C12"/>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684287"/>
    <w:rsid w:val="15721CAF"/>
    <w:rsid w:val="157E07BB"/>
    <w:rsid w:val="159C6665"/>
    <w:rsid w:val="15A037DD"/>
    <w:rsid w:val="15CA0A70"/>
    <w:rsid w:val="15D43BA5"/>
    <w:rsid w:val="15D73A44"/>
    <w:rsid w:val="15DB5671"/>
    <w:rsid w:val="15DE22FD"/>
    <w:rsid w:val="15DF2A73"/>
    <w:rsid w:val="15F64129"/>
    <w:rsid w:val="160403C5"/>
    <w:rsid w:val="16094BB9"/>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E340DC"/>
    <w:rsid w:val="17052155"/>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053FA2"/>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1C44F6"/>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566362"/>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84AB5"/>
    <w:rsid w:val="23344479"/>
    <w:rsid w:val="2338657A"/>
    <w:rsid w:val="233C0A15"/>
    <w:rsid w:val="233D1FBF"/>
    <w:rsid w:val="234A5104"/>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B41C5"/>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4F381B"/>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0F6E05"/>
    <w:rsid w:val="2F355ABD"/>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11808"/>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3FC0F6B"/>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BD1500"/>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B022035"/>
    <w:rsid w:val="3B0D31A1"/>
    <w:rsid w:val="3B2422FF"/>
    <w:rsid w:val="3B30014A"/>
    <w:rsid w:val="3B4C739D"/>
    <w:rsid w:val="3B6A46EB"/>
    <w:rsid w:val="3B7540E8"/>
    <w:rsid w:val="3B777D29"/>
    <w:rsid w:val="3B8E5E13"/>
    <w:rsid w:val="3BA76A1B"/>
    <w:rsid w:val="3BA94B25"/>
    <w:rsid w:val="3BB1015F"/>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B42296"/>
    <w:rsid w:val="3EB80971"/>
    <w:rsid w:val="3EB91C7B"/>
    <w:rsid w:val="3EBC1583"/>
    <w:rsid w:val="3EBD55B8"/>
    <w:rsid w:val="3EC251E6"/>
    <w:rsid w:val="3EC36385"/>
    <w:rsid w:val="3EC468E3"/>
    <w:rsid w:val="3EC9292E"/>
    <w:rsid w:val="3ED72878"/>
    <w:rsid w:val="3EDC057E"/>
    <w:rsid w:val="3EF761CC"/>
    <w:rsid w:val="3F024B6B"/>
    <w:rsid w:val="3F09244F"/>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B63D0"/>
    <w:rsid w:val="400E4F7E"/>
    <w:rsid w:val="40147E85"/>
    <w:rsid w:val="403A356D"/>
    <w:rsid w:val="404B54E1"/>
    <w:rsid w:val="40542CAB"/>
    <w:rsid w:val="406F65B5"/>
    <w:rsid w:val="40861191"/>
    <w:rsid w:val="40880BDF"/>
    <w:rsid w:val="409B5F42"/>
    <w:rsid w:val="40A5085F"/>
    <w:rsid w:val="40B83460"/>
    <w:rsid w:val="40B86BA3"/>
    <w:rsid w:val="40BD5AAF"/>
    <w:rsid w:val="40EF62F8"/>
    <w:rsid w:val="41024F8B"/>
    <w:rsid w:val="4122537B"/>
    <w:rsid w:val="41366993"/>
    <w:rsid w:val="413D5580"/>
    <w:rsid w:val="416D5F36"/>
    <w:rsid w:val="41793C8A"/>
    <w:rsid w:val="41846D32"/>
    <w:rsid w:val="4199428A"/>
    <w:rsid w:val="41BD0C14"/>
    <w:rsid w:val="41CA5C68"/>
    <w:rsid w:val="41DB145C"/>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CF572B"/>
    <w:rsid w:val="43E80197"/>
    <w:rsid w:val="43FE60A8"/>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BA14A4"/>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C038F8"/>
    <w:rsid w:val="46D25587"/>
    <w:rsid w:val="46DF42A2"/>
    <w:rsid w:val="46E748B3"/>
    <w:rsid w:val="47136B51"/>
    <w:rsid w:val="47153F11"/>
    <w:rsid w:val="47160ACC"/>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AB43F0"/>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3A63D1"/>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CF74DE"/>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1879C0"/>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72C6D"/>
    <w:rsid w:val="5A1E7B0E"/>
    <w:rsid w:val="5A3547C6"/>
    <w:rsid w:val="5A4F32DC"/>
    <w:rsid w:val="5A5D1513"/>
    <w:rsid w:val="5A62495D"/>
    <w:rsid w:val="5A672916"/>
    <w:rsid w:val="5A7A2908"/>
    <w:rsid w:val="5A7F7766"/>
    <w:rsid w:val="5A9F4957"/>
    <w:rsid w:val="5AC667C1"/>
    <w:rsid w:val="5AE07A51"/>
    <w:rsid w:val="5AEA5BB9"/>
    <w:rsid w:val="5B510484"/>
    <w:rsid w:val="5B711A98"/>
    <w:rsid w:val="5B7133CE"/>
    <w:rsid w:val="5B714BD2"/>
    <w:rsid w:val="5B762579"/>
    <w:rsid w:val="5B9774FF"/>
    <w:rsid w:val="5B994718"/>
    <w:rsid w:val="5B9A7B8B"/>
    <w:rsid w:val="5B9E450C"/>
    <w:rsid w:val="5BA0094D"/>
    <w:rsid w:val="5BA33F33"/>
    <w:rsid w:val="5BAD29B6"/>
    <w:rsid w:val="5BBE5122"/>
    <w:rsid w:val="5BBE5B5D"/>
    <w:rsid w:val="5BE119C1"/>
    <w:rsid w:val="5BE44342"/>
    <w:rsid w:val="5BF90F8D"/>
    <w:rsid w:val="5BFF4EA7"/>
    <w:rsid w:val="5C0C1FEC"/>
    <w:rsid w:val="5C17387C"/>
    <w:rsid w:val="5C1C13A1"/>
    <w:rsid w:val="5C3058AF"/>
    <w:rsid w:val="5C435CA8"/>
    <w:rsid w:val="5C493E9F"/>
    <w:rsid w:val="5C5C72E8"/>
    <w:rsid w:val="5C7800E7"/>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C31C98"/>
    <w:rsid w:val="5DCE20D6"/>
    <w:rsid w:val="5DDA5F3F"/>
    <w:rsid w:val="5DE376B4"/>
    <w:rsid w:val="5DEE46AA"/>
    <w:rsid w:val="5E001C8A"/>
    <w:rsid w:val="5E143908"/>
    <w:rsid w:val="5E3C453C"/>
    <w:rsid w:val="5E3F6065"/>
    <w:rsid w:val="5E46496A"/>
    <w:rsid w:val="5E4948EE"/>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153DB"/>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8380D"/>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C63A92"/>
    <w:rsid w:val="6BDC1E93"/>
    <w:rsid w:val="6BDF09A7"/>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B477E"/>
    <w:rsid w:val="6E3E44DB"/>
    <w:rsid w:val="6E4F44B2"/>
    <w:rsid w:val="6E622769"/>
    <w:rsid w:val="6E75603D"/>
    <w:rsid w:val="6E7D62C2"/>
    <w:rsid w:val="6E7F7EDE"/>
    <w:rsid w:val="6E8C4088"/>
    <w:rsid w:val="6EA607E8"/>
    <w:rsid w:val="6EAB0F6D"/>
    <w:rsid w:val="6EAB4E53"/>
    <w:rsid w:val="6ED2123B"/>
    <w:rsid w:val="6ED2339A"/>
    <w:rsid w:val="6EDA001F"/>
    <w:rsid w:val="6EFB6D13"/>
    <w:rsid w:val="6EFD5BBE"/>
    <w:rsid w:val="6F211D2D"/>
    <w:rsid w:val="6F281BA4"/>
    <w:rsid w:val="6F327323"/>
    <w:rsid w:val="6F333990"/>
    <w:rsid w:val="6F4540F7"/>
    <w:rsid w:val="6F4D09C5"/>
    <w:rsid w:val="6F5B1CE5"/>
    <w:rsid w:val="6F631E6C"/>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6D4F4D"/>
    <w:rsid w:val="71714DF0"/>
    <w:rsid w:val="71831082"/>
    <w:rsid w:val="719544EE"/>
    <w:rsid w:val="71AA722F"/>
    <w:rsid w:val="71AD5EFF"/>
    <w:rsid w:val="71B409AD"/>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0A754D"/>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5FC6959"/>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6FD6ABF"/>
    <w:rsid w:val="77095357"/>
    <w:rsid w:val="771529E6"/>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51092"/>
    <w:rsid w:val="7AD77726"/>
    <w:rsid w:val="7ADC38AB"/>
    <w:rsid w:val="7AE860BA"/>
    <w:rsid w:val="7AFD3C43"/>
    <w:rsid w:val="7B112691"/>
    <w:rsid w:val="7B192531"/>
    <w:rsid w:val="7B5D7B42"/>
    <w:rsid w:val="7B9B1BC8"/>
    <w:rsid w:val="7B9B3CBB"/>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D6618"/>
    <w:rsid w:val="7D2B29DB"/>
    <w:rsid w:val="7D2D0AF4"/>
    <w:rsid w:val="7D477A27"/>
    <w:rsid w:val="7D557414"/>
    <w:rsid w:val="7D5E3508"/>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EEB524D"/>
    <w:rsid w:val="7F0916B6"/>
    <w:rsid w:val="7F1247D9"/>
    <w:rsid w:val="7F1267E3"/>
    <w:rsid w:val="7F27298D"/>
    <w:rsid w:val="7F397AD6"/>
    <w:rsid w:val="7F495065"/>
    <w:rsid w:val="7F4967C1"/>
    <w:rsid w:val="7F7C6DD4"/>
    <w:rsid w:val="7F8E5D15"/>
    <w:rsid w:val="7F9031EA"/>
    <w:rsid w:val="7F9B5A4D"/>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4"/>
    <w:next w:val="4"/>
    <w:unhideWhenUsed/>
    <w:qFormat/>
    <w:uiPriority w:val="99"/>
    <w:pPr>
      <w:spacing w:after="120"/>
    </w:pPr>
  </w:style>
  <w:style w:type="paragraph" w:styleId="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footer"/>
    <w:basedOn w:val="1"/>
    <w:unhideWhenUsed/>
    <w:qFormat/>
    <w:uiPriority w:val="99"/>
    <w:pPr>
      <w:tabs>
        <w:tab w:val="center" w:pos="4153"/>
        <w:tab w:val="right" w:pos="8306"/>
      </w:tabs>
      <w:snapToGrid w:val="0"/>
      <w:jc w:val="left"/>
    </w:pPr>
    <w:rPr>
      <w:kern w:val="0"/>
      <w:sz w:val="18"/>
      <w:szCs w:val="18"/>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34</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吴新文</cp:lastModifiedBy>
  <dcterms:modified xsi:type="dcterms:W3CDTF">2024-07-12T01:58:10Z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A77E01B061E94E87A466E431FDE99643_13</vt:lpwstr>
  </property>
</Properties>
</file>