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40"/>
          <w:szCs w:val="40"/>
        </w:rPr>
      </w:pPr>
    </w:p>
    <w:p>
      <w:pPr>
        <w:jc w:val="center"/>
        <w:rPr>
          <w:rFonts w:hint="eastAsia" w:ascii="宋体" w:hAnsi="宋体" w:eastAsia="宋体" w:cs="宋体"/>
          <w:b/>
          <w:bCs/>
          <w:sz w:val="44"/>
          <w:szCs w:val="44"/>
        </w:rPr>
      </w:pPr>
      <w:r>
        <w:rPr>
          <w:rFonts w:hint="eastAsia" w:ascii="宋体" w:hAnsi="宋体" w:eastAsia="宋体" w:cs="宋体"/>
          <w:b/>
          <w:bCs/>
          <w:sz w:val="44"/>
          <w:szCs w:val="44"/>
        </w:rPr>
        <w:t>文山文电设计有限公司</w:t>
      </w:r>
      <w:r>
        <w:rPr>
          <w:rFonts w:hint="eastAsia" w:ascii="宋体" w:hAnsi="宋体" w:eastAsia="宋体" w:cs="宋体"/>
          <w:b/>
          <w:bCs/>
          <w:sz w:val="44"/>
          <w:szCs w:val="44"/>
          <w:lang w:val="en-US" w:eastAsia="zh-CN"/>
        </w:rPr>
        <w:t>资产清查</w:t>
      </w:r>
      <w:r>
        <w:rPr>
          <w:rFonts w:hint="eastAsia" w:ascii="宋体" w:hAnsi="宋体" w:eastAsia="宋体" w:cs="宋体"/>
          <w:b/>
          <w:bCs/>
          <w:sz w:val="44"/>
          <w:szCs w:val="44"/>
        </w:rPr>
        <w:t>服务</w:t>
      </w:r>
    </w:p>
    <w:p>
      <w:pPr>
        <w:jc w:val="center"/>
        <w:rPr>
          <w:rFonts w:hint="eastAsia" w:ascii="宋体" w:hAnsi="宋体" w:eastAsia="宋体" w:cs="宋体"/>
          <w:b/>
          <w:bCs/>
          <w:sz w:val="44"/>
          <w:szCs w:val="44"/>
        </w:rPr>
      </w:pPr>
    </w:p>
    <w:p>
      <w:pPr>
        <w:jc w:val="center"/>
        <w:rPr>
          <w:rFonts w:hint="eastAsia" w:ascii="宋体" w:hAnsi="宋体" w:eastAsia="宋体" w:cs="宋体"/>
          <w:b/>
          <w:bCs/>
          <w:sz w:val="40"/>
          <w:szCs w:val="40"/>
        </w:rPr>
      </w:pPr>
      <w:r>
        <w:rPr>
          <w:rFonts w:hint="eastAsia" w:ascii="宋体" w:hAnsi="宋体" w:eastAsia="宋体" w:cs="宋体"/>
          <w:b/>
          <w:bCs/>
          <w:sz w:val="44"/>
          <w:szCs w:val="44"/>
        </w:rPr>
        <w:t>技术规范书</w:t>
      </w: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rPr>
          <w:rFonts w:hint="eastAsia" w:ascii="宋体" w:hAnsi="宋体" w:eastAsia="宋体" w:cs="宋体"/>
          <w:sz w:val="32"/>
          <w:szCs w:val="32"/>
        </w:rPr>
      </w:pPr>
    </w:p>
    <w:p>
      <w:pPr>
        <w:ind w:firstLine="640" w:firstLineChars="200"/>
        <w:jc w:val="both"/>
        <w:rPr>
          <w:rFonts w:hint="eastAsia" w:ascii="宋体" w:hAnsi="宋体" w:eastAsia="宋体" w:cs="宋体"/>
          <w:sz w:val="32"/>
          <w:szCs w:val="32"/>
        </w:rPr>
      </w:pPr>
    </w:p>
    <w:p>
      <w:pPr>
        <w:jc w:val="center"/>
        <w:rPr>
          <w:rFonts w:hint="eastAsia" w:ascii="宋体" w:hAnsi="宋体" w:eastAsia="宋体" w:cs="宋体"/>
          <w:sz w:val="36"/>
          <w:szCs w:val="36"/>
        </w:rPr>
      </w:pPr>
      <w:r>
        <w:rPr>
          <w:rFonts w:hint="eastAsia" w:ascii="宋体" w:hAnsi="宋体" w:eastAsia="宋体" w:cs="宋体"/>
          <w:sz w:val="36"/>
          <w:szCs w:val="36"/>
        </w:rPr>
        <w:t>文山供电局文山文电设计有限公司</w:t>
      </w:r>
    </w:p>
    <w:p>
      <w:pPr>
        <w:jc w:val="center"/>
        <w:rPr>
          <w:rFonts w:hint="eastAsia" w:ascii="宋体" w:hAnsi="宋体" w:eastAsia="宋体" w:cs="宋体"/>
          <w:sz w:val="36"/>
          <w:szCs w:val="36"/>
        </w:rPr>
      </w:pPr>
      <w:r>
        <w:rPr>
          <w:rFonts w:hint="eastAsia" w:ascii="宋体" w:hAnsi="宋体" w:eastAsia="宋体" w:cs="宋体"/>
          <w:sz w:val="36"/>
          <w:szCs w:val="36"/>
        </w:rPr>
        <w:t>2024年</w:t>
      </w:r>
      <w:r>
        <w:rPr>
          <w:rFonts w:hint="eastAsia" w:ascii="宋体" w:hAnsi="宋体" w:eastAsia="宋体" w:cs="宋体"/>
          <w:sz w:val="36"/>
          <w:szCs w:val="36"/>
          <w:lang w:val="en-US" w:eastAsia="zh-CN"/>
        </w:rPr>
        <w:t>8</w:t>
      </w:r>
      <w:r>
        <w:rPr>
          <w:rFonts w:hint="eastAsia" w:ascii="宋体" w:hAnsi="宋体" w:eastAsia="宋体" w:cs="宋体"/>
          <w:sz w:val="36"/>
          <w:szCs w:val="36"/>
        </w:rPr>
        <w:t>月</w:t>
      </w:r>
    </w:p>
    <w:p>
      <w:pPr>
        <w:rPr>
          <w:rFonts w:hint="eastAsia" w:ascii="宋体" w:hAnsi="宋体" w:eastAsia="宋体" w:cs="宋体"/>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36"/>
          <w:szCs w:val="36"/>
        </w:rPr>
      </w:pPr>
      <w:r>
        <w:rPr>
          <w:rFonts w:hint="eastAsia" w:ascii="宋体" w:hAnsi="宋体" w:eastAsia="宋体" w:cs="宋体"/>
          <w:b/>
          <w:bCs/>
          <w:sz w:val="36"/>
          <w:szCs w:val="36"/>
        </w:rPr>
        <w:t>项目内容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32"/>
          <w:szCs w:val="32"/>
        </w:rPr>
      </w:pPr>
      <w:r>
        <w:rPr>
          <w:rFonts w:hint="eastAsia" w:ascii="宋体" w:hAnsi="宋体" w:eastAsia="宋体" w:cs="宋体"/>
          <w:sz w:val="32"/>
          <w:szCs w:val="32"/>
        </w:rPr>
        <w:t>1.1.项目概述</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因我单位</w:t>
      </w:r>
      <w:r>
        <w:rPr>
          <w:rFonts w:hint="eastAsia" w:ascii="宋体" w:hAnsi="宋体" w:eastAsia="宋体" w:cs="宋体"/>
          <w:sz w:val="32"/>
          <w:szCs w:val="32"/>
          <w:lang w:val="en-US" w:eastAsia="zh-CN"/>
        </w:rPr>
        <w:t>资产清查</w:t>
      </w:r>
      <w:r>
        <w:rPr>
          <w:rFonts w:hint="eastAsia" w:ascii="宋体" w:hAnsi="宋体" w:eastAsia="宋体" w:cs="宋体"/>
          <w:sz w:val="32"/>
          <w:szCs w:val="32"/>
        </w:rPr>
        <w:t>工作需要，现需购入</w:t>
      </w:r>
      <w:r>
        <w:rPr>
          <w:rFonts w:hint="eastAsia" w:ascii="宋体" w:hAnsi="宋体" w:eastAsia="宋体" w:cs="宋体"/>
          <w:sz w:val="32"/>
          <w:szCs w:val="32"/>
          <w:lang w:val="en-US" w:eastAsia="zh-CN"/>
        </w:rPr>
        <w:t>资产清查</w:t>
      </w:r>
      <w:r>
        <w:rPr>
          <w:rFonts w:hint="eastAsia" w:ascii="宋体" w:hAnsi="宋体" w:eastAsia="宋体" w:cs="宋体"/>
          <w:sz w:val="32"/>
          <w:szCs w:val="32"/>
        </w:rPr>
        <w:t>服务。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32"/>
          <w:szCs w:val="32"/>
          <w:lang w:eastAsia="zh-CN"/>
        </w:rPr>
      </w:pPr>
      <w:r>
        <w:rPr>
          <w:rFonts w:hint="eastAsia" w:ascii="宋体" w:hAnsi="宋体" w:eastAsia="宋体" w:cs="宋体"/>
          <w:sz w:val="32"/>
          <w:szCs w:val="32"/>
        </w:rPr>
        <w:t>1.2.项目</w:t>
      </w:r>
      <w:r>
        <w:rPr>
          <w:rFonts w:hint="eastAsia" w:ascii="宋体" w:hAnsi="宋体" w:eastAsia="宋体" w:cs="宋体"/>
          <w:sz w:val="32"/>
          <w:szCs w:val="32"/>
          <w:lang w:val="en-US" w:eastAsia="zh-CN"/>
        </w:rPr>
        <w:t>目标</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拟通过</w:t>
      </w:r>
      <w:r>
        <w:rPr>
          <w:rFonts w:hint="eastAsia" w:ascii="宋体" w:hAnsi="宋体" w:eastAsia="宋体" w:cs="宋体"/>
          <w:color w:val="000000"/>
          <w:spacing w:val="0"/>
          <w:w w:val="100"/>
          <w:position w:val="0"/>
          <w:sz w:val="32"/>
          <w:szCs w:val="32"/>
        </w:rPr>
        <w:t>通过</w:t>
      </w:r>
      <w:r>
        <w:rPr>
          <w:rFonts w:hint="eastAsia" w:ascii="宋体" w:hAnsi="宋体" w:eastAsia="宋体" w:cs="宋体"/>
          <w:color w:val="auto"/>
          <w:spacing w:val="0"/>
          <w:w w:val="100"/>
          <w:position w:val="0"/>
          <w:sz w:val="32"/>
          <w:szCs w:val="32"/>
          <w:lang w:eastAsia="zh-CN"/>
        </w:rPr>
        <w:t>全面</w:t>
      </w:r>
      <w:r>
        <w:rPr>
          <w:rFonts w:hint="eastAsia" w:ascii="宋体" w:hAnsi="宋体" w:eastAsia="宋体" w:cs="宋体"/>
          <w:color w:val="auto"/>
          <w:spacing w:val="0"/>
          <w:w w:val="100"/>
          <w:position w:val="0"/>
          <w:sz w:val="32"/>
          <w:szCs w:val="32"/>
        </w:rPr>
        <w:t>彻底</w:t>
      </w:r>
      <w:r>
        <w:rPr>
          <w:rFonts w:hint="eastAsia" w:ascii="宋体" w:hAnsi="宋体" w:eastAsia="宋体" w:cs="宋体"/>
          <w:color w:val="000000"/>
          <w:spacing w:val="0"/>
          <w:w w:val="100"/>
          <w:position w:val="0"/>
          <w:sz w:val="32"/>
          <w:szCs w:val="32"/>
        </w:rPr>
        <w:t>、不重不漏的资产清查盘点，</w:t>
      </w:r>
      <w:r>
        <w:rPr>
          <w:rFonts w:hint="eastAsia" w:ascii="宋体" w:hAnsi="宋体" w:eastAsia="宋体" w:cs="宋体"/>
          <w:color w:val="000000"/>
          <w:spacing w:val="0"/>
          <w:w w:val="100"/>
          <w:position w:val="0"/>
          <w:sz w:val="32"/>
          <w:szCs w:val="32"/>
          <w:lang w:eastAsia="zh-CN"/>
        </w:rPr>
        <w:t>确保</w:t>
      </w:r>
      <w:r>
        <w:rPr>
          <w:rFonts w:hint="eastAsia" w:ascii="宋体" w:hAnsi="宋体" w:eastAsia="宋体" w:cs="宋体"/>
          <w:color w:val="000000"/>
          <w:spacing w:val="0"/>
          <w:w w:val="100"/>
          <w:position w:val="0"/>
          <w:sz w:val="32"/>
          <w:szCs w:val="32"/>
          <w:lang w:val="en-US" w:eastAsia="zh-CN"/>
        </w:rPr>
        <w:t>我单位</w:t>
      </w:r>
      <w:r>
        <w:rPr>
          <w:rFonts w:hint="eastAsia" w:ascii="宋体" w:hAnsi="宋体" w:eastAsia="宋体" w:cs="宋体"/>
          <w:color w:val="000000"/>
          <w:spacing w:val="0"/>
          <w:w w:val="100"/>
          <w:position w:val="0"/>
          <w:sz w:val="32"/>
          <w:szCs w:val="32"/>
        </w:rPr>
        <w:t>切实摸清资产“家底”</w:t>
      </w:r>
      <w:r>
        <w:rPr>
          <w:rFonts w:hint="eastAsia" w:ascii="宋体" w:hAnsi="宋体" w:eastAsia="宋体" w:cs="宋体"/>
          <w:color w:val="000000"/>
          <w:spacing w:val="0"/>
          <w:w w:val="100"/>
          <w:position w:val="0"/>
          <w:sz w:val="32"/>
          <w:szCs w:val="32"/>
          <w:lang w:val="en-US" w:eastAsia="zh-CN"/>
        </w:rPr>
        <w:t>做到账、卡、物一致</w:t>
      </w:r>
      <w:r>
        <w:rPr>
          <w:rFonts w:hint="eastAsia" w:ascii="宋体" w:hAnsi="宋体" w:eastAsia="宋体" w:cs="宋体"/>
          <w:sz w:val="32"/>
          <w:szCs w:val="32"/>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32"/>
          <w:szCs w:val="32"/>
        </w:rPr>
      </w:pPr>
      <w:r>
        <w:rPr>
          <w:rFonts w:hint="eastAsia" w:ascii="宋体" w:hAnsi="宋体" w:eastAsia="宋体" w:cs="宋体"/>
          <w:sz w:val="32"/>
          <w:szCs w:val="32"/>
        </w:rPr>
        <w:t>1.3.项目内容</w:t>
      </w:r>
    </w:p>
    <w:p>
      <w:pPr>
        <w:pStyle w:val="4"/>
        <w:keepNext w:val="0"/>
        <w:keepLines w:val="0"/>
        <w:pageBreakBefore w:val="0"/>
        <w:widowControl w:val="0"/>
        <w:shd w:val="clear" w:color="auto" w:fill="auto"/>
        <w:tabs>
          <w:tab w:val="left" w:pos="1460"/>
        </w:tabs>
        <w:kinsoku/>
        <w:wordWrap/>
        <w:overflowPunct/>
        <w:topLinePunct w:val="0"/>
        <w:autoSpaceDE/>
        <w:autoSpaceDN/>
        <w:bidi w:val="0"/>
        <w:adjustRightInd/>
        <w:snapToGrid/>
        <w:spacing w:before="0" w:after="0" w:line="360" w:lineRule="auto"/>
        <w:ind w:left="0" w:right="0" w:firstLine="640" w:firstLineChars="200"/>
        <w:jc w:val="both"/>
        <w:textAlignment w:val="auto"/>
        <w:rPr>
          <w:rFonts w:hint="eastAsia" w:ascii="宋体" w:hAnsi="宋体" w:eastAsia="宋体" w:cs="宋体"/>
          <w:color w:val="auto"/>
          <w:sz w:val="32"/>
          <w:szCs w:val="32"/>
          <w:highlight w:val="none"/>
        </w:rPr>
      </w:pPr>
      <w:r>
        <w:rPr>
          <w:rFonts w:hint="eastAsia" w:ascii="宋体" w:hAnsi="宋体" w:eastAsia="宋体" w:cs="宋体"/>
          <w:sz w:val="32"/>
          <w:szCs w:val="32"/>
        </w:rPr>
        <w:t>1.3.</w:t>
      </w:r>
      <w:r>
        <w:rPr>
          <w:rFonts w:hint="eastAsia" w:cs="宋体"/>
          <w:sz w:val="32"/>
          <w:szCs w:val="32"/>
          <w:lang w:val="en-US" w:eastAsia="zh-CN"/>
        </w:rPr>
        <w:t>1.</w:t>
      </w:r>
      <w:r>
        <w:rPr>
          <w:rFonts w:hint="eastAsia" w:ascii="宋体" w:hAnsi="宋体" w:eastAsia="宋体" w:cs="宋体"/>
          <w:color w:val="auto"/>
          <w:spacing w:val="0"/>
          <w:w w:val="100"/>
          <w:position w:val="0"/>
          <w:sz w:val="32"/>
          <w:szCs w:val="32"/>
          <w:highlight w:val="none"/>
        </w:rPr>
        <w:t>清查核实资产，确保已按照有关制度建立健全固定资产明细表和固定资产卡片，确保每项固定资产及无形资产“账、卡、物”相符，并</w:t>
      </w:r>
      <w:r>
        <w:rPr>
          <w:rFonts w:hint="eastAsia" w:ascii="宋体" w:hAnsi="宋体" w:eastAsia="宋体" w:cs="宋体"/>
          <w:color w:val="auto"/>
          <w:spacing w:val="0"/>
          <w:w w:val="100"/>
          <w:position w:val="0"/>
          <w:sz w:val="32"/>
          <w:szCs w:val="32"/>
          <w:highlight w:val="none"/>
          <w:lang w:val="en-US" w:eastAsia="zh-CN"/>
        </w:rPr>
        <w:t>与</w:t>
      </w:r>
      <w:r>
        <w:rPr>
          <w:rFonts w:hint="eastAsia" w:ascii="宋体" w:hAnsi="宋体" w:eastAsia="宋体" w:cs="宋体"/>
          <w:color w:val="auto"/>
          <w:spacing w:val="0"/>
          <w:w w:val="100"/>
          <w:position w:val="0"/>
          <w:sz w:val="32"/>
          <w:szCs w:val="32"/>
          <w:highlight w:val="none"/>
        </w:rPr>
        <w:t>账面金额完全一致。</w:t>
      </w:r>
    </w:p>
    <w:p>
      <w:pPr>
        <w:pStyle w:val="4"/>
        <w:keepNext w:val="0"/>
        <w:keepLines w:val="0"/>
        <w:pageBreakBefore w:val="0"/>
        <w:widowControl w:val="0"/>
        <w:shd w:val="clear" w:color="auto" w:fill="auto"/>
        <w:tabs>
          <w:tab w:val="left" w:pos="1460"/>
        </w:tabs>
        <w:kinsoku/>
        <w:wordWrap/>
        <w:overflowPunct/>
        <w:topLinePunct w:val="0"/>
        <w:autoSpaceDE/>
        <w:autoSpaceDN/>
        <w:bidi w:val="0"/>
        <w:adjustRightInd/>
        <w:snapToGrid/>
        <w:spacing w:before="0" w:after="0" w:line="360" w:lineRule="auto"/>
        <w:ind w:left="0" w:right="0" w:firstLine="640" w:firstLineChars="200"/>
        <w:jc w:val="both"/>
        <w:textAlignment w:val="auto"/>
        <w:rPr>
          <w:rFonts w:hint="eastAsia" w:ascii="宋体" w:hAnsi="宋体" w:eastAsia="宋体" w:cs="宋体"/>
          <w:color w:val="auto"/>
          <w:sz w:val="32"/>
          <w:szCs w:val="32"/>
          <w:highlight w:val="none"/>
        </w:rPr>
      </w:pPr>
      <w:r>
        <w:rPr>
          <w:rFonts w:hint="eastAsia" w:ascii="宋体" w:hAnsi="宋体" w:eastAsia="宋体" w:cs="宋体"/>
          <w:sz w:val="32"/>
          <w:szCs w:val="32"/>
        </w:rPr>
        <w:t>1.3.</w:t>
      </w:r>
      <w:r>
        <w:rPr>
          <w:rFonts w:hint="eastAsia" w:cs="宋体"/>
          <w:sz w:val="32"/>
          <w:szCs w:val="32"/>
          <w:lang w:val="en-US" w:eastAsia="zh-CN"/>
        </w:rPr>
        <w:t>2.</w:t>
      </w:r>
      <w:r>
        <w:rPr>
          <w:rFonts w:hint="eastAsia" w:ascii="宋体" w:hAnsi="宋体" w:eastAsia="宋体" w:cs="宋体"/>
          <w:color w:val="auto"/>
          <w:spacing w:val="0"/>
          <w:w w:val="100"/>
          <w:position w:val="0"/>
          <w:sz w:val="32"/>
          <w:szCs w:val="32"/>
          <w:highlight w:val="none"/>
          <w:lang w:val="en-US" w:eastAsia="zh-CN"/>
        </w:rPr>
        <w:t>完成处理</w:t>
      </w:r>
      <w:r>
        <w:rPr>
          <w:rFonts w:hint="eastAsia" w:ascii="宋体" w:hAnsi="宋体" w:eastAsia="宋体" w:cs="宋体"/>
          <w:color w:val="auto"/>
          <w:spacing w:val="0"/>
          <w:w w:val="100"/>
          <w:position w:val="0"/>
          <w:sz w:val="32"/>
          <w:szCs w:val="32"/>
          <w:highlight w:val="none"/>
        </w:rPr>
        <w:t>资产清查工作中发现的各项盘盈、盘亏、损失等问题</w:t>
      </w:r>
      <w:r>
        <w:rPr>
          <w:rFonts w:hint="eastAsia" w:ascii="宋体" w:hAnsi="宋体" w:eastAsia="宋体" w:cs="宋体"/>
          <w:color w:val="auto"/>
          <w:spacing w:val="0"/>
          <w:w w:val="100"/>
          <w:position w:val="0"/>
          <w:sz w:val="32"/>
          <w:szCs w:val="32"/>
          <w:highlight w:val="none"/>
          <w:lang w:val="en-US" w:eastAsia="zh-CN"/>
        </w:rPr>
        <w:t>处理</w:t>
      </w:r>
      <w:r>
        <w:rPr>
          <w:rFonts w:hint="eastAsia" w:ascii="宋体" w:hAnsi="宋体" w:eastAsia="宋体" w:cs="宋体"/>
          <w:color w:val="auto"/>
          <w:spacing w:val="0"/>
          <w:w w:val="100"/>
          <w:position w:val="0"/>
          <w:sz w:val="32"/>
          <w:szCs w:val="32"/>
          <w:highlight w:val="none"/>
        </w:rPr>
        <w:t>。</w:t>
      </w:r>
    </w:p>
    <w:p>
      <w:pPr>
        <w:pStyle w:val="4"/>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40" w:firstLineChars="200"/>
        <w:jc w:val="both"/>
        <w:textAlignment w:val="auto"/>
        <w:rPr>
          <w:rFonts w:hint="eastAsia" w:ascii="宋体" w:hAnsi="宋体" w:eastAsia="宋体" w:cs="宋体"/>
          <w:color w:val="auto"/>
          <w:spacing w:val="0"/>
          <w:w w:val="100"/>
          <w:position w:val="0"/>
          <w:sz w:val="32"/>
          <w:szCs w:val="32"/>
          <w:highlight w:val="none"/>
        </w:rPr>
      </w:pPr>
      <w:r>
        <w:rPr>
          <w:rFonts w:hint="eastAsia" w:ascii="宋体" w:hAnsi="宋体" w:eastAsia="宋体" w:cs="宋体"/>
          <w:sz w:val="32"/>
          <w:szCs w:val="32"/>
        </w:rPr>
        <w:t>1.3.</w:t>
      </w:r>
      <w:r>
        <w:rPr>
          <w:rFonts w:hint="eastAsia" w:cs="宋体"/>
          <w:sz w:val="32"/>
          <w:szCs w:val="32"/>
          <w:lang w:val="en-US" w:eastAsia="zh-CN"/>
        </w:rPr>
        <w:t>3.</w:t>
      </w:r>
      <w:r>
        <w:rPr>
          <w:rFonts w:hint="eastAsia" w:ascii="宋体" w:hAnsi="宋体" w:eastAsia="宋体" w:cs="宋体"/>
          <w:color w:val="auto"/>
          <w:spacing w:val="0"/>
          <w:w w:val="100"/>
          <w:position w:val="0"/>
          <w:sz w:val="32"/>
          <w:szCs w:val="32"/>
          <w:highlight w:val="none"/>
        </w:rPr>
        <w:t>清理不具备使用价值、长期积压的待处置资产，并整理出《待报废资产明细表》，为进一步资产报废处置提供依据。</w:t>
      </w:r>
      <w:r>
        <w:rPr>
          <w:rFonts w:hint="eastAsia" w:ascii="宋体" w:hAnsi="宋体" w:eastAsia="宋体" w:cs="宋体"/>
          <w:color w:val="auto"/>
          <w:spacing w:val="0"/>
          <w:w w:val="100"/>
          <w:position w:val="0"/>
          <w:sz w:val="32"/>
          <w:szCs w:val="32"/>
          <w:highlight w:val="none"/>
          <w:lang w:val="en-US" w:eastAsia="zh-CN"/>
        </w:rPr>
        <w:t>完成</w:t>
      </w:r>
      <w:r>
        <w:rPr>
          <w:rFonts w:hint="eastAsia" w:ascii="宋体" w:hAnsi="宋体" w:eastAsia="宋体" w:cs="宋体"/>
          <w:color w:val="auto"/>
          <w:spacing w:val="0"/>
          <w:w w:val="100"/>
          <w:position w:val="0"/>
          <w:sz w:val="32"/>
          <w:szCs w:val="32"/>
          <w:highlight w:val="none"/>
        </w:rPr>
        <w:t>处置待报废资产，有效盘活并高效使用固定资产，并根据实际需要出具资产</w:t>
      </w:r>
      <w:r>
        <w:rPr>
          <w:rFonts w:hint="eastAsia" w:ascii="宋体" w:hAnsi="宋体" w:eastAsia="宋体" w:cs="宋体"/>
          <w:color w:val="auto"/>
          <w:spacing w:val="0"/>
          <w:w w:val="100"/>
          <w:position w:val="0"/>
          <w:sz w:val="32"/>
          <w:szCs w:val="32"/>
          <w:highlight w:val="none"/>
          <w:lang w:val="en-US" w:eastAsia="zh-CN"/>
        </w:rPr>
        <w:t>清查</w:t>
      </w:r>
      <w:r>
        <w:rPr>
          <w:rFonts w:hint="eastAsia" w:ascii="宋体" w:hAnsi="宋体" w:eastAsia="宋体" w:cs="宋体"/>
          <w:color w:val="auto"/>
          <w:spacing w:val="0"/>
          <w:w w:val="100"/>
          <w:position w:val="0"/>
          <w:sz w:val="32"/>
          <w:szCs w:val="32"/>
          <w:highlight w:val="none"/>
        </w:rPr>
        <w:t>报告。</w:t>
      </w:r>
      <w:bookmarkStart w:id="0" w:name="bookmark8"/>
    </w:p>
    <w:bookmarkEnd w:id="0"/>
    <w:p>
      <w:pPr>
        <w:pStyle w:val="4"/>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40" w:firstLineChars="200"/>
        <w:jc w:val="both"/>
        <w:textAlignment w:val="auto"/>
        <w:rPr>
          <w:rFonts w:hint="eastAsia" w:ascii="宋体" w:hAnsi="宋体" w:eastAsia="宋体" w:cs="宋体"/>
          <w:color w:val="auto"/>
          <w:spacing w:val="0"/>
          <w:w w:val="100"/>
          <w:position w:val="0"/>
          <w:sz w:val="32"/>
          <w:szCs w:val="32"/>
          <w:highlight w:val="none"/>
        </w:rPr>
      </w:pPr>
      <w:r>
        <w:rPr>
          <w:rFonts w:hint="eastAsia" w:ascii="宋体" w:hAnsi="宋体" w:eastAsia="宋体" w:cs="宋体"/>
          <w:sz w:val="32"/>
          <w:szCs w:val="32"/>
        </w:rPr>
        <w:t>1.3.</w:t>
      </w:r>
      <w:r>
        <w:rPr>
          <w:rFonts w:hint="eastAsia" w:cs="宋体"/>
          <w:sz w:val="32"/>
          <w:szCs w:val="32"/>
          <w:lang w:val="en-US" w:eastAsia="zh-CN"/>
        </w:rPr>
        <w:t>4.</w:t>
      </w:r>
      <w:r>
        <w:rPr>
          <w:rFonts w:hint="eastAsia" w:ascii="宋体" w:hAnsi="宋体" w:eastAsia="宋体" w:cs="宋体"/>
          <w:color w:val="auto"/>
          <w:spacing w:val="0"/>
          <w:w w:val="100"/>
          <w:position w:val="0"/>
          <w:sz w:val="32"/>
          <w:szCs w:val="32"/>
          <w:highlight w:val="none"/>
        </w:rPr>
        <w:t>更换粘贴最新固定资产标签，规范固定资产标签化管理。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32"/>
          <w:szCs w:val="32"/>
        </w:rPr>
      </w:pPr>
      <w:r>
        <w:rPr>
          <w:rFonts w:hint="eastAsia" w:ascii="宋体" w:hAnsi="宋体" w:eastAsia="宋体" w:cs="宋体"/>
          <w:sz w:val="32"/>
          <w:szCs w:val="32"/>
        </w:rPr>
        <w:t>1.</w:t>
      </w:r>
      <w:r>
        <w:rPr>
          <w:rFonts w:hint="eastAsia" w:ascii="宋体" w:hAnsi="宋体" w:eastAsia="宋体" w:cs="宋体"/>
          <w:sz w:val="32"/>
          <w:szCs w:val="32"/>
          <w:lang w:val="en-US" w:eastAsia="zh-CN"/>
        </w:rPr>
        <w:t>4.</w:t>
      </w:r>
      <w:r>
        <w:rPr>
          <w:rFonts w:hint="eastAsia" w:ascii="宋体" w:hAnsi="宋体" w:eastAsia="宋体" w:cs="宋体"/>
          <w:sz w:val="32"/>
          <w:szCs w:val="32"/>
        </w:rPr>
        <w:t>应用范围</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文山供电局文山文电设计有限公司。</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32"/>
          <w:szCs w:val="32"/>
        </w:rPr>
      </w:pPr>
      <w:r>
        <w:rPr>
          <w:rFonts w:hint="eastAsia" w:ascii="宋体" w:hAnsi="宋体" w:eastAsia="宋体" w:cs="宋体"/>
          <w:sz w:val="32"/>
          <w:szCs w:val="32"/>
        </w:rPr>
        <w:t>1.</w:t>
      </w:r>
      <w:r>
        <w:rPr>
          <w:rFonts w:hint="eastAsia" w:ascii="宋体" w:hAnsi="宋体" w:eastAsia="宋体" w:cs="宋体"/>
          <w:sz w:val="32"/>
          <w:szCs w:val="32"/>
          <w:lang w:val="en-US" w:eastAsia="zh-CN"/>
        </w:rPr>
        <w:t>5.</w:t>
      </w:r>
      <w:r>
        <w:rPr>
          <w:rFonts w:hint="eastAsia" w:ascii="宋体" w:hAnsi="宋体" w:eastAsia="宋体" w:cs="宋体"/>
          <w:sz w:val="32"/>
          <w:szCs w:val="32"/>
        </w:rPr>
        <w:t>项目服务周期要求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本项目的服务周期为:2024年</w:t>
      </w:r>
      <w:r>
        <w:rPr>
          <w:rFonts w:hint="eastAsia" w:ascii="宋体" w:hAnsi="宋体" w:eastAsia="宋体" w:cs="宋体"/>
          <w:sz w:val="32"/>
          <w:szCs w:val="32"/>
          <w:lang w:val="en-US" w:eastAsia="zh-CN"/>
        </w:rPr>
        <w:t>8月16日</w:t>
      </w:r>
      <w:r>
        <w:rPr>
          <w:rFonts w:hint="eastAsia" w:ascii="宋体" w:hAnsi="宋体" w:eastAsia="宋体" w:cs="宋体"/>
          <w:sz w:val="32"/>
          <w:szCs w:val="32"/>
        </w:rPr>
        <w:t>至202</w:t>
      </w:r>
      <w:r>
        <w:rPr>
          <w:rFonts w:hint="eastAsia" w:ascii="宋体" w:hAnsi="宋体" w:eastAsia="宋体" w:cs="宋体"/>
          <w:sz w:val="32"/>
          <w:szCs w:val="32"/>
          <w:lang w:val="en-US" w:eastAsia="zh-CN"/>
        </w:rPr>
        <w:t>4</w:t>
      </w:r>
      <w:r>
        <w:rPr>
          <w:rFonts w:hint="eastAsia" w:ascii="宋体" w:hAnsi="宋体" w:eastAsia="宋体" w:cs="宋体"/>
          <w:sz w:val="32"/>
          <w:szCs w:val="32"/>
        </w:rPr>
        <w:t>年</w:t>
      </w:r>
      <w:r>
        <w:rPr>
          <w:rFonts w:hint="eastAsia" w:ascii="宋体" w:hAnsi="宋体" w:eastAsia="宋体" w:cs="宋体"/>
          <w:sz w:val="32"/>
          <w:szCs w:val="32"/>
          <w:lang w:val="en-US" w:eastAsia="zh-CN"/>
        </w:rPr>
        <w:t>8</w:t>
      </w:r>
      <w:r>
        <w:rPr>
          <w:rFonts w:hint="eastAsia" w:ascii="宋体" w:hAnsi="宋体" w:eastAsia="宋体" w:cs="宋体"/>
          <w:sz w:val="32"/>
          <w:szCs w:val="32"/>
        </w:rPr>
        <w:t>月</w:t>
      </w:r>
      <w:bookmarkStart w:id="1" w:name="_GoBack"/>
      <w:bookmarkEnd w:id="1"/>
      <w:r>
        <w:rPr>
          <w:rFonts w:hint="eastAsia" w:ascii="宋体" w:hAnsi="宋体" w:eastAsia="宋体" w:cs="宋体"/>
          <w:sz w:val="32"/>
          <w:szCs w:val="32"/>
          <w:lang w:val="en-US" w:eastAsia="zh-CN"/>
        </w:rPr>
        <w:t>31日</w:t>
      </w:r>
      <w:r>
        <w:rPr>
          <w:rFonts w:hint="eastAsia" w:ascii="宋体" w:hAnsi="宋体" w:eastAsia="宋体" w:cs="宋体"/>
          <w:sz w:val="32"/>
          <w:szCs w:val="32"/>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36"/>
          <w:szCs w:val="36"/>
        </w:rPr>
      </w:pPr>
      <w:r>
        <w:rPr>
          <w:rFonts w:hint="eastAsia" w:ascii="宋体" w:hAnsi="宋体" w:eastAsia="宋体" w:cs="宋体"/>
          <w:b/>
          <w:bCs/>
          <w:sz w:val="36"/>
          <w:szCs w:val="36"/>
        </w:rPr>
        <w:t>2.技术要求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lang w:val="en-US" w:eastAsia="zh-CN"/>
        </w:rPr>
        <w:t>2.</w:t>
      </w:r>
      <w:r>
        <w:rPr>
          <w:rFonts w:hint="eastAsia" w:ascii="宋体" w:hAnsi="宋体" w:eastAsia="宋体" w:cs="宋体"/>
          <w:sz w:val="32"/>
          <w:szCs w:val="32"/>
        </w:rPr>
        <w:t>1.总体要求:服务团队应多年从事本项目相关业务的服务工作，具备运营本项目的技术服务能力。</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lang w:val="en-US" w:eastAsia="zh-CN"/>
        </w:rPr>
        <w:t>2.</w:t>
      </w:r>
      <w:r>
        <w:rPr>
          <w:rFonts w:hint="eastAsia" w:ascii="宋体" w:hAnsi="宋体" w:eastAsia="宋体" w:cs="宋体"/>
          <w:sz w:val="32"/>
          <w:szCs w:val="32"/>
        </w:rPr>
        <w:t>2.技术要求:项目实施、标准规范、功能需求和技术功能需求等均需满足文山供电局文山文电设计有限公司业务管理统一规范要求</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成交单位须至少有一名中级会计师、3名绩效评价师并取得财政部门颁发的代理记账许可证，至少有5名专业从事资产清查的工作人员</w:t>
      </w:r>
      <w:r>
        <w:rPr>
          <w:rFonts w:hint="eastAsia" w:ascii="宋体" w:hAnsi="宋体" w:eastAsia="宋体" w:cs="宋体"/>
          <w:sz w:val="32"/>
          <w:szCs w:val="32"/>
        </w:rPr>
        <w:t>。</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lang w:val="en-US" w:eastAsia="zh-CN"/>
        </w:rPr>
        <w:t>2.</w:t>
      </w:r>
      <w:r>
        <w:rPr>
          <w:rFonts w:hint="eastAsia" w:ascii="宋体" w:hAnsi="宋体" w:eastAsia="宋体" w:cs="宋体"/>
          <w:sz w:val="32"/>
          <w:szCs w:val="32"/>
        </w:rPr>
        <w:t>3.安全性:保证项目实施安全性，需要同时满足数据的传输安全、数据的存储安全、数据的访问安全和数据的管理安全等四个方面。</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lang w:val="en-US" w:eastAsia="zh-CN"/>
        </w:rPr>
        <w:t>2.4</w:t>
      </w:r>
      <w:r>
        <w:rPr>
          <w:rFonts w:hint="eastAsia" w:ascii="宋体" w:hAnsi="宋体" w:eastAsia="宋体" w:cs="宋体"/>
          <w:sz w:val="32"/>
          <w:szCs w:val="32"/>
        </w:rPr>
        <w:t>.其他要求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成交单位须指派在线联系工作人员一人。负责协调和沟通等工作，并配合采购方工作。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36"/>
          <w:szCs w:val="36"/>
        </w:rPr>
      </w:pPr>
      <w:r>
        <w:rPr>
          <w:rFonts w:hint="eastAsia" w:ascii="宋体" w:hAnsi="宋体" w:eastAsia="宋体" w:cs="宋体"/>
          <w:b/>
          <w:bCs/>
          <w:sz w:val="36"/>
          <w:szCs w:val="36"/>
          <w:lang w:val="en-US" w:eastAsia="zh-CN"/>
        </w:rPr>
        <w:t>3</w:t>
      </w:r>
      <w:r>
        <w:rPr>
          <w:rFonts w:hint="eastAsia" w:ascii="宋体" w:hAnsi="宋体" w:eastAsia="宋体" w:cs="宋体"/>
          <w:b/>
          <w:bCs/>
          <w:sz w:val="36"/>
          <w:szCs w:val="36"/>
        </w:rPr>
        <w:t>.保密要求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宋体" w:hAnsi="宋体" w:eastAsia="宋体" w:cs="宋体"/>
          <w:sz w:val="32"/>
          <w:szCs w:val="32"/>
        </w:rPr>
      </w:pPr>
      <w:r>
        <w:rPr>
          <w:rFonts w:hint="eastAsia" w:ascii="宋体" w:hAnsi="宋体" w:eastAsia="宋体" w:cs="宋体"/>
          <w:sz w:val="32"/>
          <w:szCs w:val="32"/>
        </w:rPr>
        <w:t>鉴于成交单位在提供服务期间，需要开放信息系统的访问权限，为加强信息系统的信息安全管理，提出以下保密要求:成交单位在访问信息系统期间，负有保护企业的网络安全、信息安全和系统数据的义务和责任;负有保护所持有、接触的属于或涉及企业商业秘密的信息安全的义务和责任。</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32"/>
          <w:szCs w:val="32"/>
        </w:rPr>
      </w:pPr>
      <w:r>
        <w:rPr>
          <w:rFonts w:hint="eastAsia" w:ascii="宋体" w:hAnsi="宋体" w:eastAsia="宋体" w:cs="宋体"/>
          <w:sz w:val="32"/>
          <w:szCs w:val="32"/>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36"/>
          <w:szCs w:val="36"/>
        </w:rPr>
      </w:pP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.团队及人员资质要求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成交单位指派联系的团队人员需具备相关工作经验。</w:t>
      </w: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p>
      <w:pPr>
        <w:ind w:firstLine="4800" w:firstLineChars="1500"/>
        <w:rPr>
          <w:rFonts w:hint="eastAsia" w:ascii="宋体" w:hAnsi="宋体" w:eastAsia="宋体" w:cs="宋体"/>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B0D729"/>
    <w:multiLevelType w:val="singleLevel"/>
    <w:tmpl w:val="D8B0D72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0NDY1YmRhNGY0ZWZhMmQzOGFhMDU2MzEwOTMzYzEifQ=="/>
  </w:docVars>
  <w:rsids>
    <w:rsidRoot w:val="00000000"/>
    <w:rsid w:val="005A6A33"/>
    <w:rsid w:val="00FC75FC"/>
    <w:rsid w:val="03C76535"/>
    <w:rsid w:val="03F93153"/>
    <w:rsid w:val="04DF7400"/>
    <w:rsid w:val="04EB6681"/>
    <w:rsid w:val="0544750A"/>
    <w:rsid w:val="05B6466F"/>
    <w:rsid w:val="05D90875"/>
    <w:rsid w:val="05FE5D9C"/>
    <w:rsid w:val="073A569E"/>
    <w:rsid w:val="085F594F"/>
    <w:rsid w:val="09056F01"/>
    <w:rsid w:val="0B723658"/>
    <w:rsid w:val="0D981866"/>
    <w:rsid w:val="0EE753D7"/>
    <w:rsid w:val="10E74CFE"/>
    <w:rsid w:val="111127E9"/>
    <w:rsid w:val="112C245F"/>
    <w:rsid w:val="11EC0F5F"/>
    <w:rsid w:val="126E6F8D"/>
    <w:rsid w:val="157E0E4B"/>
    <w:rsid w:val="171E6FE7"/>
    <w:rsid w:val="1BA735AD"/>
    <w:rsid w:val="1DEC0604"/>
    <w:rsid w:val="224D22D1"/>
    <w:rsid w:val="265B34A9"/>
    <w:rsid w:val="278F7ABC"/>
    <w:rsid w:val="2B0520CC"/>
    <w:rsid w:val="2B68680A"/>
    <w:rsid w:val="2F0125D5"/>
    <w:rsid w:val="31031378"/>
    <w:rsid w:val="34FC4CE9"/>
    <w:rsid w:val="35134CB4"/>
    <w:rsid w:val="35141B69"/>
    <w:rsid w:val="3A336726"/>
    <w:rsid w:val="3A7A7D09"/>
    <w:rsid w:val="3B851344"/>
    <w:rsid w:val="3C64661D"/>
    <w:rsid w:val="3D47391D"/>
    <w:rsid w:val="3E1D363D"/>
    <w:rsid w:val="3E6F10D1"/>
    <w:rsid w:val="42C05D8F"/>
    <w:rsid w:val="43885648"/>
    <w:rsid w:val="458B65A6"/>
    <w:rsid w:val="46585935"/>
    <w:rsid w:val="4A723F2E"/>
    <w:rsid w:val="4B4F561C"/>
    <w:rsid w:val="4B58121B"/>
    <w:rsid w:val="4D29113E"/>
    <w:rsid w:val="4DE33966"/>
    <w:rsid w:val="4F62458A"/>
    <w:rsid w:val="50A13E20"/>
    <w:rsid w:val="5226253E"/>
    <w:rsid w:val="525E180D"/>
    <w:rsid w:val="55A80EF7"/>
    <w:rsid w:val="55F1049D"/>
    <w:rsid w:val="58D91A37"/>
    <w:rsid w:val="5BC54641"/>
    <w:rsid w:val="5DC85F33"/>
    <w:rsid w:val="5EDB23D4"/>
    <w:rsid w:val="5FEF1CF6"/>
    <w:rsid w:val="6255288C"/>
    <w:rsid w:val="62CC0B41"/>
    <w:rsid w:val="62FE3EF7"/>
    <w:rsid w:val="64C74FF7"/>
    <w:rsid w:val="68892355"/>
    <w:rsid w:val="68AC2B95"/>
    <w:rsid w:val="69081265"/>
    <w:rsid w:val="6F0B088D"/>
    <w:rsid w:val="6F233F18"/>
    <w:rsid w:val="72AF440E"/>
    <w:rsid w:val="73F4256C"/>
    <w:rsid w:val="74DE15F3"/>
    <w:rsid w:val="75C03B10"/>
    <w:rsid w:val="76B00226"/>
    <w:rsid w:val="76F03E37"/>
    <w:rsid w:val="781D3260"/>
    <w:rsid w:val="7D641299"/>
    <w:rsid w:val="7E8136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正文文本1"/>
    <w:basedOn w:val="1"/>
    <w:qFormat/>
    <w:uiPriority w:val="0"/>
    <w:pPr>
      <w:widowControl w:val="0"/>
      <w:shd w:val="clear" w:color="auto" w:fill="auto"/>
      <w:spacing w:line="480" w:lineRule="auto"/>
      <w:ind w:firstLine="400"/>
    </w:pPr>
    <w:rPr>
      <w:rFonts w:ascii="宋体" w:hAnsi="宋体" w:eastAsia="宋体" w:cs="宋体"/>
      <w:sz w:val="38"/>
      <w:szCs w:val="38"/>
      <w:u w:val="none"/>
      <w:shd w:val="clear" w:color="auto" w:fill="auto"/>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942</Words>
  <Characters>1004</Characters>
  <Lines>0</Lines>
  <Paragraphs>0</Paragraphs>
  <TotalTime>0</TotalTime>
  <ScaleCrop>false</ScaleCrop>
  <LinksUpToDate>false</LinksUpToDate>
  <CharactersWithSpaces>1004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2022-10-13T13:39:00Z</dcterms:created>
  <dc:creator>Administrator</dc:creator>
  <cp:lastModifiedBy>WDSJ</cp:lastModifiedBy>
  <dcterms:modified xsi:type="dcterms:W3CDTF">2024-08-12T07:28:23Z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057AB9AA248E4BF0A0F4F4151582B420</vt:lpwstr>
  </property>
</Properties>
</file>