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453820"/>
      <w:bookmarkStart w:id="1" w:name="_Toc274903054"/>
      <w:bookmarkStart w:id="2" w:name="_Toc244916004"/>
      <w:bookmarkStart w:id="3" w:name="_Toc371343936"/>
      <w:bookmarkStart w:id="4" w:name="_Toc371343937"/>
      <w:bookmarkStart w:id="5" w:name="_Toc274902993"/>
      <w:bookmarkStart w:id="6" w:name="_Toc371453819"/>
      <w:bookmarkStart w:id="7" w:name="_Toc323572795"/>
      <w:bookmarkStart w:id="8" w:name="_Toc339216642"/>
      <w:bookmarkStart w:id="9" w:name="_Toc339216643"/>
      <w:r>
        <w:drawing>
          <wp:anchor distT="0" distB="0" distL="114300" distR="114300" simplePos="0" relativeHeight="251659264" behindDoc="1" locked="0" layoutInCell="1" allowOverlap="1">
            <wp:simplePos x="0" y="0"/>
            <wp:positionH relativeFrom="column">
              <wp:posOffset>-897255</wp:posOffset>
            </wp:positionH>
            <wp:positionV relativeFrom="paragraph">
              <wp:posOffset>-983615</wp:posOffset>
            </wp:positionV>
            <wp:extent cx="7886700" cy="10948035"/>
            <wp:effectExtent l="0" t="0" r="0" b="571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9"/>
                    <a:stretch>
                      <a:fillRect/>
                    </a:stretch>
                  </pic:blipFill>
                  <pic:spPr>
                    <a:xfrm>
                      <a:off x="0" y="0"/>
                      <a:ext cx="7886700" cy="10948035"/>
                    </a:xfrm>
                    <a:prstGeom prst="rect">
                      <a:avLst/>
                    </a:prstGeom>
                    <a:noFill/>
                    <a:ln>
                      <a:noFill/>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adjustRightInd w:val="0"/>
        <w:snapToGrid w:val="0"/>
        <w:spacing w:line="360" w:lineRule="auto"/>
        <w:jc w:val="center"/>
        <w:rPr>
          <w:rFonts w:ascii="黑体" w:hAnsi="黑体" w:eastAsia="黑体"/>
          <w:b/>
          <w:color w:val="auto"/>
          <w:sz w:val="32"/>
          <w:szCs w:val="32"/>
          <w:highlight w:val="none"/>
        </w:rPr>
      </w:pPr>
      <w:r>
        <w:rPr>
          <w:rFonts w:hint="eastAsia" w:ascii="宋体" w:hAnsi="宋体" w:cs="宋体"/>
          <w:b/>
          <w:color w:val="auto"/>
          <w:sz w:val="44"/>
          <w:szCs w:val="44"/>
          <w:highlight w:val="none"/>
          <w:lang w:eastAsia="zh-CN"/>
        </w:rPr>
        <w:t>超高压</w:t>
      </w:r>
      <w:bookmarkStart w:id="15" w:name="_GoBack"/>
      <w:bookmarkEnd w:id="15"/>
      <w:r>
        <w:rPr>
          <w:rFonts w:hint="eastAsia" w:ascii="宋体" w:hAnsi="宋体" w:cs="宋体"/>
          <w:b/>
          <w:color w:val="auto"/>
          <w:sz w:val="44"/>
          <w:szCs w:val="44"/>
          <w:highlight w:val="none"/>
          <w:lang w:eastAsia="zh-CN"/>
        </w:rPr>
        <w:t>输电公司</w:t>
      </w:r>
      <w:r>
        <w:rPr>
          <w:rFonts w:hint="eastAsia" w:ascii="宋体" w:hAnsi="宋体" w:eastAsia="宋体" w:cs="宋体"/>
          <w:b/>
          <w:color w:val="auto"/>
          <w:sz w:val="44"/>
          <w:szCs w:val="44"/>
          <w:highlight w:val="none"/>
          <w:lang w:eastAsia="zh-CN"/>
        </w:rPr>
        <w:t>柳</w:t>
      </w:r>
      <w:r>
        <w:rPr>
          <w:rFonts w:hint="eastAsia" w:ascii="宋体" w:hAnsi="宋体" w:cs="宋体"/>
          <w:b/>
          <w:color w:val="auto"/>
          <w:sz w:val="44"/>
          <w:szCs w:val="44"/>
          <w:highlight w:val="none"/>
          <w:lang w:eastAsia="zh-CN"/>
        </w:rPr>
        <w:t>州局</w:t>
      </w:r>
      <w:r>
        <w:rPr>
          <w:rFonts w:hint="eastAsia" w:ascii="宋体" w:hAnsi="宋体" w:cs="宋体"/>
          <w:b/>
          <w:color w:val="auto"/>
          <w:sz w:val="44"/>
          <w:szCs w:val="44"/>
          <w:highlight w:val="none"/>
          <w:lang w:val="en-US" w:eastAsia="zh-CN"/>
        </w:rPr>
        <w:t>2024年</w:t>
      </w:r>
      <w:r>
        <w:rPr>
          <w:rFonts w:hint="eastAsia" w:ascii="宋体" w:hAnsi="宋体" w:eastAsia="宋体" w:cs="宋体"/>
          <w:b/>
          <w:color w:val="auto"/>
          <w:sz w:val="44"/>
          <w:szCs w:val="44"/>
          <w:highlight w:val="none"/>
        </w:rPr>
        <w:t>基于密度泛函理论的电容器绝缘材料电击穿建模研究</w:t>
      </w:r>
      <w:r>
        <w:rPr>
          <w:rFonts w:hint="eastAsia" w:ascii="宋体" w:hAnsi="宋体" w:cs="宋体"/>
          <w:b/>
          <w:color w:val="auto"/>
          <w:sz w:val="44"/>
          <w:szCs w:val="44"/>
          <w:highlight w:val="none"/>
          <w:lang w:eastAsia="zh-CN"/>
        </w:rPr>
        <w:t>外协服务</w:t>
      </w:r>
      <w:r>
        <w:rPr>
          <w:rFonts w:hint="eastAsia" w:ascii="宋体" w:hAnsi="宋体" w:cs="宋体"/>
          <w:b/>
          <w:color w:val="auto"/>
          <w:sz w:val="44"/>
          <w:szCs w:val="44"/>
          <w:highlight w:val="none"/>
          <w:lang w:val="en-US" w:eastAsia="zh-CN"/>
        </w:rPr>
        <w:t>零星采购项目</w:t>
      </w:r>
      <w:r>
        <w:rPr>
          <w:rFonts w:hint="eastAsia" w:ascii="宋体" w:hAnsi="宋体" w:eastAsia="宋体" w:cs="宋体"/>
          <w:b/>
          <w:color w:val="auto"/>
          <w:sz w:val="44"/>
          <w:szCs w:val="44"/>
          <w:highlight w:val="none"/>
        </w:rPr>
        <w:t>询价材料</w:t>
      </w: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ind w:firstLine="3300" w:firstLineChars="1100"/>
        <w:jc w:val="both"/>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w:t>
      </w:r>
      <w:r>
        <w:rPr>
          <w:rFonts w:hint="eastAsia" w:ascii="宋体" w:hAnsi="宋体" w:cs="宋体"/>
          <w:color w:val="auto"/>
          <w:sz w:val="30"/>
          <w:szCs w:val="30"/>
          <w:highlight w:val="none"/>
          <w:lang w:eastAsia="zh-CN"/>
        </w:rPr>
        <w:t>柳州</w:t>
      </w:r>
      <w:r>
        <w:rPr>
          <w:rFonts w:hint="eastAsia" w:ascii="宋体" w:hAnsi="宋体" w:cs="宋体"/>
          <w:color w:val="auto"/>
          <w:sz w:val="30"/>
          <w:szCs w:val="30"/>
          <w:highlight w:val="none"/>
        </w:rPr>
        <w:t>局</w:t>
      </w:r>
    </w:p>
    <w:p>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04</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71153697"/>
      <w:bookmarkStart w:id="11" w:name="_Toc372699294"/>
      <w:bookmarkStart w:id="12" w:name="_Toc369269815"/>
      <w:bookmarkStart w:id="13" w:name="_Toc371344042"/>
      <w:bookmarkStart w:id="14" w:name="_Toc399839020"/>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adjustRightInd w:val="0"/>
        <w:snapToGrid w:val="0"/>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cs="宋体"/>
          <w:color w:val="auto"/>
          <w:sz w:val="24"/>
          <w:szCs w:val="24"/>
          <w:lang w:eastAsia="zh-CN"/>
        </w:rPr>
        <w:t>超高压输电公司柳州局</w:t>
      </w:r>
      <w:r>
        <w:rPr>
          <w:rFonts w:hint="eastAsia" w:ascii="宋体" w:hAnsi="宋体" w:cs="宋体"/>
          <w:color w:val="auto"/>
          <w:sz w:val="24"/>
          <w:szCs w:val="24"/>
          <w:lang w:val="en-US" w:eastAsia="zh-CN"/>
        </w:rPr>
        <w:t>2024年</w:t>
      </w:r>
      <w:r>
        <w:rPr>
          <w:rFonts w:ascii="宋体" w:hAnsi="宋体" w:eastAsia="宋体" w:cs="宋体"/>
          <w:color w:val="auto"/>
          <w:sz w:val="24"/>
          <w:szCs w:val="24"/>
        </w:rPr>
        <w:t>基于密度泛函理论的电容器绝缘材料电击穿建模研究</w:t>
      </w:r>
      <w:r>
        <w:rPr>
          <w:rFonts w:hint="eastAsia" w:ascii="宋体" w:hAnsi="宋体" w:cs="宋体"/>
          <w:color w:val="auto"/>
          <w:sz w:val="24"/>
          <w:szCs w:val="24"/>
          <w:lang w:eastAsia="zh-CN"/>
        </w:rPr>
        <w:t>外协服务</w:t>
      </w:r>
      <w:r>
        <w:rPr>
          <w:rFonts w:hint="eastAsia" w:ascii="宋体" w:hAnsi="宋体" w:cs="宋体"/>
          <w:color w:val="auto"/>
          <w:sz w:val="24"/>
          <w:szCs w:val="24"/>
          <w:lang w:val="en-US" w:eastAsia="zh-CN"/>
        </w:rPr>
        <w:t>零星采购</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adjustRightInd w:val="0"/>
        <w:snapToGrid w:val="0"/>
        <w:spacing w:line="360" w:lineRule="auto"/>
        <w:ind w:firstLine="480" w:firstLineChars="200"/>
        <w:rPr>
          <w:rFonts w:hint="default" w:ascii="宋体" w:hAnsi="宋体" w:cs="宋体"/>
          <w:color w:val="auto"/>
          <w:sz w:val="24"/>
          <w:szCs w:val="24"/>
          <w:lang w:val="en-US" w:eastAsia="zh-CN"/>
        </w:rPr>
      </w:pPr>
      <w:r>
        <w:rPr>
          <w:rFonts w:hint="eastAsia" w:ascii="宋体" w:hAnsi="宋体"/>
          <w:color w:val="auto"/>
          <w:sz w:val="24"/>
          <w:highlight w:val="none"/>
          <w:lang w:eastAsia="zh-CN"/>
        </w:rPr>
        <w:t>开展</w:t>
      </w:r>
      <w:r>
        <w:rPr>
          <w:rFonts w:ascii="宋体" w:hAnsi="宋体" w:eastAsia="宋体" w:cs="宋体"/>
          <w:sz w:val="24"/>
          <w:szCs w:val="24"/>
        </w:rPr>
        <w:t>基于密度泛函理论的电容器绝缘材料电击穿建模研究</w:t>
      </w:r>
      <w:r>
        <w:rPr>
          <w:rFonts w:hint="eastAsia" w:ascii="宋体" w:hAnsi="宋体"/>
          <w:color w:val="auto"/>
          <w:sz w:val="24"/>
          <w:highlight w:val="none"/>
          <w:lang w:eastAsia="zh-CN"/>
        </w:rPr>
        <w:t>外协服务，本项目共分</w:t>
      </w:r>
      <w:r>
        <w:rPr>
          <w:rFonts w:hint="eastAsia" w:ascii="宋体" w:hAnsi="宋体"/>
          <w:color w:val="auto"/>
          <w:sz w:val="24"/>
          <w:highlight w:val="none"/>
          <w:lang w:val="en-US" w:eastAsia="zh-CN"/>
        </w:rPr>
        <w:t>1个标包，</w:t>
      </w:r>
      <w:r>
        <w:rPr>
          <w:rFonts w:hint="eastAsia" w:ascii="宋体" w:hAnsi="宋体"/>
          <w:color w:val="auto"/>
          <w:sz w:val="24"/>
          <w:highlight w:val="none"/>
          <w:lang w:eastAsia="zh-CN"/>
        </w:rPr>
        <w:t>具体见项目采购清单</w:t>
      </w:r>
      <w:r>
        <w:rPr>
          <w:rFonts w:hint="eastAsia" w:ascii="宋体" w:hAnsi="宋体" w:cs="宋体"/>
          <w:color w:val="auto"/>
          <w:sz w:val="24"/>
          <w:szCs w:val="24"/>
          <w:lang w:val="en-US" w:eastAsia="zh-CN"/>
        </w:rPr>
        <w:t>。</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color w:val="auto"/>
          <w:sz w:val="24"/>
          <w:highlight w:val="none"/>
        </w:rPr>
        <w:t>3.</w:t>
      </w:r>
      <w:r>
        <w:rPr>
          <w:rFonts w:hint="eastAsia" w:ascii="宋体" w:hAnsi="宋体"/>
          <w:color w:val="auto"/>
          <w:sz w:val="24"/>
          <w:highlight w:val="none"/>
          <w:lang w:val="en-US" w:eastAsia="zh-CN"/>
        </w:rPr>
        <w:t xml:space="preserve">1 </w:t>
      </w:r>
      <w:r>
        <w:rPr>
          <w:rFonts w:hint="eastAsia" w:ascii="宋体" w:hAnsi="宋体"/>
          <w:color w:val="auto"/>
          <w:sz w:val="24"/>
          <w:szCs w:val="24"/>
          <w:lang w:val="en-US" w:eastAsia="zh-CN"/>
        </w:rPr>
        <w:t>报价方</w:t>
      </w:r>
      <w:r>
        <w:rPr>
          <w:rFonts w:hint="eastAsia" w:ascii="宋体" w:hAnsi="宋体"/>
          <w:color w:val="auto"/>
          <w:sz w:val="24"/>
          <w:highlight w:val="none"/>
          <w:lang w:val="en-US" w:eastAsia="zh-CN"/>
        </w:rPr>
        <w:t>应具备设备材料分解及加工能力，结合分子模拟方法，通过使用相关仪器测试研究绝缘材料，并提供完善的试验报告，报告应包含但不限于试验参数、</w:t>
      </w:r>
      <w:r>
        <w:rPr>
          <w:rFonts w:hint="eastAsia" w:ascii="宋体" w:hAnsi="宋体" w:cs="宋体"/>
          <w:color w:val="auto"/>
          <w:sz w:val="24"/>
          <w:szCs w:val="24"/>
          <w:lang w:val="en-US" w:eastAsia="zh-CN"/>
        </w:rPr>
        <w:t>红外分析图谱前后对比等。</w:t>
      </w:r>
    </w:p>
    <w:p>
      <w:pPr>
        <w:adjustRightInd w:val="0"/>
        <w:snapToGrid w:val="0"/>
        <w:spacing w:line="360" w:lineRule="auto"/>
        <w:ind w:firstLine="480" w:firstLineChars="200"/>
        <w:rPr>
          <w:rFonts w:hint="eastAsia" w:ascii="宋体" w:hAnsi="宋体"/>
          <w:color w:val="auto"/>
          <w:sz w:val="24"/>
          <w:szCs w:val="24"/>
          <w:lang w:eastAsia="zh-CN"/>
        </w:rPr>
      </w:pPr>
      <w:r>
        <w:rPr>
          <w:rFonts w:hint="eastAsia" w:ascii="宋体" w:hAnsi="宋体"/>
          <w:color w:val="auto"/>
          <w:sz w:val="24"/>
          <w:szCs w:val="24"/>
          <w:lang w:val="en-US" w:eastAsia="zh-CN"/>
        </w:rPr>
        <w:t>3.2 报价方应提供额外技术</w:t>
      </w:r>
      <w:r>
        <w:rPr>
          <w:rFonts w:hint="eastAsia" w:ascii="宋体" w:hAnsi="宋体"/>
          <w:color w:val="auto"/>
          <w:sz w:val="24"/>
          <w:szCs w:val="24"/>
        </w:rPr>
        <w:t>服务项目支持</w:t>
      </w:r>
      <w:r>
        <w:rPr>
          <w:rFonts w:hint="eastAsia" w:ascii="宋体" w:hAnsi="宋体"/>
          <w:color w:val="auto"/>
          <w:sz w:val="24"/>
          <w:szCs w:val="24"/>
          <w:lang w:eastAsia="zh-CN"/>
        </w:rPr>
        <w:t>，包括提供</w:t>
      </w:r>
      <w:r>
        <w:rPr>
          <w:rFonts w:hint="eastAsia" w:ascii="宋体" w:hAnsi="宋体"/>
          <w:color w:val="auto"/>
          <w:sz w:val="24"/>
          <w:szCs w:val="24"/>
          <w:lang w:val="en-US" w:eastAsia="zh-CN"/>
        </w:rPr>
        <w:t>现场服务、远程</w:t>
      </w:r>
      <w:r>
        <w:rPr>
          <w:rFonts w:hint="eastAsia" w:ascii="宋体" w:hAnsi="宋体"/>
          <w:color w:val="auto"/>
          <w:sz w:val="24"/>
          <w:szCs w:val="24"/>
        </w:rPr>
        <w:t>专人</w:t>
      </w:r>
      <w:r>
        <w:rPr>
          <w:rFonts w:hint="eastAsia" w:ascii="宋体" w:hAnsi="宋体"/>
          <w:color w:val="auto"/>
          <w:sz w:val="24"/>
          <w:szCs w:val="24"/>
          <w:lang w:eastAsia="zh-CN"/>
        </w:rPr>
        <w:t>技术</w:t>
      </w:r>
      <w:r>
        <w:rPr>
          <w:rFonts w:hint="eastAsia" w:ascii="宋体" w:hAnsi="宋体"/>
          <w:color w:val="auto"/>
          <w:sz w:val="24"/>
          <w:szCs w:val="24"/>
        </w:rPr>
        <w:t>支持、</w:t>
      </w:r>
      <w:r>
        <w:rPr>
          <w:rFonts w:hint="eastAsia" w:ascii="宋体" w:hAnsi="宋体"/>
          <w:color w:val="auto"/>
          <w:sz w:val="24"/>
          <w:szCs w:val="24"/>
          <w:lang w:eastAsia="zh-CN"/>
        </w:rPr>
        <w:t>指导，协助试验测试内容顺利完成</w:t>
      </w:r>
      <w:r>
        <w:rPr>
          <w:rFonts w:hint="eastAsia" w:ascii="宋体" w:hAnsi="宋体"/>
          <w:color w:val="auto"/>
          <w:sz w:val="24"/>
          <w:szCs w:val="24"/>
          <w:lang w:val="en-US" w:eastAsia="zh-CN"/>
        </w:rPr>
        <w:t>。</w:t>
      </w:r>
    </w:p>
    <w:p>
      <w:pPr>
        <w:adjustRightInd w:val="0"/>
        <w:snapToGrid w:val="0"/>
        <w:spacing w:line="360" w:lineRule="auto"/>
        <w:ind w:firstLine="480" w:firstLineChars="200"/>
        <w:rPr>
          <w:rFonts w:hint="default" w:ascii="宋体" w:hAnsi="宋体"/>
          <w:color w:val="auto"/>
          <w:sz w:val="24"/>
          <w:szCs w:val="24"/>
          <w:lang w:val="en-US" w:eastAsia="zh-CN"/>
        </w:rPr>
      </w:pPr>
      <w:r>
        <w:rPr>
          <w:rFonts w:hint="eastAsia" w:ascii="宋体" w:hAnsi="宋体"/>
          <w:color w:val="auto"/>
          <w:sz w:val="24"/>
          <w:szCs w:val="24"/>
          <w:lang w:val="en-US" w:eastAsia="zh-CN"/>
        </w:rPr>
        <w:t>3.3 报价方应提供项目技术服务项目的详细服务清单内容，详细请见附件。</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资质要求</w:t>
      </w:r>
    </w:p>
    <w:tbl>
      <w:tblPr>
        <w:tblStyle w:val="21"/>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4</w:t>
            </w:r>
            <w:r>
              <w:rPr>
                <w:rFonts w:hint="eastAsia" w:ascii="宋体" w:hAnsi="宋体"/>
                <w:color w:val="auto"/>
                <w:sz w:val="20"/>
                <w:szCs w:val="20"/>
                <w:highlight w:val="none"/>
                <w:lang w:val="en-US" w:eastAsia="zh-CN"/>
              </w:rPr>
              <w:t>.</w:t>
            </w:r>
            <w:r>
              <w:rPr>
                <w:rFonts w:hint="eastAsia" w:ascii="宋体" w:hAnsi="宋体" w:eastAsia="宋体"/>
                <w:color w:val="auto"/>
                <w:sz w:val="20"/>
                <w:szCs w:val="20"/>
                <w:highlight w:val="none"/>
              </w:rPr>
              <w:t>1</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olor w:val="auto"/>
                <w:sz w:val="20"/>
                <w:szCs w:val="20"/>
                <w:highlight w:val="none"/>
              </w:rPr>
            </w:pPr>
            <w:r>
              <w:rPr>
                <w:rFonts w:hint="eastAsia" w:ascii="宋体" w:hAnsi="宋体" w:eastAsia="宋体"/>
                <w:color w:val="auto"/>
                <w:sz w:val="20"/>
                <w:szCs w:val="20"/>
                <w:highlight w:val="none"/>
              </w:rPr>
              <w:t>具备以下条件之一：</w:t>
            </w:r>
          </w:p>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olor w:val="auto"/>
                <w:sz w:val="20"/>
                <w:szCs w:val="20"/>
                <w:highlight w:val="none"/>
              </w:rPr>
            </w:pPr>
            <w:r>
              <w:rPr>
                <w:rFonts w:hint="eastAsia" w:ascii="宋体" w:hAnsi="宋体" w:eastAsia="宋体"/>
                <w:color w:val="auto"/>
                <w:sz w:val="20"/>
                <w:szCs w:val="20"/>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olor w:val="auto"/>
                <w:sz w:val="20"/>
                <w:szCs w:val="20"/>
                <w:highlight w:val="none"/>
              </w:rPr>
            </w:pPr>
            <w:r>
              <w:rPr>
                <w:rFonts w:hint="eastAsia" w:ascii="宋体" w:hAnsi="宋体" w:eastAsia="宋体"/>
                <w:color w:val="auto"/>
                <w:sz w:val="20"/>
                <w:szCs w:val="20"/>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4</w:t>
            </w:r>
            <w:r>
              <w:rPr>
                <w:rFonts w:hint="eastAsia" w:ascii="宋体" w:hAnsi="宋体"/>
                <w:color w:val="auto"/>
                <w:sz w:val="20"/>
                <w:szCs w:val="20"/>
                <w:highlight w:val="none"/>
                <w:lang w:val="en-US" w:eastAsia="zh-CN"/>
              </w:rPr>
              <w:t>.</w:t>
            </w:r>
            <w:r>
              <w:rPr>
                <w:rFonts w:hint="eastAsia" w:ascii="宋体" w:hAnsi="宋体" w:eastAsia="宋体"/>
                <w:color w:val="auto"/>
                <w:sz w:val="20"/>
                <w:szCs w:val="20"/>
                <w:highlight w:val="none"/>
              </w:rPr>
              <w:t>2</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4</w:t>
            </w:r>
            <w:r>
              <w:rPr>
                <w:rFonts w:hint="eastAsia" w:ascii="宋体" w:hAnsi="宋体"/>
                <w:color w:val="auto"/>
                <w:sz w:val="20"/>
                <w:szCs w:val="20"/>
                <w:highlight w:val="none"/>
                <w:lang w:val="en-US" w:eastAsia="zh-CN"/>
              </w:rPr>
              <w:t>.</w:t>
            </w:r>
            <w:r>
              <w:rPr>
                <w:rFonts w:hint="eastAsia" w:ascii="宋体" w:hAnsi="宋体" w:eastAsia="宋体"/>
                <w:color w:val="auto"/>
                <w:sz w:val="20"/>
                <w:szCs w:val="20"/>
                <w:highlight w:val="none"/>
              </w:rPr>
              <w:t>3</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4</w:t>
            </w:r>
            <w:r>
              <w:rPr>
                <w:rFonts w:hint="eastAsia" w:ascii="宋体" w:hAnsi="宋体"/>
                <w:color w:val="auto"/>
                <w:sz w:val="20"/>
                <w:szCs w:val="20"/>
                <w:highlight w:val="none"/>
                <w:lang w:val="en-US" w:eastAsia="zh-CN"/>
              </w:rPr>
              <w:t>.</w:t>
            </w:r>
            <w:r>
              <w:rPr>
                <w:rFonts w:hint="eastAsia" w:ascii="宋体" w:hAnsi="宋体" w:eastAsia="宋体"/>
                <w:color w:val="auto"/>
                <w:sz w:val="20"/>
                <w:szCs w:val="20"/>
                <w:highlight w:val="none"/>
                <w:lang w:val="en-US" w:eastAsia="zh-CN"/>
              </w:rPr>
              <w:t>4</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color w:val="auto"/>
                <w:kern w:val="2"/>
                <w:sz w:val="20"/>
                <w:szCs w:val="20"/>
                <w:highlight w:val="none"/>
                <w:lang w:val="en-US" w:eastAsia="zh-CN" w:bidi="ar-SA"/>
              </w:rPr>
            </w:pPr>
            <w:r>
              <w:rPr>
                <w:rFonts w:hint="eastAsia" w:ascii="宋体" w:hAnsi="宋体" w:eastAsia="宋体"/>
                <w:color w:val="auto"/>
                <w:sz w:val="20"/>
                <w:szCs w:val="20"/>
                <w:highlight w:val="none"/>
              </w:rPr>
              <w:t>单位负责人为同一人或者存在控股、管理关系的不同单位，不得参加</w:t>
            </w:r>
            <w:r>
              <w:rPr>
                <w:rFonts w:hint="eastAsia" w:ascii="宋体" w:hAnsi="宋体" w:eastAsia="宋体"/>
                <w:color w:val="auto"/>
                <w:sz w:val="20"/>
                <w:szCs w:val="20"/>
                <w:highlight w:val="none"/>
                <w:lang w:eastAsia="zh-CN"/>
              </w:rPr>
              <w:t>同一项目报价</w:t>
            </w:r>
            <w:r>
              <w:rPr>
                <w:rFonts w:hint="eastAsia" w:ascii="宋体" w:hAnsi="宋体" w:eastAsia="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olor w:val="auto"/>
                <w:sz w:val="20"/>
                <w:szCs w:val="20"/>
                <w:highlight w:val="none"/>
                <w:vertAlign w:val="baseline"/>
                <w:lang w:eastAsia="zh-CN"/>
              </w:rPr>
            </w:pPr>
            <w:r>
              <w:rPr>
                <w:rFonts w:hint="eastAsia" w:ascii="宋体" w:hAnsi="宋体"/>
                <w:color w:val="auto"/>
                <w:sz w:val="20"/>
                <w:szCs w:val="20"/>
                <w:highlight w:val="none"/>
                <w:vertAlign w:val="baseline"/>
              </w:rPr>
              <w:t>4.</w:t>
            </w:r>
            <w:r>
              <w:rPr>
                <w:rFonts w:hint="eastAsia" w:ascii="宋体" w:hAnsi="宋体"/>
                <w:color w:val="auto"/>
                <w:sz w:val="20"/>
                <w:szCs w:val="20"/>
                <w:highlight w:val="none"/>
                <w:vertAlign w:val="baseline"/>
                <w:lang w:val="en-US" w:eastAsia="zh-CN"/>
              </w:rPr>
              <w:t>5</w:t>
            </w:r>
          </w:p>
        </w:tc>
        <w:tc>
          <w:tcPr>
            <w:tcW w:w="696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color w:val="auto"/>
                <w:sz w:val="20"/>
                <w:szCs w:val="20"/>
                <w:highlight w:val="none"/>
                <w:vertAlign w:val="baseline"/>
              </w:rPr>
            </w:pPr>
            <w:r>
              <w:rPr>
                <w:rFonts w:hint="eastAsia" w:ascii="宋体" w:hAnsi="宋体" w:eastAsia="宋体" w:cs="宋体"/>
                <w:color w:val="auto"/>
                <w:sz w:val="20"/>
                <w:szCs w:val="20"/>
                <w:highlight w:val="none"/>
              </w:rPr>
              <w:t>报价方应有</w:t>
            </w:r>
            <w:r>
              <w:rPr>
                <w:rFonts w:hint="eastAsia" w:ascii="宋体" w:hAnsi="宋体" w:cs="宋体"/>
                <w:color w:val="auto"/>
                <w:sz w:val="20"/>
                <w:szCs w:val="20"/>
                <w:highlight w:val="none"/>
                <w:lang w:eastAsia="zh-CN"/>
              </w:rPr>
              <w:t>技术</w:t>
            </w:r>
            <w:r>
              <w:rPr>
                <w:rFonts w:hint="eastAsia" w:ascii="宋体" w:hAnsi="宋体" w:eastAsia="宋体" w:cs="宋体"/>
                <w:color w:val="auto"/>
                <w:sz w:val="20"/>
                <w:szCs w:val="20"/>
                <w:highlight w:val="none"/>
                <w:lang w:val="en-US" w:eastAsia="zh-CN"/>
              </w:rPr>
              <w:t>服务</w:t>
            </w:r>
            <w:r>
              <w:rPr>
                <w:rFonts w:hint="eastAsia" w:ascii="宋体" w:hAnsi="宋体" w:cs="宋体"/>
                <w:color w:val="auto"/>
                <w:sz w:val="20"/>
                <w:szCs w:val="20"/>
                <w:highlight w:val="none"/>
                <w:lang w:val="en-US" w:eastAsia="zh-CN"/>
              </w:rPr>
              <w:t>要求</w:t>
            </w:r>
            <w:r>
              <w:rPr>
                <w:rFonts w:hint="eastAsia" w:ascii="宋体" w:hAnsi="宋体" w:eastAsia="宋体" w:cs="宋体"/>
                <w:color w:val="auto"/>
                <w:sz w:val="20"/>
                <w:szCs w:val="20"/>
                <w:highlight w:val="none"/>
                <w:lang w:eastAsia="zh-CN"/>
              </w:rPr>
              <w:t>的</w:t>
            </w:r>
            <w:r>
              <w:rPr>
                <w:rFonts w:hint="eastAsia" w:ascii="宋体" w:hAnsi="宋体" w:cs="宋体"/>
                <w:color w:val="auto"/>
                <w:sz w:val="20"/>
                <w:szCs w:val="20"/>
                <w:highlight w:val="none"/>
                <w:lang w:val="en-US" w:eastAsia="zh-CN"/>
              </w:rPr>
              <w:t>设备拆解</w:t>
            </w:r>
            <w:r>
              <w:rPr>
                <w:rFonts w:hint="eastAsia" w:ascii="宋体" w:hAnsi="宋体" w:eastAsia="宋体" w:cs="宋体"/>
                <w:color w:val="auto"/>
                <w:sz w:val="20"/>
                <w:szCs w:val="20"/>
                <w:highlight w:val="none"/>
                <w:lang w:eastAsia="zh-CN"/>
              </w:rPr>
              <w:t>、加工及</w:t>
            </w:r>
            <w:r>
              <w:rPr>
                <w:rFonts w:hint="eastAsia" w:ascii="宋体" w:hAnsi="宋体" w:cs="宋体"/>
                <w:color w:val="auto"/>
                <w:sz w:val="20"/>
                <w:szCs w:val="20"/>
                <w:highlight w:val="none"/>
                <w:lang w:eastAsia="zh-CN"/>
              </w:rPr>
              <w:t>测试技术服务等</w:t>
            </w:r>
            <w:r>
              <w:rPr>
                <w:rFonts w:hint="eastAsia" w:ascii="宋体" w:hAnsi="宋体" w:eastAsia="宋体" w:cs="宋体"/>
                <w:color w:val="auto"/>
                <w:sz w:val="20"/>
                <w:szCs w:val="20"/>
                <w:highlight w:val="none"/>
                <w:lang w:eastAsia="zh-CN"/>
              </w:rPr>
              <w:t>相关</w:t>
            </w:r>
            <w:r>
              <w:rPr>
                <w:rFonts w:hint="eastAsia" w:ascii="宋体" w:hAnsi="宋体" w:cs="宋体"/>
                <w:color w:val="auto"/>
                <w:sz w:val="20"/>
                <w:szCs w:val="20"/>
                <w:highlight w:val="none"/>
                <w:lang w:eastAsia="zh-CN"/>
              </w:rPr>
              <w:t>经营范围</w:t>
            </w:r>
            <w:r>
              <w:rPr>
                <w:rFonts w:hint="eastAsia" w:ascii="宋体" w:hAnsi="宋体" w:eastAsia="宋体" w:cs="宋体"/>
                <w:color w:val="auto"/>
                <w:sz w:val="20"/>
                <w:szCs w:val="20"/>
                <w:highlight w:val="none"/>
                <w:lang w:val="en-US" w:eastAsia="zh-CN"/>
              </w:rPr>
              <w:t>。</w:t>
            </w:r>
          </w:p>
        </w:tc>
      </w:tr>
    </w:tbl>
    <w:p>
      <w:pPr>
        <w:adjustRightInd w:val="0"/>
        <w:snapToGrid w:val="0"/>
        <w:spacing w:line="360" w:lineRule="auto"/>
        <w:ind w:firstLine="480" w:firstLineChars="200"/>
        <w:rPr>
          <w:rFonts w:ascii="宋体" w:hAnsi="宋体"/>
          <w:color w:val="auto"/>
          <w:sz w:val="24"/>
          <w:highlight w:val="none"/>
        </w:rPr>
      </w:pP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20"/>
        <w:tblW w:w="8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032"/>
        <w:gridCol w:w="1230"/>
        <w:gridCol w:w="3805"/>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78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03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标的内容</w:t>
            </w:r>
          </w:p>
        </w:tc>
        <w:tc>
          <w:tcPr>
            <w:tcW w:w="123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380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hint="eastAsia" w:ascii="宋体" w:hAnsi="宋体" w:eastAsia="宋体" w:cs="宋体"/>
                <w:b/>
                <w:color w:val="auto"/>
                <w:kern w:val="0"/>
                <w:sz w:val="24"/>
                <w:highlight w:val="none"/>
                <w:lang w:eastAsia="zh-CN" w:bidi="ar"/>
              </w:rPr>
            </w:pPr>
            <w:r>
              <w:rPr>
                <w:rFonts w:hint="eastAsia" w:ascii="宋体" w:hAnsi="宋体" w:cs="宋体"/>
                <w:b/>
                <w:color w:val="auto"/>
                <w:kern w:val="0"/>
                <w:sz w:val="24"/>
                <w:highlight w:val="none"/>
                <w:lang w:eastAsia="zh-CN" w:bidi="ar"/>
              </w:rPr>
              <w:t>标的物描述</w:t>
            </w:r>
          </w:p>
        </w:tc>
        <w:tc>
          <w:tcPr>
            <w:tcW w:w="88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7" w:hRule="atLeast"/>
          <w:jc w:val="center"/>
        </w:trPr>
        <w:tc>
          <w:tcPr>
            <w:tcW w:w="783"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color w:val="auto"/>
                <w:kern w:val="0"/>
                <w:sz w:val="20"/>
                <w:szCs w:val="21"/>
                <w:lang w:val="en-US" w:eastAsia="zh-CN"/>
              </w:rPr>
            </w:pPr>
            <w:r>
              <w:rPr>
                <w:rFonts w:hint="eastAsia" w:ascii="宋体" w:hAnsi="宋体" w:eastAsia="宋体" w:cs="宋体"/>
                <w:color w:val="auto"/>
                <w:kern w:val="0"/>
                <w:sz w:val="20"/>
                <w:szCs w:val="21"/>
                <w:lang w:val="en-US" w:eastAsia="zh-CN"/>
              </w:rPr>
              <w:t>1</w:t>
            </w:r>
          </w:p>
        </w:tc>
        <w:tc>
          <w:tcPr>
            <w:tcW w:w="2032" w:type="dxa"/>
            <w:tcBorders>
              <w:tl2br w:val="nil"/>
              <w:tr2bl w:val="nil"/>
            </w:tcBorders>
            <w:shd w:val="clear" w:color="auto" w:fill="auto"/>
            <w:vAlign w:val="center"/>
          </w:tcPr>
          <w:p>
            <w:pPr>
              <w:adjustRightInd w:val="0"/>
              <w:snapToGrid w:val="0"/>
              <w:spacing w:beforeLines="-2147483648" w:afterLines="-2147483648"/>
              <w:jc w:val="center"/>
              <w:rPr>
                <w:rFonts w:hint="eastAsia" w:ascii="宋体" w:hAnsi="宋体" w:eastAsia="宋体" w:cs="宋体"/>
                <w:color w:val="auto"/>
                <w:kern w:val="0"/>
                <w:sz w:val="20"/>
                <w:szCs w:val="21"/>
                <w:lang w:val="en-US" w:eastAsia="zh-CN" w:bidi="ar-SA"/>
              </w:rPr>
            </w:pPr>
            <w:r>
              <w:rPr>
                <w:rFonts w:hint="eastAsia" w:ascii="宋体" w:hAnsi="宋体" w:cs="宋体"/>
                <w:color w:val="auto"/>
                <w:kern w:val="0"/>
                <w:sz w:val="20"/>
                <w:szCs w:val="21"/>
                <w:lang w:eastAsia="zh-CN"/>
              </w:rPr>
              <w:t>超高压输电公司柳州局</w:t>
            </w:r>
            <w:r>
              <w:rPr>
                <w:rFonts w:hint="eastAsia" w:ascii="宋体" w:hAnsi="宋体" w:cs="宋体"/>
                <w:color w:val="auto"/>
                <w:kern w:val="0"/>
                <w:sz w:val="20"/>
                <w:szCs w:val="21"/>
                <w:lang w:val="en-US" w:eastAsia="zh-CN"/>
              </w:rPr>
              <w:t>2024年</w:t>
            </w:r>
            <w:r>
              <w:rPr>
                <w:rFonts w:hint="eastAsia" w:ascii="宋体" w:hAnsi="宋体" w:eastAsia="宋体" w:cs="宋体"/>
                <w:color w:val="auto"/>
                <w:kern w:val="0"/>
                <w:sz w:val="20"/>
                <w:szCs w:val="21"/>
              </w:rPr>
              <w:t>基于密度泛函理论的电容器绝缘材料电击穿建模研究</w:t>
            </w:r>
            <w:r>
              <w:rPr>
                <w:rFonts w:hint="eastAsia" w:ascii="宋体" w:hAnsi="宋体" w:cs="宋体"/>
                <w:color w:val="auto"/>
                <w:kern w:val="0"/>
                <w:sz w:val="20"/>
                <w:szCs w:val="21"/>
                <w:lang w:eastAsia="zh-CN"/>
              </w:rPr>
              <w:t>外协</w:t>
            </w:r>
            <w:r>
              <w:rPr>
                <w:rFonts w:hint="eastAsia" w:ascii="宋体" w:hAnsi="宋体" w:eastAsia="宋体" w:cs="宋体"/>
                <w:color w:val="auto"/>
                <w:kern w:val="0"/>
                <w:sz w:val="20"/>
                <w:szCs w:val="21"/>
                <w:lang w:eastAsia="zh-CN"/>
              </w:rPr>
              <w:t>服务</w:t>
            </w:r>
            <w:r>
              <w:rPr>
                <w:rFonts w:hint="eastAsia" w:ascii="宋体" w:hAnsi="宋体" w:cs="宋体"/>
                <w:color w:val="auto"/>
                <w:kern w:val="0"/>
                <w:sz w:val="20"/>
                <w:szCs w:val="21"/>
                <w:lang w:val="en-US" w:eastAsia="zh-CN"/>
              </w:rPr>
              <w:t>零星采购</w:t>
            </w:r>
          </w:p>
        </w:tc>
        <w:tc>
          <w:tcPr>
            <w:tcW w:w="1230" w:type="dxa"/>
            <w:tcBorders>
              <w:tl2br w:val="nil"/>
              <w:tr2bl w:val="nil"/>
            </w:tcBorders>
            <w:shd w:val="clear" w:color="auto" w:fill="auto"/>
            <w:vAlign w:val="center"/>
          </w:tcPr>
          <w:p>
            <w:pPr>
              <w:adjustRightInd w:val="0"/>
              <w:snapToGrid w:val="0"/>
              <w:spacing w:beforeLines="-2147483648" w:afterLines="-2147483648"/>
              <w:jc w:val="center"/>
              <w:rPr>
                <w:rFonts w:hint="eastAsia" w:ascii="宋体" w:hAnsi="宋体" w:eastAsia="宋体" w:cs="宋体"/>
                <w:color w:val="auto"/>
                <w:kern w:val="0"/>
                <w:sz w:val="20"/>
                <w:szCs w:val="21"/>
                <w:lang w:val="en-US" w:eastAsia="zh-CN"/>
              </w:rPr>
            </w:pPr>
            <w:r>
              <w:rPr>
                <w:rFonts w:hint="eastAsia" w:ascii="宋体" w:hAnsi="宋体" w:eastAsia="宋体" w:cs="宋体"/>
                <w:color w:val="auto"/>
                <w:kern w:val="0"/>
                <w:sz w:val="20"/>
                <w:szCs w:val="21"/>
                <w:lang w:eastAsia="zh-CN"/>
              </w:rPr>
              <w:t>超高压公司柳州局</w:t>
            </w:r>
          </w:p>
        </w:tc>
        <w:tc>
          <w:tcPr>
            <w:tcW w:w="3805" w:type="dxa"/>
            <w:tcBorders>
              <w:tl2br w:val="nil"/>
              <w:tr2bl w:val="nil"/>
            </w:tcBorders>
            <w:shd w:val="clear" w:color="auto" w:fill="auto"/>
            <w:vAlign w:val="center"/>
          </w:tcPr>
          <w:p>
            <w:pPr>
              <w:adjustRightInd w:val="0"/>
              <w:snapToGrid w:val="0"/>
              <w:spacing w:beforeLines="-2147483648" w:afterLines="-2147483648"/>
              <w:jc w:val="center"/>
              <w:rPr>
                <w:rFonts w:hint="eastAsia" w:ascii="宋体" w:hAnsi="宋体" w:eastAsia="宋体" w:cs="宋体"/>
                <w:color w:val="auto"/>
                <w:kern w:val="0"/>
                <w:sz w:val="20"/>
                <w:szCs w:val="21"/>
                <w:lang w:val="en-US" w:eastAsia="zh-CN"/>
              </w:rPr>
            </w:pPr>
            <w:r>
              <w:rPr>
                <w:rFonts w:hint="eastAsia" w:ascii="宋体" w:hAnsi="宋体" w:cs="宋体"/>
                <w:color w:val="auto"/>
                <w:kern w:val="0"/>
                <w:sz w:val="20"/>
                <w:szCs w:val="21"/>
                <w:lang w:val="en-US" w:eastAsia="zh-CN"/>
              </w:rPr>
              <w:t>投标方配合主要工作如下：1、</w:t>
            </w:r>
            <w:r>
              <w:rPr>
                <w:rFonts w:hint="eastAsia" w:ascii="宋体" w:hAnsi="宋体" w:eastAsia="宋体" w:cs="宋体"/>
                <w:color w:val="auto"/>
                <w:kern w:val="0"/>
                <w:sz w:val="20"/>
                <w:szCs w:val="21"/>
                <w:lang w:val="en-US" w:eastAsia="zh-CN"/>
              </w:rPr>
              <w:t>对电容器的</w:t>
            </w:r>
            <w:r>
              <w:rPr>
                <w:rFonts w:hint="eastAsia" w:ascii="宋体" w:hAnsi="宋体" w:cs="宋体"/>
                <w:color w:val="auto"/>
                <w:kern w:val="0"/>
                <w:sz w:val="20"/>
                <w:szCs w:val="21"/>
                <w:lang w:val="en-US" w:eastAsia="zh-CN"/>
              </w:rPr>
              <w:t>油纸</w:t>
            </w:r>
            <w:r>
              <w:rPr>
                <w:rFonts w:hint="eastAsia" w:ascii="宋体" w:hAnsi="宋体" w:eastAsia="宋体" w:cs="宋体"/>
                <w:color w:val="auto"/>
                <w:kern w:val="0"/>
                <w:sz w:val="20"/>
                <w:szCs w:val="21"/>
                <w:lang w:val="en-US" w:eastAsia="zh-CN"/>
              </w:rPr>
              <w:t>绝缘进行拆解以及试验前加工；2、使用原子力显微镜，红外光谱仪，介电常数测量仪，耐电压试验仪等设备对研究材料进行理化、电气相关试验。</w:t>
            </w:r>
            <w:r>
              <w:rPr>
                <w:rFonts w:hint="eastAsia" w:ascii="宋体" w:hAnsi="宋体" w:cs="宋体"/>
                <w:color w:val="auto"/>
                <w:kern w:val="0"/>
                <w:sz w:val="20"/>
                <w:szCs w:val="21"/>
                <w:lang w:val="en-US" w:eastAsia="zh-CN"/>
              </w:rPr>
              <w:t>3、使用分子模拟手段对绝缘材料进行微观击穿相关试验。</w:t>
            </w:r>
          </w:p>
        </w:tc>
        <w:tc>
          <w:tcPr>
            <w:tcW w:w="88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jc w:val="center"/>
              <w:rPr>
                <w:rFonts w:hint="eastAsia" w:ascii="宋体" w:hAnsi="宋体" w:eastAsia="宋体" w:cs="宋体"/>
                <w:color w:val="auto"/>
                <w:sz w:val="24"/>
                <w:szCs w:val="24"/>
                <w:highlight w:val="none"/>
                <w:lang w:eastAsia="zh-CN"/>
              </w:rPr>
            </w:pPr>
          </w:p>
        </w:tc>
      </w:tr>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6</w:t>
      </w:r>
      <w:bookmarkEnd w:id="10"/>
      <w:bookmarkEnd w:id="11"/>
      <w:bookmarkEnd w:id="12"/>
      <w:bookmarkEnd w:id="13"/>
      <w:bookmarkEnd w:id="14"/>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售后服务要求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发票要求：报价单位提供符合规定税率的</w:t>
      </w:r>
      <w:r>
        <w:rPr>
          <w:rFonts w:hint="eastAsia" w:ascii="宋体" w:hAnsi="宋体" w:cs="宋体"/>
          <w:color w:val="auto"/>
          <w:sz w:val="24"/>
          <w:highlight w:val="none"/>
          <w:lang w:eastAsia="zh-CN"/>
        </w:rPr>
        <w:t>增值税专用</w:t>
      </w:r>
      <w:r>
        <w:rPr>
          <w:rFonts w:hint="eastAsia" w:ascii="宋体" w:hAnsi="宋体" w:cs="宋体"/>
          <w:color w:val="auto"/>
          <w:sz w:val="24"/>
          <w:highlight w:val="none"/>
        </w:rPr>
        <w:t>发票。</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质保期及售后服务响应要求：</w:t>
      </w:r>
      <w:r>
        <w:rPr>
          <w:rFonts w:hint="eastAsia" w:ascii="宋体" w:hAnsi="宋体" w:cs="宋体"/>
          <w:color w:val="auto"/>
          <w:sz w:val="24"/>
          <w:highlight w:val="none"/>
          <w:lang w:eastAsia="zh-CN"/>
        </w:rPr>
        <w:t>技术服务</w:t>
      </w:r>
      <w:r>
        <w:rPr>
          <w:rFonts w:hint="eastAsia" w:ascii="宋体" w:hAnsi="宋体" w:cs="宋体"/>
          <w:color w:val="auto"/>
          <w:sz w:val="24"/>
          <w:highlight w:val="none"/>
        </w:rPr>
        <w:t>期不少于</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个月</w:t>
      </w:r>
      <w:r>
        <w:rPr>
          <w:rFonts w:hint="eastAsia" w:ascii="宋体" w:hAnsi="宋体" w:cs="宋体"/>
          <w:color w:val="auto"/>
          <w:sz w:val="24"/>
          <w:highlight w:val="none"/>
        </w:rPr>
        <w:t>，</w:t>
      </w:r>
      <w:r>
        <w:rPr>
          <w:rFonts w:hint="eastAsia" w:ascii="宋体" w:hAnsi="宋体" w:cs="宋体"/>
          <w:color w:val="auto"/>
          <w:sz w:val="24"/>
          <w:highlight w:val="none"/>
          <w:lang w:eastAsia="zh-CN"/>
        </w:rPr>
        <w:t>服务</w:t>
      </w:r>
      <w:r>
        <w:rPr>
          <w:rFonts w:hint="eastAsia" w:ascii="宋体" w:hAnsi="宋体" w:cs="宋体"/>
          <w:color w:val="auto"/>
          <w:sz w:val="24"/>
          <w:highlight w:val="none"/>
        </w:rPr>
        <w:t>期内有任何</w:t>
      </w:r>
      <w:r>
        <w:rPr>
          <w:rFonts w:hint="eastAsia" w:ascii="宋体" w:hAnsi="宋体" w:cs="宋体"/>
          <w:color w:val="auto"/>
          <w:sz w:val="24"/>
          <w:highlight w:val="none"/>
          <w:lang w:eastAsia="zh-CN"/>
        </w:rPr>
        <w:t>实际应用</w:t>
      </w:r>
      <w:r>
        <w:rPr>
          <w:rFonts w:hint="eastAsia" w:ascii="宋体" w:hAnsi="宋体" w:cs="宋体"/>
          <w:color w:val="auto"/>
          <w:sz w:val="24"/>
          <w:highlight w:val="none"/>
        </w:rPr>
        <w:t>问题将</w:t>
      </w:r>
      <w:r>
        <w:rPr>
          <w:rFonts w:hint="eastAsia" w:ascii="宋体" w:hAnsi="宋体" w:cs="宋体"/>
          <w:color w:val="auto"/>
          <w:sz w:val="24"/>
          <w:highlight w:val="none"/>
          <w:lang w:eastAsia="zh-CN"/>
        </w:rPr>
        <w:t>及时提供服务</w:t>
      </w:r>
      <w:r>
        <w:rPr>
          <w:rFonts w:hint="eastAsia" w:ascii="宋体" w:hAnsi="宋体" w:cs="宋体"/>
          <w:color w:val="auto"/>
          <w:sz w:val="24"/>
          <w:highlight w:val="none"/>
        </w:rPr>
        <w:t>；售后服务的响应时间在48小时内</w:t>
      </w:r>
      <w:r>
        <w:rPr>
          <w:rFonts w:hint="eastAsia" w:ascii="宋体" w:hAnsi="宋体" w:cs="宋体"/>
          <w:color w:val="auto"/>
          <w:sz w:val="24"/>
          <w:highlight w:val="none"/>
          <w:lang w:eastAsia="zh-CN"/>
        </w:rPr>
        <w:t>，并</w:t>
      </w:r>
      <w:r>
        <w:rPr>
          <w:rFonts w:hint="eastAsia" w:ascii="宋体" w:hAnsi="宋体" w:cs="宋体"/>
          <w:color w:val="auto"/>
          <w:sz w:val="24"/>
          <w:highlight w:val="none"/>
        </w:rPr>
        <w:t>提供技术支持。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服务</w:t>
      </w:r>
      <w:r>
        <w:rPr>
          <w:rFonts w:hint="eastAsia" w:ascii="宋体" w:hAnsi="宋体" w:cs="宋体"/>
          <w:color w:val="auto"/>
          <w:sz w:val="24"/>
          <w:highlight w:val="none"/>
        </w:rPr>
        <w:t>时间及地点要求：</w:t>
      </w:r>
      <w:r>
        <w:rPr>
          <w:rFonts w:hint="eastAsia" w:ascii="宋体" w:hAnsi="宋体" w:cs="宋体"/>
          <w:color w:val="auto"/>
          <w:sz w:val="24"/>
          <w:highlight w:val="none"/>
          <w:lang w:eastAsia="zh-CN"/>
        </w:rPr>
        <w:t>服务时间为</w:t>
      </w:r>
      <w:r>
        <w:rPr>
          <w:rFonts w:hint="eastAsia" w:ascii="宋体" w:hAnsi="宋体" w:cs="宋体"/>
          <w:color w:val="auto"/>
          <w:sz w:val="24"/>
          <w:highlight w:val="none"/>
        </w:rPr>
        <w:t>自确定服务商之日起至202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w:t>
      </w:r>
      <w:r>
        <w:rPr>
          <w:rFonts w:hint="eastAsia" w:ascii="宋体" w:hAnsi="宋体" w:cs="宋体"/>
          <w:color w:val="auto"/>
          <w:sz w:val="24"/>
          <w:highlight w:val="none"/>
          <w:lang w:eastAsia="zh-CN"/>
        </w:rPr>
        <w:t>服务</w:t>
      </w:r>
      <w:r>
        <w:rPr>
          <w:rFonts w:hint="eastAsia" w:ascii="宋体" w:hAnsi="宋体" w:cs="宋体"/>
          <w:color w:val="auto"/>
          <w:sz w:val="24"/>
          <w:highlight w:val="none"/>
        </w:rPr>
        <w:t>地点为</w:t>
      </w:r>
      <w:r>
        <w:rPr>
          <w:rFonts w:hint="eastAsia" w:ascii="宋体" w:hAnsi="宋体" w:cs="宋体"/>
          <w:color w:val="auto"/>
          <w:sz w:val="24"/>
          <w:highlight w:val="none"/>
          <w:lang w:eastAsia="zh-CN"/>
        </w:rPr>
        <w:t>柳州市海关路</w:t>
      </w:r>
      <w:r>
        <w:rPr>
          <w:rFonts w:hint="eastAsia" w:ascii="宋体" w:hAnsi="宋体" w:cs="宋体"/>
          <w:color w:val="auto"/>
          <w:sz w:val="24"/>
          <w:highlight w:val="none"/>
          <w:lang w:val="en-US" w:eastAsia="zh-CN"/>
        </w:rPr>
        <w:t>22号</w:t>
      </w:r>
      <w:r>
        <w:rPr>
          <w:rFonts w:hint="eastAsia" w:ascii="宋体" w:hAnsi="宋体" w:cs="宋体"/>
          <w:color w:val="auto"/>
          <w:sz w:val="24"/>
          <w:highlight w:val="none"/>
          <w:lang w:eastAsia="zh-CN"/>
        </w:rPr>
        <w:t>超高压输电公司柳州局</w:t>
      </w:r>
      <w:r>
        <w:rPr>
          <w:rFonts w:hint="eastAsia" w:ascii="宋体" w:hAnsi="宋体" w:cs="宋体"/>
          <w:color w:val="auto"/>
          <w:sz w:val="24"/>
          <w:highlight w:val="none"/>
        </w:rPr>
        <w:t>。</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6.4</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运输要求</w:t>
      </w:r>
      <w:r>
        <w:rPr>
          <w:rFonts w:hint="eastAsia" w:ascii="宋体" w:hAnsi="宋体" w:cs="宋体"/>
          <w:color w:val="auto"/>
          <w:sz w:val="24"/>
          <w:highlight w:val="none"/>
          <w:lang w:eastAsia="zh-CN"/>
        </w:rPr>
        <w:t>：</w:t>
      </w:r>
      <w:r>
        <w:rPr>
          <w:rFonts w:hint="eastAsia" w:ascii="宋体" w:hAnsi="宋体" w:cs="宋体"/>
          <w:color w:val="auto"/>
          <w:sz w:val="24"/>
          <w:highlight w:val="none"/>
        </w:rPr>
        <w:t>本次项目中涉及到的材料运输全部费用由报价单位承担。</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6.5该项目在通过验收后，以实际开展细项一次性支付报价方费用，在收到报价方发票30个工作日完成支付。</w:t>
      </w:r>
    </w:p>
    <w:p>
      <w:pPr>
        <w:spacing w:line="360" w:lineRule="auto"/>
        <w:ind w:firstLine="480" w:firstLineChars="200"/>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7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报价文件格式要求</w:t>
      </w:r>
    </w:p>
    <w:p>
      <w:pPr>
        <w:spacing w:line="360" w:lineRule="auto"/>
        <w:ind w:firstLine="480" w:firstLineChars="200"/>
        <w:rPr>
          <w:rFonts w:ascii="宋体" w:hAnsi="宋体" w:cs="宋体"/>
          <w:color w:val="auto"/>
          <w:sz w:val="24"/>
          <w:highlight w:val="none"/>
        </w:rPr>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清晰扫描版</w:t>
      </w:r>
      <w:r>
        <w:rPr>
          <w:rFonts w:hint="eastAsia" w:ascii="宋体" w:hAnsi="宋体" w:cs="宋体"/>
          <w:color w:val="auto"/>
          <w:sz w:val="24"/>
          <w:highlight w:val="none"/>
        </w:rPr>
        <w:t>报价文件，</w:t>
      </w:r>
      <w:r>
        <w:rPr>
          <w:rFonts w:hint="eastAsia" w:ascii="仿宋_GB2312" w:eastAsia="仿宋_GB2312"/>
          <w:b/>
          <w:bCs/>
          <w:color w:val="auto"/>
          <w:sz w:val="28"/>
          <w:szCs w:val="28"/>
          <w:lang w:val="en-US" w:eastAsia="zh-CN"/>
        </w:rPr>
        <w:t>报价文件标题：单位名称+询价项目名称（可简写），</w:t>
      </w:r>
      <w:r>
        <w:rPr>
          <w:rFonts w:hint="eastAsia" w:ascii="宋体" w:hAnsi="宋体" w:cs="宋体"/>
          <w:color w:val="auto"/>
          <w:sz w:val="24"/>
          <w:highlight w:val="none"/>
        </w:rPr>
        <w:t>报价文件包括但不限于：报价表、售后</w:t>
      </w:r>
      <w:r>
        <w:rPr>
          <w:rFonts w:hint="eastAsia" w:ascii="宋体" w:hAnsi="宋体" w:cs="宋体"/>
          <w:color w:val="auto"/>
          <w:sz w:val="24"/>
          <w:highlight w:val="none"/>
          <w:lang w:eastAsia="zh-CN"/>
        </w:rPr>
        <w:t>技术</w:t>
      </w:r>
      <w:r>
        <w:rPr>
          <w:rFonts w:hint="eastAsia" w:ascii="宋体" w:hAnsi="宋体" w:cs="宋体"/>
          <w:color w:val="auto"/>
          <w:sz w:val="24"/>
          <w:highlight w:val="none"/>
        </w:rPr>
        <w:t>服务及相关资质文件，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732"/>
        <w:gridCol w:w="917"/>
        <w:gridCol w:w="1300"/>
        <w:gridCol w:w="1283"/>
        <w:gridCol w:w="1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2409"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5716" w:type="dxa"/>
            <w:gridSpan w:val="5"/>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项目总造价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adjustRightInd w:val="0"/>
              <w:snapToGrid w:val="0"/>
              <w:spacing w:line="240" w:lineRule="auto"/>
              <w:jc w:val="center"/>
              <w:rPr>
                <w:rFonts w:hint="eastAsia" w:ascii="宋体" w:hAnsi="宋体" w:cs="宋体"/>
                <w:b/>
                <w:bCs/>
                <w:kern w:val="0"/>
                <w:sz w:val="20"/>
                <w:szCs w:val="21"/>
              </w:rPr>
            </w:pPr>
            <w:r>
              <w:rPr>
                <w:rFonts w:hint="eastAsia" w:ascii="宋体" w:hAnsi="宋体" w:cs="宋体"/>
                <w:kern w:val="0"/>
                <w:sz w:val="20"/>
                <w:szCs w:val="21"/>
              </w:rPr>
              <w:t>1</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color w:val="auto"/>
                <w:kern w:val="0"/>
                <w:sz w:val="20"/>
                <w:szCs w:val="21"/>
                <w:lang w:eastAsia="zh-CN"/>
              </w:rPr>
              <w:t>超高压输电公司柳州局</w:t>
            </w:r>
            <w:r>
              <w:rPr>
                <w:rFonts w:hint="eastAsia" w:ascii="宋体" w:hAnsi="宋体" w:cs="宋体"/>
                <w:color w:val="auto"/>
                <w:kern w:val="0"/>
                <w:sz w:val="20"/>
                <w:szCs w:val="21"/>
                <w:lang w:val="en-US" w:eastAsia="zh-CN"/>
              </w:rPr>
              <w:t>2024年</w:t>
            </w:r>
            <w:r>
              <w:rPr>
                <w:rFonts w:hint="eastAsia" w:ascii="宋体" w:hAnsi="宋体" w:eastAsia="宋体" w:cs="宋体"/>
                <w:b w:val="0"/>
                <w:bCs w:val="0"/>
                <w:color w:val="auto"/>
                <w:kern w:val="0"/>
                <w:sz w:val="20"/>
                <w:szCs w:val="21"/>
                <w:lang w:val="en-US" w:eastAsia="zh-CN"/>
              </w:rPr>
              <w:t>基于密度泛函理论的电容器绝缘材料电击穿建模研究</w:t>
            </w:r>
            <w:r>
              <w:rPr>
                <w:rFonts w:hint="eastAsia" w:ascii="宋体" w:hAnsi="宋体" w:cs="宋体"/>
                <w:b w:val="0"/>
                <w:bCs w:val="0"/>
                <w:color w:val="auto"/>
                <w:kern w:val="0"/>
                <w:sz w:val="20"/>
                <w:szCs w:val="21"/>
                <w:lang w:val="en-US" w:eastAsia="zh-CN"/>
              </w:rPr>
              <w:t>外协服务零星采购</w:t>
            </w:r>
          </w:p>
        </w:tc>
        <w:tc>
          <w:tcPr>
            <w:tcW w:w="5716" w:type="dxa"/>
            <w:gridSpan w:val="5"/>
            <w:vAlign w:val="center"/>
          </w:tcPr>
          <w:p>
            <w:pPr>
              <w:numPr>
                <w:ilvl w:val="0"/>
                <w:numId w:val="0"/>
              </w:numPr>
              <w:adjustRightInd w:val="0"/>
              <w:snapToGrid w:val="0"/>
              <w:spacing w:line="240" w:lineRule="auto"/>
              <w:jc w:val="both"/>
              <w:rPr>
                <w:rFonts w:hint="eastAsia" w:ascii="宋体" w:hAnsi="宋体" w:cs="宋体"/>
                <w:b w:val="0"/>
                <w:bCs w:val="0"/>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pPr>
              <w:adjustRightInd w:val="0"/>
              <w:snapToGrid w:val="0"/>
              <w:spacing w:line="240" w:lineRule="auto"/>
              <w:jc w:val="center"/>
              <w:rPr>
                <w:rFonts w:hint="eastAsia" w:ascii="宋体" w:hAnsi="宋体" w:cs="宋体"/>
                <w:b/>
                <w:bCs/>
                <w:kern w:val="0"/>
                <w:sz w:val="20"/>
                <w:szCs w:val="21"/>
              </w:rPr>
            </w:pPr>
            <w:r>
              <w:rPr>
                <w:rFonts w:hint="eastAsia" w:ascii="宋体" w:hAnsi="宋体" w:cs="宋体"/>
                <w:b/>
                <w:bCs/>
                <w:kern w:val="0"/>
                <w:sz w:val="20"/>
                <w:szCs w:val="21"/>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eastAsia" w:ascii="宋体" w:hAnsi="宋体" w:cs="宋体"/>
                <w:b/>
                <w:bCs/>
                <w:kern w:val="0"/>
                <w:sz w:val="20"/>
                <w:szCs w:val="21"/>
                <w:lang w:val="en-US" w:eastAsia="zh-CN"/>
              </w:rPr>
            </w:pPr>
            <w:r>
              <w:rPr>
                <w:rFonts w:hint="eastAsia" w:ascii="宋体" w:hAnsi="宋体" w:cs="宋体"/>
                <w:b/>
                <w:bCs/>
                <w:kern w:val="0"/>
                <w:sz w:val="20"/>
                <w:szCs w:val="21"/>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cs="宋体"/>
                <w:b/>
                <w:bCs/>
                <w:kern w:val="0"/>
                <w:sz w:val="20"/>
                <w:szCs w:val="21"/>
                <w:lang w:val="en-US" w:eastAsia="zh-CN"/>
              </w:rPr>
              <w:t>采购/服务内容</w:t>
            </w:r>
          </w:p>
        </w:tc>
        <w:tc>
          <w:tcPr>
            <w:tcW w:w="732" w:type="dxa"/>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eastAsia="宋体" w:cs="宋体"/>
                <w:b/>
                <w:bCs/>
                <w:kern w:val="0"/>
                <w:sz w:val="20"/>
                <w:szCs w:val="21"/>
                <w:lang w:val="en-US" w:eastAsia="zh-CN"/>
              </w:rPr>
              <w:t>单位</w:t>
            </w:r>
          </w:p>
        </w:tc>
        <w:tc>
          <w:tcPr>
            <w:tcW w:w="917" w:type="dxa"/>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eastAsia="zh-CN"/>
              </w:rPr>
              <w:t>品牌</w:t>
            </w:r>
          </w:p>
        </w:tc>
        <w:tc>
          <w:tcPr>
            <w:tcW w:w="1300" w:type="dxa"/>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单价（元）</w:t>
            </w:r>
          </w:p>
        </w:tc>
        <w:tc>
          <w:tcPr>
            <w:tcW w:w="1283" w:type="dxa"/>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cs="宋体"/>
                <w:b/>
                <w:bCs/>
                <w:kern w:val="0"/>
                <w:sz w:val="20"/>
                <w:szCs w:val="21"/>
              </w:rPr>
              <w:t>总价（元）</w:t>
            </w:r>
          </w:p>
        </w:tc>
        <w:tc>
          <w:tcPr>
            <w:tcW w:w="1484" w:type="dxa"/>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eastAsia" w:ascii="宋体" w:hAnsi="宋体" w:eastAsia="宋体" w:cs="宋体"/>
                <w:kern w:val="0"/>
                <w:sz w:val="20"/>
                <w:szCs w:val="21"/>
                <w:lang w:eastAsia="zh-CN"/>
              </w:rPr>
            </w:pPr>
            <w:r>
              <w:rPr>
                <w:rFonts w:hint="eastAsia" w:ascii="宋体" w:hAnsi="宋体" w:cs="宋体"/>
                <w:kern w:val="0"/>
                <w:sz w:val="20"/>
                <w:szCs w:val="21"/>
                <w:lang w:val="en-US" w:eastAsia="zh-CN"/>
              </w:rPr>
              <w:t>1</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bidi="ar-SA"/>
              </w:rPr>
            </w:pPr>
            <w:r>
              <w:rPr>
                <w:rFonts w:hint="eastAsia" w:ascii="宋体" w:hAnsi="宋体" w:cs="宋体"/>
                <w:b w:val="0"/>
                <w:bCs w:val="0"/>
                <w:color w:val="auto"/>
                <w:kern w:val="0"/>
                <w:sz w:val="20"/>
                <w:szCs w:val="21"/>
                <w:lang w:val="en-US" w:eastAsia="zh-CN"/>
              </w:rPr>
              <w:t>技术服务费</w:t>
            </w:r>
          </w:p>
        </w:tc>
        <w:tc>
          <w:tcPr>
            <w:tcW w:w="732" w:type="dxa"/>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个</w:t>
            </w:r>
          </w:p>
        </w:tc>
        <w:tc>
          <w:tcPr>
            <w:tcW w:w="917" w:type="dxa"/>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w:t>
            </w:r>
          </w:p>
        </w:tc>
        <w:tc>
          <w:tcPr>
            <w:tcW w:w="1300" w:type="dxa"/>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283" w:type="dxa"/>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84" w:type="dxa"/>
            <w:vAlign w:val="center"/>
          </w:tcPr>
          <w:p>
            <w:pPr>
              <w:adjustRightInd w:val="0"/>
              <w:snapToGrid w:val="0"/>
              <w:spacing w:line="240" w:lineRule="auto"/>
              <w:jc w:val="center"/>
              <w:rPr>
                <w:rFonts w:hint="eastAsia" w:ascii="宋体" w:hAnsi="宋体" w:eastAsia="宋体" w:cs="宋体"/>
                <w:kern w:val="0"/>
                <w:sz w:val="20"/>
                <w:szCs w:val="21"/>
                <w:lang w:eastAsia="zh-CN"/>
              </w:rPr>
            </w:pPr>
            <w:r>
              <w:rPr>
                <w:rFonts w:hint="eastAsia" w:ascii="宋体" w:hAnsi="宋体" w:cs="宋体"/>
                <w:kern w:val="0"/>
                <w:sz w:val="20"/>
                <w:szCs w:val="21"/>
                <w:lang w:eastAsia="zh-CN"/>
              </w:rPr>
              <w:t>（可以加行）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cs="宋体"/>
                <w:kern w:val="0"/>
                <w:sz w:val="20"/>
                <w:szCs w:val="21"/>
                <w:lang w:val="en-US" w:eastAsia="zh-CN"/>
              </w:rPr>
            </w:pPr>
            <w:r>
              <w:rPr>
                <w:rFonts w:hint="eastAsia" w:ascii="宋体" w:hAnsi="宋体" w:cs="宋体"/>
                <w:kern w:val="0"/>
                <w:sz w:val="20"/>
                <w:szCs w:val="21"/>
                <w:lang w:val="en-US" w:eastAsia="zh-CN"/>
              </w:rPr>
              <w:t>2</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bidi="ar-SA"/>
              </w:rPr>
            </w:pPr>
            <w:r>
              <w:rPr>
                <w:rFonts w:hint="eastAsia" w:ascii="宋体" w:hAnsi="宋体" w:cs="宋体"/>
                <w:b w:val="0"/>
                <w:bCs w:val="0"/>
                <w:color w:val="auto"/>
                <w:kern w:val="0"/>
                <w:sz w:val="20"/>
                <w:szCs w:val="21"/>
                <w:lang w:val="en-US" w:eastAsia="zh-CN"/>
              </w:rPr>
              <w:t>现场技术指导</w:t>
            </w:r>
          </w:p>
        </w:tc>
        <w:tc>
          <w:tcPr>
            <w:tcW w:w="732" w:type="dxa"/>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个</w:t>
            </w:r>
          </w:p>
        </w:tc>
        <w:tc>
          <w:tcPr>
            <w:tcW w:w="917" w:type="dxa"/>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w:t>
            </w:r>
          </w:p>
        </w:tc>
        <w:tc>
          <w:tcPr>
            <w:tcW w:w="1300" w:type="dxa"/>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283" w:type="dxa"/>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84" w:type="dxa"/>
            <w:vAlign w:val="center"/>
          </w:tcPr>
          <w:p>
            <w:pPr>
              <w:adjustRightInd w:val="0"/>
              <w:snapToGrid w:val="0"/>
              <w:spacing w:line="240" w:lineRule="auto"/>
              <w:jc w:val="center"/>
              <w:rPr>
                <w:rFonts w:hint="eastAsia" w:ascii="宋体" w:hAnsi="宋体" w:cs="宋体"/>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cs="宋体"/>
                <w:kern w:val="0"/>
                <w:sz w:val="20"/>
                <w:szCs w:val="21"/>
                <w:lang w:val="en-US" w:eastAsia="zh-CN"/>
              </w:rPr>
            </w:pPr>
            <w:r>
              <w:rPr>
                <w:rFonts w:hint="eastAsia" w:ascii="宋体" w:hAnsi="宋体" w:cs="宋体"/>
                <w:kern w:val="0"/>
                <w:sz w:val="20"/>
                <w:szCs w:val="21"/>
                <w:lang w:val="en-US" w:eastAsia="zh-CN"/>
              </w:rPr>
              <w:t>3</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bidi="ar-SA"/>
              </w:rPr>
            </w:pPr>
            <w:r>
              <w:rPr>
                <w:rFonts w:hint="eastAsia" w:ascii="宋体" w:hAnsi="宋体" w:cs="宋体"/>
                <w:b w:val="0"/>
                <w:bCs w:val="0"/>
                <w:color w:val="auto"/>
                <w:kern w:val="0"/>
                <w:sz w:val="20"/>
                <w:szCs w:val="21"/>
                <w:lang w:val="en-US" w:eastAsia="zh-CN"/>
              </w:rPr>
              <w:t>资料费</w:t>
            </w:r>
          </w:p>
        </w:tc>
        <w:tc>
          <w:tcPr>
            <w:tcW w:w="732" w:type="dxa"/>
            <w:vAlign w:val="center"/>
          </w:tcPr>
          <w:p>
            <w:pPr>
              <w:adjustRightInd w:val="0"/>
              <w:snapToGrid w:val="0"/>
              <w:spacing w:line="240" w:lineRule="auto"/>
              <w:jc w:val="center"/>
              <w:rPr>
                <w:rFonts w:hint="default" w:ascii="宋体" w:hAnsi="宋体" w:cs="宋体"/>
                <w:b w:val="0"/>
                <w:bCs w:val="0"/>
                <w:kern w:val="0"/>
                <w:sz w:val="20"/>
                <w:szCs w:val="21"/>
                <w:lang w:val="en-US" w:eastAsia="zh-CN"/>
              </w:rPr>
            </w:pPr>
            <w:r>
              <w:rPr>
                <w:rFonts w:hint="eastAsia" w:ascii="宋体" w:hAnsi="宋体" w:cs="宋体"/>
                <w:b w:val="0"/>
                <w:bCs w:val="0"/>
                <w:kern w:val="0"/>
                <w:sz w:val="20"/>
                <w:szCs w:val="21"/>
                <w:lang w:val="en-US" w:eastAsia="zh-CN"/>
              </w:rPr>
              <w:t>项</w:t>
            </w:r>
          </w:p>
        </w:tc>
        <w:tc>
          <w:tcPr>
            <w:tcW w:w="917" w:type="dxa"/>
            <w:vAlign w:val="center"/>
          </w:tcPr>
          <w:p>
            <w:pPr>
              <w:adjustRightInd w:val="0"/>
              <w:snapToGrid w:val="0"/>
              <w:spacing w:line="240" w:lineRule="auto"/>
              <w:jc w:val="center"/>
              <w:rPr>
                <w:rFonts w:hint="default" w:ascii="宋体" w:hAnsi="宋体" w:cs="宋体"/>
                <w:b w:val="0"/>
                <w:bCs w:val="0"/>
                <w:kern w:val="0"/>
                <w:sz w:val="20"/>
                <w:szCs w:val="21"/>
                <w:lang w:val="en-US" w:eastAsia="zh-CN"/>
              </w:rPr>
            </w:pPr>
            <w:r>
              <w:rPr>
                <w:rFonts w:hint="eastAsia" w:ascii="宋体" w:hAnsi="宋体" w:cs="宋体"/>
                <w:b w:val="0"/>
                <w:bCs w:val="0"/>
                <w:kern w:val="0"/>
                <w:sz w:val="20"/>
                <w:szCs w:val="21"/>
                <w:lang w:val="en-US" w:eastAsia="zh-CN"/>
              </w:rPr>
              <w:t>-</w:t>
            </w:r>
          </w:p>
        </w:tc>
        <w:tc>
          <w:tcPr>
            <w:tcW w:w="1300" w:type="dxa"/>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283" w:type="dxa"/>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84" w:type="dxa"/>
            <w:vAlign w:val="center"/>
          </w:tcPr>
          <w:p>
            <w:pPr>
              <w:adjustRightInd w:val="0"/>
              <w:snapToGrid w:val="0"/>
              <w:spacing w:line="240" w:lineRule="auto"/>
              <w:jc w:val="center"/>
              <w:rPr>
                <w:rFonts w:hint="eastAsia" w:ascii="宋体" w:hAnsi="宋体" w:cs="宋体"/>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cs="宋体"/>
                <w:kern w:val="0"/>
                <w:sz w:val="20"/>
                <w:szCs w:val="21"/>
                <w:lang w:val="en-US" w:eastAsia="zh-CN"/>
              </w:rPr>
            </w:pPr>
            <w:r>
              <w:rPr>
                <w:rFonts w:hint="eastAsia" w:ascii="宋体" w:hAnsi="宋体" w:cs="宋体"/>
                <w:kern w:val="0"/>
                <w:sz w:val="20"/>
                <w:szCs w:val="21"/>
                <w:lang w:val="en-US" w:eastAsia="zh-CN"/>
              </w:rPr>
              <w:t>4</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bidi="ar-SA"/>
              </w:rPr>
            </w:pPr>
            <w:r>
              <w:rPr>
                <w:rFonts w:hint="eastAsia" w:ascii="宋体" w:hAnsi="宋体" w:cs="宋体"/>
                <w:b w:val="0"/>
                <w:bCs w:val="0"/>
                <w:color w:val="auto"/>
                <w:kern w:val="0"/>
                <w:sz w:val="20"/>
                <w:szCs w:val="21"/>
                <w:lang w:val="en-US" w:eastAsia="zh-CN"/>
              </w:rPr>
              <w:t>出版费</w:t>
            </w:r>
          </w:p>
        </w:tc>
        <w:tc>
          <w:tcPr>
            <w:tcW w:w="732" w:type="dxa"/>
            <w:vAlign w:val="center"/>
          </w:tcPr>
          <w:p>
            <w:pPr>
              <w:adjustRightInd w:val="0"/>
              <w:snapToGrid w:val="0"/>
              <w:spacing w:line="240" w:lineRule="auto"/>
              <w:jc w:val="center"/>
              <w:rPr>
                <w:rFonts w:hint="default" w:ascii="宋体" w:hAnsi="宋体" w:cs="宋体"/>
                <w:b w:val="0"/>
                <w:bCs w:val="0"/>
                <w:kern w:val="0"/>
                <w:sz w:val="20"/>
                <w:szCs w:val="21"/>
                <w:lang w:val="en-US" w:eastAsia="zh-CN"/>
              </w:rPr>
            </w:pPr>
            <w:r>
              <w:rPr>
                <w:rFonts w:hint="eastAsia" w:ascii="宋体" w:hAnsi="宋体" w:cs="宋体"/>
                <w:b w:val="0"/>
                <w:bCs w:val="0"/>
                <w:kern w:val="0"/>
                <w:sz w:val="20"/>
                <w:szCs w:val="21"/>
                <w:lang w:val="en-US" w:eastAsia="zh-CN"/>
              </w:rPr>
              <w:t>项</w:t>
            </w:r>
          </w:p>
        </w:tc>
        <w:tc>
          <w:tcPr>
            <w:tcW w:w="917" w:type="dxa"/>
            <w:vAlign w:val="center"/>
          </w:tcPr>
          <w:p>
            <w:pPr>
              <w:adjustRightInd w:val="0"/>
              <w:snapToGrid w:val="0"/>
              <w:spacing w:line="240" w:lineRule="auto"/>
              <w:jc w:val="center"/>
              <w:rPr>
                <w:rFonts w:hint="default" w:ascii="宋体" w:hAnsi="宋体" w:cs="宋体"/>
                <w:b w:val="0"/>
                <w:bCs w:val="0"/>
                <w:kern w:val="0"/>
                <w:sz w:val="20"/>
                <w:szCs w:val="21"/>
                <w:lang w:val="en-US" w:eastAsia="zh-CN"/>
              </w:rPr>
            </w:pPr>
            <w:r>
              <w:rPr>
                <w:rFonts w:hint="eastAsia" w:ascii="宋体" w:hAnsi="宋体" w:cs="宋体"/>
                <w:b w:val="0"/>
                <w:bCs w:val="0"/>
                <w:kern w:val="0"/>
                <w:sz w:val="20"/>
                <w:szCs w:val="21"/>
                <w:lang w:val="en-US" w:eastAsia="zh-CN"/>
              </w:rPr>
              <w:t>-</w:t>
            </w:r>
          </w:p>
        </w:tc>
        <w:tc>
          <w:tcPr>
            <w:tcW w:w="1300" w:type="dxa"/>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283" w:type="dxa"/>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84" w:type="dxa"/>
            <w:vAlign w:val="center"/>
          </w:tcPr>
          <w:p>
            <w:pPr>
              <w:adjustRightInd w:val="0"/>
              <w:snapToGrid w:val="0"/>
              <w:spacing w:line="240" w:lineRule="auto"/>
              <w:jc w:val="center"/>
              <w:rPr>
                <w:rFonts w:hint="eastAsia" w:ascii="宋体" w:hAnsi="宋体" w:cs="宋体"/>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cs="宋体"/>
                <w:kern w:val="0"/>
                <w:sz w:val="20"/>
                <w:szCs w:val="21"/>
                <w:lang w:val="en-US" w:eastAsia="zh-CN"/>
              </w:rPr>
            </w:pPr>
            <w:r>
              <w:rPr>
                <w:rFonts w:hint="eastAsia" w:ascii="宋体" w:hAnsi="宋体" w:cs="宋体"/>
                <w:kern w:val="0"/>
                <w:sz w:val="20"/>
                <w:szCs w:val="21"/>
                <w:lang w:val="en-US" w:eastAsia="zh-CN"/>
              </w:rPr>
              <w:t>..</w:t>
            </w:r>
          </w:p>
        </w:tc>
        <w:tc>
          <w:tcPr>
            <w:tcW w:w="2409" w:type="dxa"/>
            <w:vAlign w:val="center"/>
          </w:tcPr>
          <w:p>
            <w:pPr>
              <w:adjustRightInd w:val="0"/>
              <w:snapToGrid w:val="0"/>
              <w:spacing w:line="240" w:lineRule="auto"/>
              <w:jc w:val="center"/>
              <w:rPr>
                <w:rFonts w:hint="default" w:ascii="宋体" w:hAnsi="宋体" w:eastAsia="宋体" w:cs="宋体"/>
                <w:b w:val="0"/>
                <w:bCs w:val="0"/>
                <w:color w:val="auto"/>
                <w:kern w:val="0"/>
                <w:sz w:val="20"/>
                <w:szCs w:val="21"/>
                <w:lang w:val="en-US" w:eastAsia="zh-CN" w:bidi="ar-SA"/>
              </w:rPr>
            </w:pPr>
            <w:r>
              <w:rPr>
                <w:rFonts w:hint="eastAsia" w:ascii="宋体" w:hAnsi="宋体" w:cs="宋体"/>
                <w:b w:val="0"/>
                <w:bCs w:val="0"/>
                <w:color w:val="auto"/>
                <w:kern w:val="0"/>
                <w:sz w:val="20"/>
                <w:szCs w:val="21"/>
                <w:lang w:val="en-US" w:eastAsia="zh-CN"/>
              </w:rPr>
              <w:t>其他费用（含交通、住宿等发生的费用）</w:t>
            </w:r>
          </w:p>
        </w:tc>
        <w:tc>
          <w:tcPr>
            <w:tcW w:w="732" w:type="dxa"/>
            <w:vAlign w:val="center"/>
          </w:tcPr>
          <w:p>
            <w:pPr>
              <w:adjustRightInd w:val="0"/>
              <w:snapToGrid w:val="0"/>
              <w:spacing w:line="240" w:lineRule="auto"/>
              <w:jc w:val="center"/>
              <w:rPr>
                <w:rFonts w:hint="default" w:ascii="宋体" w:hAnsi="宋体" w:cs="宋体"/>
                <w:b w:val="0"/>
                <w:bCs w:val="0"/>
                <w:kern w:val="0"/>
                <w:sz w:val="20"/>
                <w:szCs w:val="21"/>
                <w:lang w:val="en-US" w:eastAsia="zh-CN"/>
              </w:rPr>
            </w:pPr>
            <w:r>
              <w:rPr>
                <w:rFonts w:hint="eastAsia" w:ascii="宋体" w:hAnsi="宋体" w:cs="宋体"/>
                <w:b w:val="0"/>
                <w:bCs w:val="0"/>
                <w:kern w:val="0"/>
                <w:sz w:val="20"/>
                <w:szCs w:val="21"/>
                <w:lang w:val="en-US" w:eastAsia="zh-CN"/>
              </w:rPr>
              <w:t>..</w:t>
            </w:r>
          </w:p>
        </w:tc>
        <w:tc>
          <w:tcPr>
            <w:tcW w:w="917" w:type="dxa"/>
            <w:vAlign w:val="center"/>
          </w:tcPr>
          <w:p>
            <w:pPr>
              <w:adjustRightInd w:val="0"/>
              <w:snapToGrid w:val="0"/>
              <w:spacing w:line="240" w:lineRule="auto"/>
              <w:jc w:val="center"/>
              <w:rPr>
                <w:rFonts w:hint="default" w:ascii="宋体" w:hAnsi="宋体" w:cs="宋体"/>
                <w:b w:val="0"/>
                <w:bCs w:val="0"/>
                <w:kern w:val="0"/>
                <w:sz w:val="20"/>
                <w:szCs w:val="21"/>
                <w:lang w:val="en-US" w:eastAsia="zh-CN"/>
              </w:rPr>
            </w:pPr>
          </w:p>
        </w:tc>
        <w:tc>
          <w:tcPr>
            <w:tcW w:w="1300" w:type="dxa"/>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283" w:type="dxa"/>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84" w:type="dxa"/>
            <w:vAlign w:val="center"/>
          </w:tcPr>
          <w:p>
            <w:pPr>
              <w:adjustRightInd w:val="0"/>
              <w:snapToGrid w:val="0"/>
              <w:spacing w:line="240" w:lineRule="auto"/>
              <w:jc w:val="center"/>
              <w:rPr>
                <w:rFonts w:hint="eastAsia" w:ascii="宋体" w:hAnsi="宋体" w:cs="宋体"/>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kern w:val="0"/>
                <w:sz w:val="20"/>
                <w:szCs w:val="21"/>
                <w:lang w:val="en-US" w:eastAsia="zh-CN"/>
              </w:rPr>
            </w:pPr>
          </w:p>
        </w:tc>
        <w:tc>
          <w:tcPr>
            <w:tcW w:w="5358" w:type="dxa"/>
            <w:gridSpan w:val="4"/>
            <w:vAlign w:val="center"/>
          </w:tcPr>
          <w:p>
            <w:pPr>
              <w:adjustRightInd w:val="0"/>
              <w:snapToGrid w:val="0"/>
              <w:spacing w:line="240" w:lineRule="auto"/>
              <w:jc w:val="center"/>
              <w:rPr>
                <w:rFonts w:hint="eastAsia" w:ascii="宋体" w:hAnsi="宋体" w:cs="宋体"/>
                <w:kern w:val="0"/>
                <w:sz w:val="20"/>
                <w:szCs w:val="21"/>
              </w:rPr>
            </w:pPr>
            <w:r>
              <w:rPr>
                <w:rFonts w:hint="eastAsia" w:ascii="宋体" w:hAnsi="宋体" w:eastAsia="宋体" w:cs="宋体"/>
                <w:b/>
                <w:bCs/>
                <w:kern w:val="0"/>
                <w:sz w:val="21"/>
                <w:szCs w:val="21"/>
                <w:lang w:val="en-US" w:eastAsia="zh-CN" w:bidi="ar"/>
              </w:rPr>
              <w:t>合计</w:t>
            </w:r>
          </w:p>
        </w:tc>
        <w:tc>
          <w:tcPr>
            <w:tcW w:w="1283" w:type="dxa"/>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84" w:type="dxa"/>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r>
              <w:rPr>
                <w:rFonts w:hint="eastAsia" w:ascii="宋体" w:hAnsi="宋体" w:cs="宋体"/>
                <w:b w:val="0"/>
                <w:bCs w:val="0"/>
                <w:color w:val="auto"/>
                <w:kern w:val="0"/>
                <w:sz w:val="20"/>
                <w:szCs w:val="21"/>
                <w:lang w:eastAsia="zh-CN"/>
              </w:rPr>
              <w:t>总价含税费，税率为</w:t>
            </w:r>
            <w:r>
              <w:rPr>
                <w:rFonts w:hint="eastAsia" w:ascii="宋体" w:hAnsi="宋体" w:cs="宋体"/>
                <w:b w:val="0"/>
                <w:bCs w:val="0"/>
                <w:color w:val="auto"/>
                <w:kern w:val="0"/>
                <w:sz w:val="20"/>
                <w:szCs w:val="21"/>
                <w:lang w:val="en-US" w:eastAsia="zh-CN"/>
              </w:rPr>
              <w:t xml:space="preserve"> X %</w:t>
            </w:r>
          </w:p>
        </w:tc>
      </w:tr>
    </w:tbl>
    <w:p>
      <w:pPr>
        <w:spacing w:line="360" w:lineRule="auto"/>
        <w:rPr>
          <w:rFonts w:hint="eastAsia" w:ascii="宋体" w:hAnsi="宋体" w:cs="宋体"/>
          <w:szCs w:val="21"/>
        </w:rPr>
      </w:pPr>
    </w:p>
    <w:p>
      <w:pPr>
        <w:spacing w:line="360" w:lineRule="auto"/>
        <w:rPr>
          <w:rFonts w:hint="eastAsia" w:ascii="宋体" w:hAnsi="宋体" w:cs="宋体"/>
          <w:szCs w:val="21"/>
        </w:rPr>
      </w:pPr>
    </w:p>
    <w:p>
      <w:pPr>
        <w:spacing w:line="360" w:lineRule="auto"/>
        <w:rPr>
          <w:rFonts w:ascii="宋体" w:hAnsi="宋体" w:cs="宋体"/>
          <w:szCs w:val="21"/>
        </w:rPr>
      </w:pPr>
      <w:r>
        <w:rPr>
          <w:rFonts w:hint="eastAsia" w:ascii="宋体" w:hAnsi="宋体" w:cs="宋体"/>
          <w:szCs w:val="21"/>
        </w:rPr>
        <w:t>注：</w:t>
      </w:r>
    </w:p>
    <w:p>
      <w:pPr>
        <w:spacing w:line="360" w:lineRule="auto"/>
        <w:rPr>
          <w:rFonts w:ascii="宋体" w:hAnsi="宋体" w:cs="宋体"/>
          <w:szCs w:val="21"/>
        </w:rPr>
      </w:pPr>
      <w:r>
        <w:rPr>
          <w:rFonts w:hint="eastAsia" w:ascii="宋体" w:hAnsi="宋体" w:cs="宋体"/>
          <w:spacing w:val="-1"/>
          <w:szCs w:val="21"/>
        </w:rPr>
        <w:t>1、若单价和总价有差异，以单价为准；</w:t>
      </w:r>
    </w:p>
    <w:p>
      <w:pPr>
        <w:spacing w:line="360" w:lineRule="auto"/>
        <w:rPr>
          <w:rFonts w:ascii="宋体" w:hAnsi="宋体" w:cs="宋体"/>
          <w:szCs w:val="21"/>
        </w:rPr>
      </w:pPr>
      <w:r>
        <w:rPr>
          <w:rFonts w:hint="eastAsia" w:ascii="宋体" w:hAnsi="宋体" w:cs="宋体"/>
          <w:spacing w:val="-1"/>
          <w:szCs w:val="21"/>
        </w:rPr>
        <w:t>2、</w:t>
      </w:r>
      <w:r>
        <w:rPr>
          <w:rFonts w:hint="eastAsia" w:ascii="宋体" w:hAnsi="宋体" w:cs="宋体"/>
          <w:bCs/>
          <w:spacing w:val="2"/>
          <w:szCs w:val="21"/>
        </w:rPr>
        <w:t>报价方</w:t>
      </w:r>
      <w:r>
        <w:rPr>
          <w:rFonts w:hint="eastAsia" w:ascii="宋体" w:hAnsi="宋体" w:cs="宋体"/>
          <w:spacing w:val="-1"/>
          <w:szCs w:val="21"/>
        </w:rPr>
        <w:t>为执行本项目所发生的其他一切费用均已包含在总价中；</w:t>
      </w:r>
    </w:p>
    <w:p>
      <w:pPr>
        <w:spacing w:line="360" w:lineRule="auto"/>
        <w:rPr>
          <w:rFonts w:hint="eastAsia" w:ascii="宋体" w:hAnsi="宋体" w:cs="宋体"/>
          <w:spacing w:val="-1"/>
          <w:szCs w:val="21"/>
        </w:rPr>
      </w:pPr>
      <w:r>
        <w:rPr>
          <w:rFonts w:hint="eastAsia" w:ascii="宋体" w:hAnsi="宋体" w:cs="宋体"/>
          <w:spacing w:val="-1"/>
          <w:szCs w:val="21"/>
        </w:rPr>
        <w:t>3、按照询价文件中的</w:t>
      </w:r>
      <w:r>
        <w:rPr>
          <w:rFonts w:hint="eastAsia" w:ascii="宋体" w:hAnsi="宋体" w:cs="宋体"/>
          <w:spacing w:val="-1"/>
          <w:szCs w:val="21"/>
          <w:lang w:eastAsia="zh-CN"/>
        </w:rPr>
        <w:t>标包</w:t>
      </w:r>
      <w:r>
        <w:rPr>
          <w:rFonts w:hint="eastAsia" w:ascii="宋体" w:hAnsi="宋体" w:cs="宋体"/>
          <w:spacing w:val="-1"/>
          <w:szCs w:val="21"/>
        </w:rPr>
        <w:t>需求</w:t>
      </w:r>
      <w:r>
        <w:rPr>
          <w:rFonts w:hint="eastAsia" w:ascii="宋体" w:hAnsi="宋体" w:cs="宋体"/>
          <w:spacing w:val="-1"/>
          <w:szCs w:val="21"/>
          <w:lang w:eastAsia="zh-CN"/>
        </w:rPr>
        <w:t>，根据实际服务内容</w:t>
      </w:r>
      <w:r>
        <w:rPr>
          <w:rFonts w:hint="eastAsia" w:ascii="宋体" w:hAnsi="宋体" w:cs="宋体"/>
          <w:spacing w:val="-1"/>
          <w:szCs w:val="21"/>
        </w:rPr>
        <w:t xml:space="preserve">进行报价，发票应符合规定税率。 </w:t>
      </w:r>
    </w:p>
    <w:p>
      <w:pPr>
        <w:spacing w:line="360" w:lineRule="auto"/>
        <w:rPr>
          <w:rFonts w:hint="default" w:ascii="宋体" w:hAnsi="宋体" w:eastAsia="宋体" w:cs="宋体"/>
          <w:b w:val="0"/>
          <w:bCs w:val="0"/>
          <w:spacing w:val="-1"/>
          <w:szCs w:val="21"/>
          <w:lang w:val="en-US" w:eastAsia="zh-CN"/>
        </w:rPr>
      </w:pPr>
      <w:r>
        <w:rPr>
          <w:rFonts w:hint="eastAsia" w:ascii="宋体" w:hAnsi="宋体" w:cs="宋体"/>
          <w:spacing w:val="-1"/>
          <w:szCs w:val="21"/>
          <w:lang w:val="en-US" w:eastAsia="zh-CN"/>
        </w:rPr>
        <w:t>4、分项报价供参考，可根据实际情况增减采购/服务内容。</w:t>
      </w:r>
    </w:p>
    <w:p>
      <w:pPr>
        <w:spacing w:line="360" w:lineRule="auto"/>
        <w:jc w:val="right"/>
        <w:rPr>
          <w:rFonts w:hint="eastAsia" w:ascii="宋体" w:hAnsi="宋体" w:cs="宋体"/>
          <w:spacing w:val="-1"/>
          <w:szCs w:val="21"/>
        </w:rPr>
      </w:pP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spacing w:val="-1"/>
          <w:szCs w:val="21"/>
          <w:lang w:val="en-US" w:eastAsia="zh-CN"/>
        </w:rPr>
        <w:t xml:space="preserve">  </w:t>
      </w:r>
    </w:p>
    <w:p>
      <w:pPr>
        <w:spacing w:line="360" w:lineRule="auto"/>
        <w:jc w:val="center"/>
        <w:rPr>
          <w:color w:val="auto"/>
          <w:spacing w:val="-1"/>
          <w:sz w:val="24"/>
          <w:highlight w:val="none"/>
        </w:rPr>
        <w:sectPr>
          <w:footerReference r:id="rId7" w:type="default"/>
          <w:pgSz w:w="11906" w:h="16838"/>
          <w:pgMar w:top="1440" w:right="1800" w:bottom="1440" w:left="1800" w:header="851" w:footer="992" w:gutter="0"/>
          <w:cols w:space="720" w:num="1"/>
          <w:docGrid w:type="lines" w:linePitch="312" w:charSpace="0"/>
        </w:sectPr>
      </w:pPr>
    </w:p>
    <w:p>
      <w:pPr>
        <w:spacing w:line="360" w:lineRule="auto"/>
        <w:jc w:val="center"/>
        <w:outlineLvl w:val="5"/>
        <w:rPr>
          <w:rFonts w:hint="eastAsia" w:ascii="宋体" w:hAnsi="宋体" w:eastAsia="宋体" w:cs="宋体"/>
          <w:color w:val="auto"/>
          <w:szCs w:val="21"/>
          <w:highlight w:val="none"/>
          <w:lang w:val="en-US" w:eastAsia="zh-CN"/>
        </w:rPr>
      </w:pPr>
      <w:r>
        <w:rPr>
          <w:rFonts w:hint="eastAsia"/>
          <w:b/>
          <w:bCs/>
          <w:color w:val="auto"/>
          <w:spacing w:val="14"/>
          <w:kern w:val="0"/>
          <w:sz w:val="28"/>
          <w:szCs w:val="28"/>
          <w:highlight w:val="none"/>
          <w:lang w:val="en-US" w:eastAsia="zh-CN"/>
        </w:rPr>
        <w:t>服务</w:t>
      </w:r>
      <w:r>
        <w:rPr>
          <w:rFonts w:hint="eastAsia"/>
          <w:b/>
          <w:bCs/>
          <w:color w:val="auto"/>
          <w:spacing w:val="14"/>
          <w:kern w:val="0"/>
          <w:sz w:val="28"/>
          <w:szCs w:val="28"/>
          <w:highlight w:val="none"/>
        </w:rPr>
        <w:t>品质</w:t>
      </w:r>
    </w:p>
    <w:tbl>
      <w:tblPr>
        <w:tblStyle w:val="20"/>
        <w:tblpPr w:leftFromText="180" w:rightFromText="180" w:vertAnchor="text" w:horzAnchor="page" w:tblpXSpec="center" w:tblpY="129"/>
        <w:tblOverlap w:val="never"/>
        <w:tblW w:w="106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61"/>
        <w:gridCol w:w="1684"/>
        <w:gridCol w:w="6590"/>
        <w:gridCol w:w="178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06"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168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default"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服务项</w:t>
            </w:r>
          </w:p>
        </w:tc>
        <w:tc>
          <w:tcPr>
            <w:tcW w:w="6590"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技术要求</w:t>
            </w:r>
          </w:p>
        </w:tc>
        <w:tc>
          <w:tcPr>
            <w:tcW w:w="178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keepNext w:val="0"/>
              <w:keepLines w:val="0"/>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04"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color w:val="auto"/>
                <w:kern w:val="0"/>
                <w:sz w:val="24"/>
                <w:highlight w:val="none"/>
                <w:lang w:eastAsia="zh-CN" w:bidi="ar"/>
              </w:rPr>
            </w:pPr>
            <w:r>
              <w:rPr>
                <w:rFonts w:hint="eastAsia" w:asciiTheme="minorEastAsia" w:hAnsiTheme="minorEastAsia" w:eastAsiaTheme="minorEastAsia" w:cstheme="minorEastAsia"/>
                <w:b/>
                <w:color w:val="auto"/>
                <w:kern w:val="0"/>
                <w:sz w:val="24"/>
                <w:highlight w:val="none"/>
                <w:lang w:val="en-US" w:eastAsia="zh-CN" w:bidi="ar"/>
              </w:rPr>
              <w:t>1</w:t>
            </w:r>
          </w:p>
        </w:tc>
        <w:tc>
          <w:tcPr>
            <w:tcW w:w="1684" w:type="dxa"/>
            <w:tcBorders>
              <w:tl2br w:val="nil"/>
              <w:tr2bl w:val="nil"/>
            </w:tcBorders>
            <w:shd w:val="clear" w:color="auto" w:fill="auto"/>
            <w:vAlign w:val="center"/>
          </w:tcPr>
          <w:p>
            <w:pPr>
              <w:adjustRightInd w:val="0"/>
              <w:snapToGrid w:val="0"/>
              <w:spacing w:line="360" w:lineRule="auto"/>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专业技术服务</w:t>
            </w:r>
          </w:p>
        </w:tc>
        <w:tc>
          <w:tcPr>
            <w:tcW w:w="6590" w:type="dxa"/>
            <w:tcBorders>
              <w:tl2br w:val="nil"/>
              <w:tr2bl w:val="nil"/>
            </w:tcBorders>
            <w:shd w:val="clear" w:color="auto" w:fill="auto"/>
            <w:vAlign w:val="center"/>
          </w:tcPr>
          <w:p>
            <w:pPr>
              <w:adjustRightInd w:val="0"/>
              <w:snapToGrid w:val="0"/>
              <w:spacing w:line="36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1"/>
                <w:szCs w:val="21"/>
                <w:highlight w:val="none"/>
                <w:lang w:val="en-US" w:eastAsia="zh-CN" w:bidi="ar-SA"/>
              </w:rPr>
              <w:t>报价</w:t>
            </w:r>
            <w:r>
              <w:rPr>
                <w:rFonts w:hint="eastAsia" w:ascii="宋体" w:hAnsi="宋体" w:eastAsia="宋体" w:cs="Times New Roman"/>
                <w:color w:val="auto"/>
                <w:kern w:val="2"/>
                <w:sz w:val="21"/>
                <w:szCs w:val="21"/>
                <w:highlight w:val="none"/>
                <w:lang w:val="en-US" w:eastAsia="zh-CN" w:bidi="ar-SA"/>
              </w:rPr>
              <w:t>方应具备设备材料分解及加工能力，</w:t>
            </w:r>
            <w:r>
              <w:rPr>
                <w:rFonts w:hint="eastAsia" w:ascii="宋体" w:hAnsi="宋体" w:cs="Times New Roman"/>
                <w:color w:val="auto"/>
                <w:kern w:val="2"/>
                <w:sz w:val="21"/>
                <w:szCs w:val="21"/>
                <w:highlight w:val="none"/>
                <w:lang w:val="en-US" w:eastAsia="zh-CN" w:bidi="ar-SA"/>
              </w:rPr>
              <w:t>结合分子模拟方法，</w:t>
            </w:r>
            <w:r>
              <w:rPr>
                <w:rFonts w:hint="eastAsia" w:ascii="宋体" w:hAnsi="宋体" w:eastAsia="宋体" w:cs="Times New Roman"/>
                <w:color w:val="auto"/>
                <w:kern w:val="2"/>
                <w:sz w:val="21"/>
                <w:szCs w:val="21"/>
                <w:highlight w:val="none"/>
                <w:lang w:val="en-US" w:eastAsia="zh-CN" w:bidi="ar-SA"/>
              </w:rPr>
              <w:t>通过使用相关仪器测试研究绝缘材料，并提供完善的试验报告，报告应包含但不限于试验参数、红外分析图谱前后对比等。</w:t>
            </w:r>
          </w:p>
        </w:tc>
        <w:tc>
          <w:tcPr>
            <w:tcW w:w="1783"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14"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default"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2</w:t>
            </w:r>
          </w:p>
        </w:tc>
        <w:tc>
          <w:tcPr>
            <w:tcW w:w="1684" w:type="dxa"/>
            <w:tcBorders>
              <w:tl2br w:val="nil"/>
              <w:tr2bl w:val="nil"/>
            </w:tcBorders>
            <w:shd w:val="clear" w:color="auto" w:fill="auto"/>
            <w:vAlign w:val="center"/>
          </w:tcPr>
          <w:p>
            <w:pPr>
              <w:adjustRightInd w:val="0"/>
              <w:snapToGrid w:val="0"/>
              <w:spacing w:line="360" w:lineRule="auto"/>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专业技术服务</w:t>
            </w:r>
          </w:p>
        </w:tc>
        <w:tc>
          <w:tcPr>
            <w:tcW w:w="6590" w:type="dxa"/>
            <w:tcBorders>
              <w:right w:val="single" w:color="auto" w:sz="4" w:space="0"/>
              <w:tl2br w:val="nil"/>
              <w:tr2bl w:val="nil"/>
            </w:tcBorders>
            <w:shd w:val="clear" w:color="auto" w:fill="auto"/>
            <w:vAlign w:val="center"/>
          </w:tcPr>
          <w:p>
            <w:pPr>
              <w:adjustRightInd w:val="0"/>
              <w:snapToGrid w:val="0"/>
              <w:spacing w:line="360" w:lineRule="auto"/>
              <w:rPr>
                <w:rFonts w:hint="eastAsia" w:asciiTheme="minorEastAsia" w:hAnsiTheme="minorEastAsia" w:eastAsiaTheme="minorEastAsia" w:cstheme="minorEastAsia"/>
                <w:color w:val="auto"/>
                <w:sz w:val="24"/>
                <w:highlight w:val="none"/>
                <w:lang w:eastAsia="zh-CN"/>
              </w:rPr>
            </w:pPr>
            <w:r>
              <w:rPr>
                <w:rFonts w:hint="eastAsia" w:ascii="宋体" w:hAnsi="宋体" w:cs="Times New Roman"/>
                <w:color w:val="auto"/>
                <w:kern w:val="2"/>
                <w:sz w:val="21"/>
                <w:szCs w:val="21"/>
                <w:highlight w:val="none"/>
                <w:lang w:val="en-US" w:eastAsia="zh-CN" w:bidi="ar-SA"/>
              </w:rPr>
              <w:t>报价方应提供额外技术服务项目支持，包括提供现场服务、远程专人技术支持、指导，协助开发项目落地。</w:t>
            </w:r>
          </w:p>
        </w:tc>
        <w:tc>
          <w:tcPr>
            <w:tcW w:w="1783" w:type="dxa"/>
            <w:tcBorders>
              <w:left w:val="single" w:color="auto" w:sz="4" w:space="0"/>
              <w:tl2br w:val="nil"/>
              <w:tr2bl w:val="nil"/>
            </w:tcBorders>
            <w:shd w:val="clear" w:color="auto" w:fill="auto"/>
            <w:vAlign w:val="center"/>
          </w:tcPr>
          <w:p>
            <w:pPr>
              <w:keepNext w:val="0"/>
              <w:keepLines w:val="0"/>
              <w:pageBreakBefore w:val="0"/>
              <w:tabs>
                <w:tab w:val="left" w:pos="2372"/>
              </w:tabs>
              <w:kinsoku/>
              <w:wordWrap/>
              <w:overflowPunct/>
              <w:topLinePunct w:val="0"/>
              <w:autoSpaceDE/>
              <w:autoSpaceDN/>
              <w:bidi w:val="0"/>
              <w:spacing w:line="240" w:lineRule="auto"/>
              <w:jc w:val="both"/>
              <w:rPr>
                <w:rFonts w:hint="eastAsia" w:asciiTheme="minorEastAsia" w:hAnsiTheme="minorEastAsia" w:eastAsiaTheme="minorEastAsia" w:cstheme="minorEastAsia"/>
                <w:color w:val="auto"/>
                <w:sz w:val="24"/>
                <w:highlight w:val="yellow"/>
                <w:lang w:eastAsia="zh-CN"/>
              </w:rPr>
            </w:pPr>
          </w:p>
        </w:tc>
      </w:tr>
    </w:tbl>
    <w:p>
      <w:pPr>
        <w:jc w:val="center"/>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Spec="center" w:tblpY="129"/>
        <w:tblOverlap w:val="never"/>
        <w:tblW w:w="1056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06"/>
        <w:gridCol w:w="8310"/>
        <w:gridCol w:w="174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51" w:hRule="atLeast"/>
          <w:jc w:val="center"/>
        </w:trPr>
        <w:tc>
          <w:tcPr>
            <w:tcW w:w="506"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831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1744"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566" w:hRule="exact"/>
          <w:jc w:val="center"/>
        </w:trPr>
        <w:tc>
          <w:tcPr>
            <w:tcW w:w="50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8310" w:type="dxa"/>
            <w:tcBorders>
              <w:tl2br w:val="nil"/>
              <w:tr2bl w:val="nil"/>
            </w:tcBorders>
            <w:shd w:val="clear" w:color="auto" w:fill="auto"/>
            <w:vAlign w:val="center"/>
          </w:tcPr>
          <w:p>
            <w:pPr>
              <w:widowControl/>
              <w:textAlignment w:val="center"/>
              <w:rPr>
                <w:rFonts w:ascii="宋体" w:hAnsi="宋体"/>
                <w:color w:val="auto"/>
                <w:sz w:val="24"/>
                <w:highlight w:val="none"/>
              </w:rPr>
            </w:pPr>
            <w:r>
              <w:rPr>
                <w:rFonts w:hint="eastAsia" w:ascii="宋体" w:hAnsi="宋体" w:cs="宋体"/>
                <w:b/>
                <w:bCs/>
                <w:color w:val="auto"/>
                <w:sz w:val="24"/>
                <w:highlight w:val="none"/>
              </w:rPr>
              <w:t>发票要求：</w:t>
            </w:r>
            <w:r>
              <w:rPr>
                <w:rFonts w:hint="eastAsia" w:ascii="宋体" w:hAnsi="宋体" w:cs="Times New Roman"/>
                <w:color w:val="auto"/>
                <w:kern w:val="2"/>
                <w:sz w:val="21"/>
                <w:szCs w:val="21"/>
                <w:highlight w:val="none"/>
                <w:lang w:val="en-US" w:eastAsia="zh-CN" w:bidi="ar-SA"/>
              </w:rPr>
              <w:t>报价单位可提供符合规定税率的增值税发票。</w:t>
            </w:r>
          </w:p>
        </w:tc>
        <w:tc>
          <w:tcPr>
            <w:tcW w:w="1744"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91" w:hRule="exact"/>
          <w:jc w:val="center"/>
        </w:trPr>
        <w:tc>
          <w:tcPr>
            <w:tcW w:w="50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8310" w:type="dxa"/>
            <w:tcBorders>
              <w:tl2br w:val="nil"/>
              <w:tr2bl w:val="nil"/>
            </w:tcBorders>
            <w:shd w:val="clear" w:color="auto" w:fill="auto"/>
            <w:vAlign w:val="center"/>
          </w:tcPr>
          <w:p>
            <w:pPr>
              <w:spacing w:line="360" w:lineRule="auto"/>
              <w:rPr>
                <w:rFonts w:ascii="宋体" w:hAnsi="宋体"/>
                <w:color w:val="auto"/>
                <w:sz w:val="24"/>
                <w:highlight w:val="none"/>
              </w:rPr>
            </w:pPr>
            <w:r>
              <w:rPr>
                <w:rFonts w:hint="eastAsia" w:ascii="宋体" w:hAnsi="宋体" w:cs="宋体"/>
                <w:b/>
                <w:bCs/>
                <w:color w:val="auto"/>
                <w:sz w:val="24"/>
                <w:highlight w:val="none"/>
              </w:rPr>
              <w:t>质保期及售后服务响应要求：</w:t>
            </w:r>
            <w:r>
              <w:rPr>
                <w:rFonts w:hint="eastAsia" w:ascii="宋体" w:hAnsi="宋体" w:cs="Times New Roman"/>
                <w:color w:val="auto"/>
                <w:kern w:val="2"/>
                <w:sz w:val="21"/>
                <w:szCs w:val="21"/>
                <w:highlight w:val="none"/>
                <w:lang w:val="en-US" w:eastAsia="zh-CN" w:bidi="ar-SA"/>
              </w:rPr>
              <w:t>质保期及售后服务响应要求：质保期不少于12个月，质保期内有任何质量问题将免费进行修理、更换；售后服务的响应时间在48小时内，并提供技术支持。</w:t>
            </w:r>
          </w:p>
        </w:tc>
        <w:tc>
          <w:tcPr>
            <w:tcW w:w="1744"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22" w:hRule="exact"/>
          <w:jc w:val="center"/>
        </w:trPr>
        <w:tc>
          <w:tcPr>
            <w:tcW w:w="50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8310" w:type="dxa"/>
            <w:tcBorders>
              <w:tl2br w:val="nil"/>
              <w:tr2bl w:val="nil"/>
            </w:tcBorders>
            <w:shd w:val="clear" w:color="auto" w:fill="auto"/>
            <w:vAlign w:val="center"/>
          </w:tcPr>
          <w:p>
            <w:pPr>
              <w:spacing w:line="360" w:lineRule="auto"/>
              <w:rPr>
                <w:rFonts w:hint="eastAsia" w:ascii="宋体" w:hAnsi="宋体" w:cs="Times New Roman"/>
                <w:color w:val="auto"/>
                <w:kern w:val="2"/>
                <w:sz w:val="21"/>
                <w:szCs w:val="21"/>
                <w:highlight w:val="none"/>
                <w:lang w:val="en-US" w:eastAsia="zh-CN" w:bidi="ar-SA"/>
              </w:rPr>
            </w:pPr>
            <w:r>
              <w:rPr>
                <w:rFonts w:hint="eastAsia" w:ascii="宋体" w:hAnsi="宋体" w:cs="宋体"/>
                <w:b/>
                <w:bCs/>
                <w:color w:val="auto"/>
                <w:sz w:val="24"/>
                <w:highlight w:val="none"/>
                <w:lang w:eastAsia="zh-CN"/>
              </w:rPr>
              <w:t>服务</w:t>
            </w:r>
            <w:r>
              <w:rPr>
                <w:rFonts w:hint="eastAsia" w:ascii="宋体" w:hAnsi="宋体" w:cs="宋体"/>
                <w:b/>
                <w:bCs/>
                <w:color w:val="auto"/>
                <w:sz w:val="24"/>
                <w:highlight w:val="none"/>
              </w:rPr>
              <w:t>时间及地点要求：</w:t>
            </w:r>
            <w:r>
              <w:rPr>
                <w:rFonts w:hint="eastAsia" w:ascii="宋体" w:hAnsi="宋体" w:cs="Times New Roman"/>
                <w:color w:val="auto"/>
                <w:kern w:val="2"/>
                <w:sz w:val="21"/>
                <w:szCs w:val="21"/>
                <w:highlight w:val="none"/>
                <w:lang w:val="en-US" w:eastAsia="zh-CN" w:bidi="ar-SA"/>
              </w:rPr>
              <w:t>服务时间为自确定服务商之日起至2024年11月30日，服务地点为柳州市海关路22号超高压输电公司柳州局。</w:t>
            </w:r>
          </w:p>
          <w:p>
            <w:pPr>
              <w:widowControl/>
              <w:textAlignment w:val="center"/>
              <w:rPr>
                <w:rFonts w:ascii="宋体" w:hAnsi="宋体"/>
                <w:color w:val="auto"/>
                <w:sz w:val="24"/>
                <w:highlight w:val="none"/>
              </w:rPr>
            </w:pPr>
          </w:p>
        </w:tc>
        <w:tc>
          <w:tcPr>
            <w:tcW w:w="1744"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22" w:hRule="exact"/>
          <w:jc w:val="center"/>
        </w:trPr>
        <w:tc>
          <w:tcPr>
            <w:tcW w:w="50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szCs w:val="24"/>
                <w:highlight w:val="none"/>
                <w:lang w:val="en-US" w:eastAsia="zh-CN" w:bidi="ar"/>
              </w:rPr>
            </w:pPr>
            <w:r>
              <w:rPr>
                <w:rFonts w:hint="eastAsia" w:asciiTheme="minorEastAsia" w:hAnsiTheme="minorEastAsia" w:eastAsiaTheme="minorEastAsia" w:cstheme="minorEastAsia"/>
                <w:b/>
                <w:color w:val="auto"/>
                <w:kern w:val="0"/>
                <w:sz w:val="24"/>
                <w:highlight w:val="none"/>
                <w:lang w:bidi="ar"/>
              </w:rPr>
              <w:t>4</w:t>
            </w:r>
          </w:p>
        </w:tc>
        <w:tc>
          <w:tcPr>
            <w:tcW w:w="8310" w:type="dxa"/>
            <w:tcBorders>
              <w:tl2br w:val="nil"/>
              <w:tr2bl w:val="nil"/>
            </w:tcBorders>
            <w:shd w:val="clear" w:color="auto" w:fill="auto"/>
            <w:vAlign w:val="center"/>
          </w:tcPr>
          <w:p>
            <w:pPr>
              <w:spacing w:line="36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cs="宋体"/>
                <w:b/>
                <w:bCs/>
                <w:color w:val="auto"/>
                <w:sz w:val="24"/>
                <w:highlight w:val="none"/>
              </w:rPr>
              <w:t>运输要求</w:t>
            </w:r>
            <w:r>
              <w:rPr>
                <w:rFonts w:hint="eastAsia" w:ascii="宋体" w:hAnsi="宋体" w:cs="宋体"/>
                <w:b/>
                <w:bCs/>
                <w:color w:val="auto"/>
                <w:sz w:val="24"/>
                <w:highlight w:val="none"/>
                <w:lang w:eastAsia="zh-CN"/>
              </w:rPr>
              <w:t>：</w:t>
            </w:r>
            <w:r>
              <w:rPr>
                <w:rFonts w:hint="eastAsia" w:ascii="宋体" w:hAnsi="宋体" w:cs="Times New Roman"/>
                <w:color w:val="auto"/>
                <w:sz w:val="21"/>
                <w:szCs w:val="21"/>
                <w:highlight w:val="none"/>
              </w:rPr>
              <w:t>本次项目中涉及到的材料运输全部费用由报价单位承担。</w:t>
            </w:r>
          </w:p>
        </w:tc>
        <w:tc>
          <w:tcPr>
            <w:tcW w:w="1744"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left"/>
        <w:rPr>
          <w:color w:val="auto"/>
          <w:spacing w:val="-1"/>
          <w:kern w:val="0"/>
          <w:sz w:val="24"/>
          <w:highlight w:val="none"/>
          <w:lang w:val="zh-CN"/>
        </w:rPr>
      </w:pP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rFonts w:hint="eastAsia"/>
          <w:color w:val="auto"/>
          <w:kern w:val="0"/>
          <w:sz w:val="24"/>
          <w:highlight w:val="none"/>
          <w:lang w:val="zh-CN"/>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rPr>
          <w:rFonts w:hint="eastAsia"/>
          <w:color w:val="auto"/>
          <w:kern w:val="0"/>
          <w:sz w:val="24"/>
          <w:highlight w:val="none"/>
          <w:lang w:val="zh-CN"/>
        </w:rPr>
      </w:pPr>
      <w:r>
        <w:rPr>
          <w:rFonts w:hint="eastAsia"/>
          <w:color w:val="auto"/>
          <w:kern w:val="0"/>
          <w:sz w:val="24"/>
          <w:highlight w:val="none"/>
          <w:lang w:val="zh-CN"/>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3"/>
      <w:lvlText w:val="%1"/>
      <w:lvlJc w:val="left"/>
      <w:pPr>
        <w:ind w:left="425" w:hanging="425"/>
      </w:pPr>
      <w:rPr>
        <w:rFonts w:hint="eastAsia" w:cs="Times New Roman"/>
        <w:sz w:val="21"/>
        <w:szCs w:val="21"/>
      </w:rPr>
    </w:lvl>
    <w:lvl w:ilvl="1" w:tentative="0">
      <w:start w:val="1"/>
      <w:numFmt w:val="decimal"/>
      <w:pStyle w:val="48"/>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kYzVjZjhhZDUwMzhjMzAwMThmOTAxMWZhZWM4MWUifQ=="/>
  </w:docVars>
  <w:rsids>
    <w:rsidRoot w:val="00172A27"/>
    <w:rsid w:val="000342AC"/>
    <w:rsid w:val="000559FC"/>
    <w:rsid w:val="000872FD"/>
    <w:rsid w:val="00095578"/>
    <w:rsid w:val="000A66A7"/>
    <w:rsid w:val="000F2DDF"/>
    <w:rsid w:val="00116E19"/>
    <w:rsid w:val="001401FF"/>
    <w:rsid w:val="00141576"/>
    <w:rsid w:val="0018645D"/>
    <w:rsid w:val="001D7B66"/>
    <w:rsid w:val="0020233D"/>
    <w:rsid w:val="003008FE"/>
    <w:rsid w:val="003E3323"/>
    <w:rsid w:val="00466142"/>
    <w:rsid w:val="004913D8"/>
    <w:rsid w:val="004938A7"/>
    <w:rsid w:val="0060730C"/>
    <w:rsid w:val="00610134"/>
    <w:rsid w:val="00611AAA"/>
    <w:rsid w:val="00630461"/>
    <w:rsid w:val="006A222E"/>
    <w:rsid w:val="00700C0C"/>
    <w:rsid w:val="007D68EF"/>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56DD"/>
    <w:rsid w:val="00F04019"/>
    <w:rsid w:val="00FE4E68"/>
    <w:rsid w:val="018229AF"/>
    <w:rsid w:val="018F6674"/>
    <w:rsid w:val="01A40F8A"/>
    <w:rsid w:val="01CE6107"/>
    <w:rsid w:val="02140D77"/>
    <w:rsid w:val="021F7F12"/>
    <w:rsid w:val="026652FE"/>
    <w:rsid w:val="02E84E1B"/>
    <w:rsid w:val="034B0006"/>
    <w:rsid w:val="039715E0"/>
    <w:rsid w:val="039A1E76"/>
    <w:rsid w:val="04317D2B"/>
    <w:rsid w:val="04501704"/>
    <w:rsid w:val="046B4A83"/>
    <w:rsid w:val="04CA6BD2"/>
    <w:rsid w:val="05157DEE"/>
    <w:rsid w:val="059852A9"/>
    <w:rsid w:val="05B67AF4"/>
    <w:rsid w:val="05BD2C21"/>
    <w:rsid w:val="05CD2719"/>
    <w:rsid w:val="05CE2615"/>
    <w:rsid w:val="05E55045"/>
    <w:rsid w:val="05F41940"/>
    <w:rsid w:val="060F4BD6"/>
    <w:rsid w:val="064675C8"/>
    <w:rsid w:val="068A4B7D"/>
    <w:rsid w:val="06910EC7"/>
    <w:rsid w:val="06AB0929"/>
    <w:rsid w:val="070A0B6B"/>
    <w:rsid w:val="07961E4E"/>
    <w:rsid w:val="07EF2669"/>
    <w:rsid w:val="0882650D"/>
    <w:rsid w:val="08B379B6"/>
    <w:rsid w:val="08D01A69"/>
    <w:rsid w:val="08DF719C"/>
    <w:rsid w:val="095B0EE9"/>
    <w:rsid w:val="09AF1B46"/>
    <w:rsid w:val="09B91536"/>
    <w:rsid w:val="09C006A0"/>
    <w:rsid w:val="0A5C68BB"/>
    <w:rsid w:val="0A726C5D"/>
    <w:rsid w:val="0A7464A1"/>
    <w:rsid w:val="0A911DA6"/>
    <w:rsid w:val="0A9C5575"/>
    <w:rsid w:val="0AB60694"/>
    <w:rsid w:val="0B2B3F3B"/>
    <w:rsid w:val="0B3145BB"/>
    <w:rsid w:val="0B5308D4"/>
    <w:rsid w:val="0B62608C"/>
    <w:rsid w:val="0BAB2B32"/>
    <w:rsid w:val="0BAC41D7"/>
    <w:rsid w:val="0BF7440E"/>
    <w:rsid w:val="0C183058"/>
    <w:rsid w:val="0C4D10DD"/>
    <w:rsid w:val="0C80011F"/>
    <w:rsid w:val="0C8849AD"/>
    <w:rsid w:val="0C95712B"/>
    <w:rsid w:val="0CA63966"/>
    <w:rsid w:val="0CBD44D5"/>
    <w:rsid w:val="0CC4072B"/>
    <w:rsid w:val="0CC64308"/>
    <w:rsid w:val="0CF24637"/>
    <w:rsid w:val="0CFD0263"/>
    <w:rsid w:val="0D4C5F66"/>
    <w:rsid w:val="0D587EDE"/>
    <w:rsid w:val="0D765942"/>
    <w:rsid w:val="0E2B54C7"/>
    <w:rsid w:val="0E7A3E1F"/>
    <w:rsid w:val="0E8F38EB"/>
    <w:rsid w:val="0E913B66"/>
    <w:rsid w:val="0EFD1C24"/>
    <w:rsid w:val="0F7B2D38"/>
    <w:rsid w:val="0F7D26BA"/>
    <w:rsid w:val="0F9C7DDC"/>
    <w:rsid w:val="10090346"/>
    <w:rsid w:val="100E20E9"/>
    <w:rsid w:val="106E6A88"/>
    <w:rsid w:val="108F47AF"/>
    <w:rsid w:val="109C7D56"/>
    <w:rsid w:val="10B47831"/>
    <w:rsid w:val="11325498"/>
    <w:rsid w:val="11567578"/>
    <w:rsid w:val="11727245"/>
    <w:rsid w:val="11834E46"/>
    <w:rsid w:val="11C13F63"/>
    <w:rsid w:val="11C4398B"/>
    <w:rsid w:val="11DD40A3"/>
    <w:rsid w:val="12006F69"/>
    <w:rsid w:val="124B085A"/>
    <w:rsid w:val="127C43FA"/>
    <w:rsid w:val="12E542C2"/>
    <w:rsid w:val="1376193B"/>
    <w:rsid w:val="13AF2A62"/>
    <w:rsid w:val="140E14EE"/>
    <w:rsid w:val="15031A58"/>
    <w:rsid w:val="15127864"/>
    <w:rsid w:val="151F27D8"/>
    <w:rsid w:val="152143B8"/>
    <w:rsid w:val="152A0C70"/>
    <w:rsid w:val="153E2707"/>
    <w:rsid w:val="15543E05"/>
    <w:rsid w:val="15C65B8F"/>
    <w:rsid w:val="15CD777A"/>
    <w:rsid w:val="15CE0DB9"/>
    <w:rsid w:val="161F53AA"/>
    <w:rsid w:val="163D0A11"/>
    <w:rsid w:val="16A076A8"/>
    <w:rsid w:val="16DB5C5B"/>
    <w:rsid w:val="16E17FD7"/>
    <w:rsid w:val="17087877"/>
    <w:rsid w:val="170F3531"/>
    <w:rsid w:val="17192215"/>
    <w:rsid w:val="175B7190"/>
    <w:rsid w:val="17D03E9B"/>
    <w:rsid w:val="17F90724"/>
    <w:rsid w:val="18377B1D"/>
    <w:rsid w:val="187C2125"/>
    <w:rsid w:val="187E67B4"/>
    <w:rsid w:val="188E7C69"/>
    <w:rsid w:val="18CE50AC"/>
    <w:rsid w:val="18DC7149"/>
    <w:rsid w:val="18E65311"/>
    <w:rsid w:val="19445D81"/>
    <w:rsid w:val="19775419"/>
    <w:rsid w:val="1A2A471A"/>
    <w:rsid w:val="1A973929"/>
    <w:rsid w:val="1B240C61"/>
    <w:rsid w:val="1B7A6B81"/>
    <w:rsid w:val="1BB074E2"/>
    <w:rsid w:val="1BC419AC"/>
    <w:rsid w:val="1BE13F8C"/>
    <w:rsid w:val="1C27355C"/>
    <w:rsid w:val="1C601D9D"/>
    <w:rsid w:val="1C9B0B55"/>
    <w:rsid w:val="1D1F5D6A"/>
    <w:rsid w:val="1D7651D8"/>
    <w:rsid w:val="1D8C651F"/>
    <w:rsid w:val="1E425E07"/>
    <w:rsid w:val="1E5732A7"/>
    <w:rsid w:val="1EA91661"/>
    <w:rsid w:val="1EE3152C"/>
    <w:rsid w:val="1EF814B6"/>
    <w:rsid w:val="1EFF3796"/>
    <w:rsid w:val="1F09007C"/>
    <w:rsid w:val="1F4A4F10"/>
    <w:rsid w:val="1FB61E73"/>
    <w:rsid w:val="1FE91D68"/>
    <w:rsid w:val="1FEA2DF0"/>
    <w:rsid w:val="207A4B27"/>
    <w:rsid w:val="20C2474B"/>
    <w:rsid w:val="20DE7F97"/>
    <w:rsid w:val="21086AC5"/>
    <w:rsid w:val="21164180"/>
    <w:rsid w:val="21D11228"/>
    <w:rsid w:val="21D65FA3"/>
    <w:rsid w:val="21E367EB"/>
    <w:rsid w:val="21EA76D2"/>
    <w:rsid w:val="22410CA3"/>
    <w:rsid w:val="224E4308"/>
    <w:rsid w:val="225D2E7C"/>
    <w:rsid w:val="22674885"/>
    <w:rsid w:val="22EC41F1"/>
    <w:rsid w:val="230D5F83"/>
    <w:rsid w:val="231435E3"/>
    <w:rsid w:val="23776734"/>
    <w:rsid w:val="24040B52"/>
    <w:rsid w:val="24714F32"/>
    <w:rsid w:val="24B0423F"/>
    <w:rsid w:val="24D760FA"/>
    <w:rsid w:val="24F040F6"/>
    <w:rsid w:val="264777D9"/>
    <w:rsid w:val="264C25D5"/>
    <w:rsid w:val="26B143E9"/>
    <w:rsid w:val="26BB2F9D"/>
    <w:rsid w:val="26CF68D5"/>
    <w:rsid w:val="26D06059"/>
    <w:rsid w:val="28005C30"/>
    <w:rsid w:val="280454B9"/>
    <w:rsid w:val="285D2747"/>
    <w:rsid w:val="28C548C4"/>
    <w:rsid w:val="28D30187"/>
    <w:rsid w:val="290F4769"/>
    <w:rsid w:val="291D3964"/>
    <w:rsid w:val="29710F8A"/>
    <w:rsid w:val="297B1B85"/>
    <w:rsid w:val="298B6166"/>
    <w:rsid w:val="29D439C5"/>
    <w:rsid w:val="29F71DCE"/>
    <w:rsid w:val="2A5D4013"/>
    <w:rsid w:val="2A73216B"/>
    <w:rsid w:val="2A7F36C6"/>
    <w:rsid w:val="2A8D625F"/>
    <w:rsid w:val="2A8E1236"/>
    <w:rsid w:val="2B582829"/>
    <w:rsid w:val="2B724E39"/>
    <w:rsid w:val="2B952A4D"/>
    <w:rsid w:val="2BC93174"/>
    <w:rsid w:val="2C033842"/>
    <w:rsid w:val="2C0A2933"/>
    <w:rsid w:val="2C4634F8"/>
    <w:rsid w:val="2C5370A9"/>
    <w:rsid w:val="2C8A7F2A"/>
    <w:rsid w:val="2CA351F8"/>
    <w:rsid w:val="2D3277B7"/>
    <w:rsid w:val="2D4C4ADE"/>
    <w:rsid w:val="2DA40088"/>
    <w:rsid w:val="2DDB37E6"/>
    <w:rsid w:val="2E0A0EFD"/>
    <w:rsid w:val="2E6433AC"/>
    <w:rsid w:val="2EC830D0"/>
    <w:rsid w:val="2ED661EF"/>
    <w:rsid w:val="2EEC11FD"/>
    <w:rsid w:val="2F1B72D7"/>
    <w:rsid w:val="2F3C75DF"/>
    <w:rsid w:val="2F4D7950"/>
    <w:rsid w:val="2F5C0B8A"/>
    <w:rsid w:val="2F840F73"/>
    <w:rsid w:val="2FA65BFF"/>
    <w:rsid w:val="2FD21CB1"/>
    <w:rsid w:val="300924A8"/>
    <w:rsid w:val="303314BB"/>
    <w:rsid w:val="303D6EB0"/>
    <w:rsid w:val="305637DC"/>
    <w:rsid w:val="3063064E"/>
    <w:rsid w:val="30786DD9"/>
    <w:rsid w:val="308F63BC"/>
    <w:rsid w:val="30B351BB"/>
    <w:rsid w:val="30B47DEB"/>
    <w:rsid w:val="30C42C66"/>
    <w:rsid w:val="30D83BD1"/>
    <w:rsid w:val="30D91360"/>
    <w:rsid w:val="3116556A"/>
    <w:rsid w:val="31403EEE"/>
    <w:rsid w:val="314C4B41"/>
    <w:rsid w:val="3161392D"/>
    <w:rsid w:val="316E699D"/>
    <w:rsid w:val="316F4A45"/>
    <w:rsid w:val="31B10D3A"/>
    <w:rsid w:val="31DA3958"/>
    <w:rsid w:val="31F1799F"/>
    <w:rsid w:val="32A50AA2"/>
    <w:rsid w:val="32A66B78"/>
    <w:rsid w:val="32AC098F"/>
    <w:rsid w:val="32FC2794"/>
    <w:rsid w:val="33527CC1"/>
    <w:rsid w:val="33591408"/>
    <w:rsid w:val="338E2CB9"/>
    <w:rsid w:val="33AE5DBB"/>
    <w:rsid w:val="33F97FFE"/>
    <w:rsid w:val="34485725"/>
    <w:rsid w:val="344C3454"/>
    <w:rsid w:val="34702066"/>
    <w:rsid w:val="34FB1B75"/>
    <w:rsid w:val="350967C7"/>
    <w:rsid w:val="35A54830"/>
    <w:rsid w:val="35D30C5A"/>
    <w:rsid w:val="35E26F61"/>
    <w:rsid w:val="362743DC"/>
    <w:rsid w:val="36822DCF"/>
    <w:rsid w:val="36A93D34"/>
    <w:rsid w:val="36B7157D"/>
    <w:rsid w:val="36C4459F"/>
    <w:rsid w:val="36CA7098"/>
    <w:rsid w:val="36CE7125"/>
    <w:rsid w:val="36DD06B5"/>
    <w:rsid w:val="3747618C"/>
    <w:rsid w:val="37F1166D"/>
    <w:rsid w:val="38107BBE"/>
    <w:rsid w:val="38592D41"/>
    <w:rsid w:val="38723B01"/>
    <w:rsid w:val="38B17DB0"/>
    <w:rsid w:val="38C8329A"/>
    <w:rsid w:val="38CD6B31"/>
    <w:rsid w:val="393307F8"/>
    <w:rsid w:val="39345BEF"/>
    <w:rsid w:val="393C1CA9"/>
    <w:rsid w:val="395E67A7"/>
    <w:rsid w:val="396B62C2"/>
    <w:rsid w:val="39783302"/>
    <w:rsid w:val="397C274A"/>
    <w:rsid w:val="399E5A8D"/>
    <w:rsid w:val="3A7115CF"/>
    <w:rsid w:val="3A762EA6"/>
    <w:rsid w:val="3AE871ED"/>
    <w:rsid w:val="3B0B778D"/>
    <w:rsid w:val="3B166795"/>
    <w:rsid w:val="3B3A4A72"/>
    <w:rsid w:val="3B426DFA"/>
    <w:rsid w:val="3BE61609"/>
    <w:rsid w:val="3C0C0FD1"/>
    <w:rsid w:val="3C0D22F1"/>
    <w:rsid w:val="3C9B60FA"/>
    <w:rsid w:val="3CF6323E"/>
    <w:rsid w:val="3CFD0D4E"/>
    <w:rsid w:val="3CFF4EAC"/>
    <w:rsid w:val="3D932ECE"/>
    <w:rsid w:val="3DF6298B"/>
    <w:rsid w:val="3E032F55"/>
    <w:rsid w:val="3E5A5D0F"/>
    <w:rsid w:val="3EA55255"/>
    <w:rsid w:val="3EAD4BEA"/>
    <w:rsid w:val="3ED75761"/>
    <w:rsid w:val="3EE60069"/>
    <w:rsid w:val="3F037F80"/>
    <w:rsid w:val="3F5D7C25"/>
    <w:rsid w:val="3F6E7356"/>
    <w:rsid w:val="3F6F6216"/>
    <w:rsid w:val="3F706E9C"/>
    <w:rsid w:val="3F8A45CE"/>
    <w:rsid w:val="406470DF"/>
    <w:rsid w:val="40965A05"/>
    <w:rsid w:val="40A227E5"/>
    <w:rsid w:val="40CE4481"/>
    <w:rsid w:val="41044933"/>
    <w:rsid w:val="41B64242"/>
    <w:rsid w:val="41D930E9"/>
    <w:rsid w:val="420172F8"/>
    <w:rsid w:val="4214444F"/>
    <w:rsid w:val="428178ED"/>
    <w:rsid w:val="429E457A"/>
    <w:rsid w:val="437F3C55"/>
    <w:rsid w:val="43CA4243"/>
    <w:rsid w:val="443E1922"/>
    <w:rsid w:val="445544D0"/>
    <w:rsid w:val="44883556"/>
    <w:rsid w:val="4566672F"/>
    <w:rsid w:val="4597553F"/>
    <w:rsid w:val="45B96669"/>
    <w:rsid w:val="45FE5A12"/>
    <w:rsid w:val="46105782"/>
    <w:rsid w:val="46B251D5"/>
    <w:rsid w:val="46D75F15"/>
    <w:rsid w:val="47635C7F"/>
    <w:rsid w:val="47873FED"/>
    <w:rsid w:val="478A5985"/>
    <w:rsid w:val="485A7764"/>
    <w:rsid w:val="48697707"/>
    <w:rsid w:val="487D34CE"/>
    <w:rsid w:val="48812C6D"/>
    <w:rsid w:val="48D16F09"/>
    <w:rsid w:val="48FA0CCE"/>
    <w:rsid w:val="49231216"/>
    <w:rsid w:val="497E67FC"/>
    <w:rsid w:val="4A2A683B"/>
    <w:rsid w:val="4A340908"/>
    <w:rsid w:val="4A654689"/>
    <w:rsid w:val="4AC4563F"/>
    <w:rsid w:val="4AEF15A5"/>
    <w:rsid w:val="4AFB712A"/>
    <w:rsid w:val="4B3E507F"/>
    <w:rsid w:val="4B3F2937"/>
    <w:rsid w:val="4B722F98"/>
    <w:rsid w:val="4BDA732C"/>
    <w:rsid w:val="4C1978B7"/>
    <w:rsid w:val="4C2B7286"/>
    <w:rsid w:val="4C747C00"/>
    <w:rsid w:val="4CAE23D4"/>
    <w:rsid w:val="4CDB10DD"/>
    <w:rsid w:val="4CF16EBB"/>
    <w:rsid w:val="4CF27A3F"/>
    <w:rsid w:val="4D792B97"/>
    <w:rsid w:val="4D952847"/>
    <w:rsid w:val="4DD62762"/>
    <w:rsid w:val="4E111E7F"/>
    <w:rsid w:val="4E1F0A8F"/>
    <w:rsid w:val="4E964E6D"/>
    <w:rsid w:val="4E9B72CC"/>
    <w:rsid w:val="4EFE4BD1"/>
    <w:rsid w:val="4F751357"/>
    <w:rsid w:val="4FA20314"/>
    <w:rsid w:val="4FAD4EA6"/>
    <w:rsid w:val="4FF36AD1"/>
    <w:rsid w:val="503B6ED8"/>
    <w:rsid w:val="506C3BD6"/>
    <w:rsid w:val="506E60D9"/>
    <w:rsid w:val="508C6B82"/>
    <w:rsid w:val="50F4209B"/>
    <w:rsid w:val="51B306F8"/>
    <w:rsid w:val="526E4B9A"/>
    <w:rsid w:val="5292468C"/>
    <w:rsid w:val="52940EC9"/>
    <w:rsid w:val="52C1648F"/>
    <w:rsid w:val="53646DCD"/>
    <w:rsid w:val="53932D81"/>
    <w:rsid w:val="539D4641"/>
    <w:rsid w:val="53AB1337"/>
    <w:rsid w:val="53D41815"/>
    <w:rsid w:val="53E21E30"/>
    <w:rsid w:val="53EF0B3B"/>
    <w:rsid w:val="54315E24"/>
    <w:rsid w:val="54507861"/>
    <w:rsid w:val="547919F2"/>
    <w:rsid w:val="54FC1BBE"/>
    <w:rsid w:val="553F47A0"/>
    <w:rsid w:val="554561C6"/>
    <w:rsid w:val="554F18E1"/>
    <w:rsid w:val="555108DF"/>
    <w:rsid w:val="55777CC8"/>
    <w:rsid w:val="55AE0DFF"/>
    <w:rsid w:val="55F857FB"/>
    <w:rsid w:val="560C77A6"/>
    <w:rsid w:val="561F7CDD"/>
    <w:rsid w:val="565440F4"/>
    <w:rsid w:val="569D378C"/>
    <w:rsid w:val="56AB6EAC"/>
    <w:rsid w:val="56F56768"/>
    <w:rsid w:val="571C15EB"/>
    <w:rsid w:val="57E1381B"/>
    <w:rsid w:val="585D55F4"/>
    <w:rsid w:val="58734628"/>
    <w:rsid w:val="598F0310"/>
    <w:rsid w:val="59D949F9"/>
    <w:rsid w:val="59F65EED"/>
    <w:rsid w:val="59FD2825"/>
    <w:rsid w:val="5A0B5058"/>
    <w:rsid w:val="5A706CF3"/>
    <w:rsid w:val="5A7A1F0C"/>
    <w:rsid w:val="5ABF0DB1"/>
    <w:rsid w:val="5B020750"/>
    <w:rsid w:val="5B1F26BA"/>
    <w:rsid w:val="5B4162F2"/>
    <w:rsid w:val="5B6B1990"/>
    <w:rsid w:val="5B6E2B3B"/>
    <w:rsid w:val="5B774B71"/>
    <w:rsid w:val="5C270F1D"/>
    <w:rsid w:val="5C6E6BB0"/>
    <w:rsid w:val="5C875DFD"/>
    <w:rsid w:val="5C8F3336"/>
    <w:rsid w:val="5C927AE0"/>
    <w:rsid w:val="5CDE243B"/>
    <w:rsid w:val="5D754213"/>
    <w:rsid w:val="5D834D12"/>
    <w:rsid w:val="5D837E1D"/>
    <w:rsid w:val="5DAF4A90"/>
    <w:rsid w:val="5DC7047D"/>
    <w:rsid w:val="5E102188"/>
    <w:rsid w:val="5E1614EB"/>
    <w:rsid w:val="5EA6472F"/>
    <w:rsid w:val="5EC22C27"/>
    <w:rsid w:val="5EEE150C"/>
    <w:rsid w:val="5F041F5F"/>
    <w:rsid w:val="5F1337E9"/>
    <w:rsid w:val="5F3F6973"/>
    <w:rsid w:val="5FA75912"/>
    <w:rsid w:val="5FE45DE0"/>
    <w:rsid w:val="5FE5141B"/>
    <w:rsid w:val="601935D8"/>
    <w:rsid w:val="608215E4"/>
    <w:rsid w:val="60905F74"/>
    <w:rsid w:val="60CE03DF"/>
    <w:rsid w:val="60D85E8A"/>
    <w:rsid w:val="60EC5445"/>
    <w:rsid w:val="60F821F8"/>
    <w:rsid w:val="612E6E2A"/>
    <w:rsid w:val="6155097C"/>
    <w:rsid w:val="61604458"/>
    <w:rsid w:val="61831AB1"/>
    <w:rsid w:val="618B2EE7"/>
    <w:rsid w:val="62197B2F"/>
    <w:rsid w:val="62233CDE"/>
    <w:rsid w:val="623377D1"/>
    <w:rsid w:val="62436EC7"/>
    <w:rsid w:val="627A4BE4"/>
    <w:rsid w:val="62FE7930"/>
    <w:rsid w:val="6315604E"/>
    <w:rsid w:val="63606E12"/>
    <w:rsid w:val="63C9533E"/>
    <w:rsid w:val="63F64973"/>
    <w:rsid w:val="64F54A79"/>
    <w:rsid w:val="65037CE8"/>
    <w:rsid w:val="650F19F5"/>
    <w:rsid w:val="652D0705"/>
    <w:rsid w:val="65676159"/>
    <w:rsid w:val="65707FB6"/>
    <w:rsid w:val="65981134"/>
    <w:rsid w:val="65AE7F5D"/>
    <w:rsid w:val="65E26DFB"/>
    <w:rsid w:val="65EF3B0C"/>
    <w:rsid w:val="66175B7E"/>
    <w:rsid w:val="66531D6F"/>
    <w:rsid w:val="66740FA8"/>
    <w:rsid w:val="667E0635"/>
    <w:rsid w:val="66C66056"/>
    <w:rsid w:val="670B0B64"/>
    <w:rsid w:val="67423020"/>
    <w:rsid w:val="67537FBF"/>
    <w:rsid w:val="67C65F33"/>
    <w:rsid w:val="685B2144"/>
    <w:rsid w:val="690B57BB"/>
    <w:rsid w:val="693718D7"/>
    <w:rsid w:val="69801D62"/>
    <w:rsid w:val="69AB7271"/>
    <w:rsid w:val="69B27FF1"/>
    <w:rsid w:val="6A5B058F"/>
    <w:rsid w:val="6A845542"/>
    <w:rsid w:val="6AFB15BD"/>
    <w:rsid w:val="6B0C7C6D"/>
    <w:rsid w:val="6B424106"/>
    <w:rsid w:val="6BA04A3E"/>
    <w:rsid w:val="6C042199"/>
    <w:rsid w:val="6C1C2D35"/>
    <w:rsid w:val="6C2F1675"/>
    <w:rsid w:val="6C4A1BC7"/>
    <w:rsid w:val="6CE15D0F"/>
    <w:rsid w:val="6CF858AE"/>
    <w:rsid w:val="6CFC63A0"/>
    <w:rsid w:val="6D1B367F"/>
    <w:rsid w:val="6D530AE3"/>
    <w:rsid w:val="6D587E65"/>
    <w:rsid w:val="6D8509D2"/>
    <w:rsid w:val="6D9165AA"/>
    <w:rsid w:val="6DCD04D2"/>
    <w:rsid w:val="6DDB10B7"/>
    <w:rsid w:val="6DE90759"/>
    <w:rsid w:val="6E17709D"/>
    <w:rsid w:val="6E6F41E6"/>
    <w:rsid w:val="6E865A0B"/>
    <w:rsid w:val="6ECB5AFA"/>
    <w:rsid w:val="6EDD106E"/>
    <w:rsid w:val="6F2A656C"/>
    <w:rsid w:val="6F5D0A61"/>
    <w:rsid w:val="6F7C076D"/>
    <w:rsid w:val="6F9159A1"/>
    <w:rsid w:val="6FE96964"/>
    <w:rsid w:val="70237187"/>
    <w:rsid w:val="70436CC3"/>
    <w:rsid w:val="70966945"/>
    <w:rsid w:val="70D46D82"/>
    <w:rsid w:val="70E271BF"/>
    <w:rsid w:val="71400858"/>
    <w:rsid w:val="71462673"/>
    <w:rsid w:val="71A67303"/>
    <w:rsid w:val="721A0BCC"/>
    <w:rsid w:val="724E3782"/>
    <w:rsid w:val="72902DA7"/>
    <w:rsid w:val="72A57890"/>
    <w:rsid w:val="72AD55AD"/>
    <w:rsid w:val="73421644"/>
    <w:rsid w:val="7357698F"/>
    <w:rsid w:val="73673268"/>
    <w:rsid w:val="73B54DDE"/>
    <w:rsid w:val="743F2AD2"/>
    <w:rsid w:val="74640101"/>
    <w:rsid w:val="7470173A"/>
    <w:rsid w:val="74CB497C"/>
    <w:rsid w:val="74D361B6"/>
    <w:rsid w:val="74E1778D"/>
    <w:rsid w:val="754C5CCE"/>
    <w:rsid w:val="757F1BB5"/>
    <w:rsid w:val="759519F1"/>
    <w:rsid w:val="75C10FFA"/>
    <w:rsid w:val="75EE2EE6"/>
    <w:rsid w:val="75F82604"/>
    <w:rsid w:val="76301283"/>
    <w:rsid w:val="764F12F9"/>
    <w:rsid w:val="767874E3"/>
    <w:rsid w:val="768024F8"/>
    <w:rsid w:val="77187B21"/>
    <w:rsid w:val="771C47AB"/>
    <w:rsid w:val="774B1B00"/>
    <w:rsid w:val="775725A0"/>
    <w:rsid w:val="777A2A82"/>
    <w:rsid w:val="782E7A36"/>
    <w:rsid w:val="784400DC"/>
    <w:rsid w:val="789C7656"/>
    <w:rsid w:val="78D70170"/>
    <w:rsid w:val="78FE2CC9"/>
    <w:rsid w:val="79123E17"/>
    <w:rsid w:val="79241956"/>
    <w:rsid w:val="792B04A4"/>
    <w:rsid w:val="79387F53"/>
    <w:rsid w:val="793D4E18"/>
    <w:rsid w:val="796B2035"/>
    <w:rsid w:val="79897B57"/>
    <w:rsid w:val="79E61D37"/>
    <w:rsid w:val="7A055B3E"/>
    <w:rsid w:val="7A213A5B"/>
    <w:rsid w:val="7A31432B"/>
    <w:rsid w:val="7A67085F"/>
    <w:rsid w:val="7A7D2F58"/>
    <w:rsid w:val="7AD31504"/>
    <w:rsid w:val="7AE925C7"/>
    <w:rsid w:val="7B5D0F09"/>
    <w:rsid w:val="7B7064ED"/>
    <w:rsid w:val="7B735D15"/>
    <w:rsid w:val="7B841354"/>
    <w:rsid w:val="7C2D6B7E"/>
    <w:rsid w:val="7C3A12F7"/>
    <w:rsid w:val="7C94167F"/>
    <w:rsid w:val="7CC678C0"/>
    <w:rsid w:val="7D016D8D"/>
    <w:rsid w:val="7D104923"/>
    <w:rsid w:val="7D2C59D4"/>
    <w:rsid w:val="7D4608BF"/>
    <w:rsid w:val="7D4F1DB6"/>
    <w:rsid w:val="7DDA5FDE"/>
    <w:rsid w:val="7E1D123C"/>
    <w:rsid w:val="7EBC7D7B"/>
    <w:rsid w:val="7ECF16DD"/>
    <w:rsid w:val="7F602A87"/>
    <w:rsid w:val="7F642A46"/>
    <w:rsid w:val="7F64616D"/>
    <w:rsid w:val="7F83465F"/>
    <w:rsid w:val="7F861A6C"/>
    <w:rsid w:val="7FB57F93"/>
    <w:rsid w:val="7FEE3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7"/>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8"/>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9"/>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link w:val="29"/>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4"/>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autoRedefine/>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7"/>
    <w:autoRedefine/>
    <w:qFormat/>
    <w:uiPriority w:val="99"/>
    <w:rPr>
      <w:rFonts w:ascii="宋体" w:hAnsi="Courier New" w:eastAsiaTheme="minorEastAsia" w:cstheme="minorBidi"/>
    </w:rPr>
  </w:style>
  <w:style w:type="paragraph" w:styleId="13">
    <w:name w:val="Balloon Text"/>
    <w:basedOn w:val="1"/>
    <w:link w:val="42"/>
    <w:autoRedefine/>
    <w:qFormat/>
    <w:uiPriority w:val="0"/>
    <w:rPr>
      <w:rFonts w:asciiTheme="minorHAnsi" w:hAnsiTheme="minorHAnsi" w:cstheme="minorBidi"/>
      <w:sz w:val="18"/>
      <w:szCs w:val="18"/>
    </w:rPr>
  </w:style>
  <w:style w:type="paragraph" w:styleId="14">
    <w:name w:val="footer"/>
    <w:basedOn w:val="1"/>
    <w:link w:val="28"/>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2"/>
    <w:autoRedefine/>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autoRedefine/>
    <w:qFormat/>
    <w:uiPriority w:val="99"/>
    <w:rPr>
      <w:rFonts w:ascii="Times New Roman" w:hAnsi="Times New Roman" w:eastAsia="宋体"/>
      <w:color w:val="auto"/>
      <w:spacing w:val="0"/>
      <w:w w:val="100"/>
      <w:position w:val="0"/>
      <w:sz w:val="21"/>
      <w:u w:val="none"/>
    </w:rPr>
  </w:style>
  <w:style w:type="paragraph" w:customStyle="1" w:styleId="26">
    <w:name w:val="目录 21"/>
    <w:basedOn w:val="1"/>
    <w:next w:val="1"/>
    <w:autoRedefine/>
    <w:qFormat/>
    <w:uiPriority w:val="0"/>
    <w:pPr>
      <w:spacing w:before="100" w:beforeAutospacing="1" w:after="100" w:afterAutospacing="1"/>
      <w:ind w:left="420" w:leftChars="200"/>
    </w:pPr>
  </w:style>
  <w:style w:type="character" w:customStyle="1" w:styleId="27">
    <w:name w:val="纯文本 字符"/>
    <w:link w:val="12"/>
    <w:qFormat/>
    <w:uiPriority w:val="0"/>
    <w:rPr>
      <w:rFonts w:ascii="宋体" w:hAnsi="Courier New"/>
      <w:szCs w:val="24"/>
    </w:rPr>
  </w:style>
  <w:style w:type="character" w:customStyle="1" w:styleId="28">
    <w:name w:val="页脚 字符"/>
    <w:link w:val="14"/>
    <w:qFormat/>
    <w:uiPriority w:val="99"/>
    <w:rPr>
      <w:rFonts w:eastAsia="宋体"/>
      <w:sz w:val="18"/>
      <w:szCs w:val="18"/>
    </w:rPr>
  </w:style>
  <w:style w:type="character" w:customStyle="1" w:styleId="29">
    <w:name w:val="标题 字符"/>
    <w:link w:val="3"/>
    <w:qFormat/>
    <w:uiPriority w:val="0"/>
    <w:rPr>
      <w:rFonts w:ascii="Arial" w:hAnsi="Arial" w:cs="Arial"/>
      <w:b/>
      <w:bCs/>
      <w:sz w:val="32"/>
      <w:szCs w:val="32"/>
    </w:rPr>
  </w:style>
  <w:style w:type="character" w:customStyle="1" w:styleId="30">
    <w:name w:val="首行缩进 Char"/>
    <w:link w:val="31"/>
    <w:qFormat/>
    <w:uiPriority w:val="0"/>
    <w:rPr>
      <w:rFonts w:eastAsia="方正书宋简体" w:cs="宋体"/>
    </w:rPr>
  </w:style>
  <w:style w:type="paragraph" w:customStyle="1" w:styleId="31">
    <w:name w:val="首行缩进"/>
    <w:basedOn w:val="1"/>
    <w:link w:val="30"/>
    <w:qFormat/>
    <w:uiPriority w:val="0"/>
    <w:pPr>
      <w:spacing w:line="300" w:lineRule="auto"/>
      <w:ind w:firstLine="420" w:firstLineChars="200"/>
    </w:pPr>
    <w:rPr>
      <w:rFonts w:eastAsia="方正书宋简体" w:cs="宋体" w:asciiTheme="minorHAnsi" w:hAnsiTheme="minorHAnsi"/>
      <w:szCs w:val="22"/>
    </w:rPr>
  </w:style>
  <w:style w:type="character" w:customStyle="1" w:styleId="32">
    <w:name w:val="页眉 字符"/>
    <w:link w:val="15"/>
    <w:qFormat/>
    <w:uiPriority w:val="0"/>
    <w:rPr>
      <w:rFonts w:eastAsia="宋体"/>
      <w:sz w:val="18"/>
      <w:szCs w:val="18"/>
    </w:rPr>
  </w:style>
  <w:style w:type="character" w:customStyle="1" w:styleId="33">
    <w:name w:val="页脚 Char1"/>
    <w:basedOn w:val="22"/>
    <w:semiHidden/>
    <w:qFormat/>
    <w:uiPriority w:val="99"/>
    <w:rPr>
      <w:rFonts w:ascii="Times New Roman" w:hAnsi="Times New Roman" w:eastAsia="宋体" w:cs="Times New Roman"/>
      <w:sz w:val="18"/>
      <w:szCs w:val="18"/>
    </w:rPr>
  </w:style>
  <w:style w:type="character" w:customStyle="1" w:styleId="34">
    <w:name w:val="页眉 Char1"/>
    <w:basedOn w:val="22"/>
    <w:autoRedefine/>
    <w:semiHidden/>
    <w:qFormat/>
    <w:uiPriority w:val="99"/>
    <w:rPr>
      <w:rFonts w:ascii="Times New Roman" w:hAnsi="Times New Roman" w:eastAsia="宋体" w:cs="Times New Roman"/>
      <w:sz w:val="18"/>
      <w:szCs w:val="18"/>
    </w:rPr>
  </w:style>
  <w:style w:type="character" w:customStyle="1" w:styleId="35">
    <w:name w:val="标题 Char"/>
    <w:basedOn w:val="22"/>
    <w:qFormat/>
    <w:uiPriority w:val="0"/>
    <w:rPr>
      <w:rFonts w:eastAsia="宋体" w:asciiTheme="majorHAnsi" w:hAnsiTheme="majorHAnsi" w:cstheme="majorBidi"/>
      <w:b/>
      <w:bCs/>
      <w:sz w:val="32"/>
      <w:szCs w:val="32"/>
    </w:rPr>
  </w:style>
  <w:style w:type="character" w:customStyle="1" w:styleId="36">
    <w:name w:val="纯文本 Char"/>
    <w:basedOn w:val="22"/>
    <w:qFormat/>
    <w:uiPriority w:val="99"/>
    <w:rPr>
      <w:rFonts w:ascii="宋体" w:hAnsi="Courier New" w:eastAsia="宋体" w:cs="Courier New"/>
      <w:szCs w:val="21"/>
    </w:rPr>
  </w:style>
  <w:style w:type="character" w:customStyle="1" w:styleId="37">
    <w:name w:val="标题 1 字符"/>
    <w:basedOn w:val="22"/>
    <w:link w:val="4"/>
    <w:qFormat/>
    <w:uiPriority w:val="0"/>
    <w:rPr>
      <w:rFonts w:ascii="Times New Roman" w:hAnsi="Times New Roman" w:eastAsia="汉仪大宋简" w:cs="Times New Roman"/>
      <w:kern w:val="44"/>
      <w:sz w:val="22"/>
      <w:lang w:val="zh-CN" w:eastAsia="zh-CN"/>
    </w:rPr>
  </w:style>
  <w:style w:type="character" w:customStyle="1" w:styleId="38">
    <w:name w:val="标题 2 字符"/>
    <w:basedOn w:val="22"/>
    <w:link w:val="5"/>
    <w:qFormat/>
    <w:uiPriority w:val="0"/>
    <w:rPr>
      <w:rFonts w:ascii="Times New Roman" w:hAnsi="Times New Roman" w:eastAsia="黑体" w:cs="Times New Roman"/>
      <w:bCs/>
      <w:kern w:val="2"/>
      <w:sz w:val="21"/>
      <w:szCs w:val="21"/>
      <w:lang w:val="zh-CN"/>
    </w:rPr>
  </w:style>
  <w:style w:type="character" w:customStyle="1" w:styleId="39">
    <w:name w:val="标题 3 字符"/>
    <w:basedOn w:val="22"/>
    <w:link w:val="6"/>
    <w:qFormat/>
    <w:uiPriority w:val="0"/>
    <w:rPr>
      <w:rFonts w:ascii="Times New Roman" w:hAnsi="Times New Roman" w:eastAsia="宋体" w:cs="Times New Roman"/>
      <w:b/>
      <w:bCs/>
      <w:sz w:val="32"/>
      <w:szCs w:val="32"/>
      <w:lang w:val="zh-CN" w:eastAsia="zh-CN"/>
    </w:rPr>
  </w:style>
  <w:style w:type="character" w:customStyle="1" w:styleId="40">
    <w:name w:val="C标准-正文格式 Char"/>
    <w:link w:val="41"/>
    <w:qFormat/>
    <w:locked/>
    <w:uiPriority w:val="0"/>
    <w:rPr>
      <w:rFonts w:eastAsia="宋体" w:cs="宋体"/>
      <w:sz w:val="24"/>
    </w:rPr>
  </w:style>
  <w:style w:type="paragraph" w:customStyle="1" w:styleId="41">
    <w:name w:val="C标准-正文格式"/>
    <w:basedOn w:val="1"/>
    <w:link w:val="40"/>
    <w:qFormat/>
    <w:uiPriority w:val="0"/>
    <w:pPr>
      <w:spacing w:line="360" w:lineRule="auto"/>
    </w:pPr>
    <w:rPr>
      <w:rFonts w:cs="宋体" w:asciiTheme="minorHAnsi" w:hAnsiTheme="minorHAnsi"/>
      <w:sz w:val="24"/>
      <w:szCs w:val="22"/>
    </w:rPr>
  </w:style>
  <w:style w:type="character" w:customStyle="1" w:styleId="42">
    <w:name w:val="批注框文本 字符"/>
    <w:link w:val="13"/>
    <w:qFormat/>
    <w:locked/>
    <w:uiPriority w:val="0"/>
    <w:rPr>
      <w:rFonts w:eastAsia="宋体"/>
      <w:sz w:val="18"/>
      <w:szCs w:val="18"/>
    </w:rPr>
  </w:style>
  <w:style w:type="character" w:customStyle="1" w:styleId="43">
    <w:name w:val="页码1"/>
    <w:qFormat/>
    <w:uiPriority w:val="0"/>
    <w:rPr>
      <w:rFonts w:ascii="Times New Roman" w:hAnsi="Times New Roman" w:eastAsia="宋体"/>
      <w:sz w:val="18"/>
    </w:rPr>
  </w:style>
  <w:style w:type="character" w:customStyle="1" w:styleId="44">
    <w:name w:val="批注框文本 Char1"/>
    <w:basedOn w:val="22"/>
    <w:semiHidden/>
    <w:qFormat/>
    <w:uiPriority w:val="99"/>
    <w:rPr>
      <w:rFonts w:ascii="Times New Roman" w:hAnsi="Times New Roman" w:eastAsia="宋体" w:cs="Times New Roman"/>
      <w:sz w:val="18"/>
      <w:szCs w:val="18"/>
    </w:rPr>
  </w:style>
  <w:style w:type="paragraph" w:customStyle="1" w:styleId="45">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6">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7">
    <w:name w:val="列出段落1"/>
    <w:basedOn w:val="1"/>
    <w:qFormat/>
    <w:uiPriority w:val="0"/>
    <w:pPr>
      <w:ind w:firstLine="420" w:firstLineChars="200"/>
    </w:pPr>
  </w:style>
  <w:style w:type="paragraph" w:customStyle="1" w:styleId="48">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9">
    <w:name w:val="列出段落2"/>
    <w:basedOn w:val="1"/>
    <w:qFormat/>
    <w:uiPriority w:val="0"/>
    <w:pPr>
      <w:ind w:firstLine="420" w:firstLineChars="200"/>
    </w:pPr>
  </w:style>
  <w:style w:type="paragraph" w:customStyle="1" w:styleId="50">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1">
    <w:name w:val="标准规范3级"/>
    <w:basedOn w:val="48"/>
    <w:qFormat/>
    <w:uiPriority w:val="0"/>
    <w:pPr>
      <w:numPr>
        <w:numId w:val="0"/>
      </w:numPr>
      <w:spacing w:before="0"/>
      <w:ind w:firstLine="200" w:firstLineChars="200"/>
    </w:pPr>
  </w:style>
  <w:style w:type="paragraph" w:customStyle="1" w:styleId="52">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3">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4">
    <w:name w:val="文档结构图 字符"/>
    <w:basedOn w:val="22"/>
    <w:link w:val="9"/>
    <w:semiHidden/>
    <w:qFormat/>
    <w:uiPriority w:val="99"/>
    <w:rPr>
      <w:rFonts w:ascii="宋体" w:hAnsi="Times New Roman" w:eastAsia="宋体" w:cs="Times New Roman"/>
      <w:kern w:val="2"/>
      <w:sz w:val="18"/>
      <w:szCs w:val="18"/>
    </w:rPr>
  </w:style>
  <w:style w:type="paragraph" w:customStyle="1" w:styleId="55">
    <w:name w:val="朱表头"/>
    <w:basedOn w:val="1"/>
    <w:link w:val="57"/>
    <w:qFormat/>
    <w:uiPriority w:val="0"/>
    <w:pPr>
      <w:topLinePunct/>
      <w:spacing w:before="160" w:after="60" w:line="312" w:lineRule="exact"/>
      <w:jc w:val="center"/>
    </w:pPr>
    <w:rPr>
      <w:rFonts w:ascii="EU-F1" w:eastAsia="黑体"/>
      <w:snapToGrid w:val="0"/>
      <w:kern w:val="0"/>
      <w:sz w:val="20"/>
      <w:szCs w:val="20"/>
    </w:rPr>
  </w:style>
  <w:style w:type="paragraph" w:customStyle="1" w:styleId="56">
    <w:name w:val="p0"/>
    <w:basedOn w:val="1"/>
    <w:qFormat/>
    <w:uiPriority w:val="99"/>
    <w:pPr>
      <w:widowControl/>
    </w:pPr>
    <w:rPr>
      <w:rFonts w:ascii="Calibri" w:hAnsi="Calibri" w:cs="宋体"/>
      <w:kern w:val="0"/>
      <w:szCs w:val="21"/>
    </w:rPr>
  </w:style>
  <w:style w:type="character" w:customStyle="1" w:styleId="57">
    <w:name w:val="朱表头 Char"/>
    <w:link w:val="55"/>
    <w:qFormat/>
    <w:uiPriority w:val="0"/>
    <w:rPr>
      <w:rFonts w:ascii="EU-F1" w:hAnsi="Times New Roman" w:eastAsia="黑体" w:cs="Times New Roman"/>
      <w:snapToGrid w:val="0"/>
    </w:rPr>
  </w:style>
  <w:style w:type="paragraph" w:customStyle="1" w:styleId="58">
    <w:name w:val="二级无标题条"/>
    <w:basedOn w:val="1"/>
    <w:qFormat/>
    <w:uiPriority w:val="0"/>
    <w:rPr>
      <w:rFonts w:ascii="Calibri" w:hAnsi="Calibri"/>
      <w:b/>
      <w:szCs w:val="20"/>
    </w:rPr>
  </w:style>
  <w:style w:type="paragraph" w:customStyle="1" w:styleId="59">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1">
    <w:name w:val="font21"/>
    <w:basedOn w:val="22"/>
    <w:qFormat/>
    <w:uiPriority w:val="0"/>
    <w:rPr>
      <w:rFonts w:hint="eastAsia" w:ascii="宋体" w:hAnsi="宋体" w:eastAsia="宋体" w:cs="宋体"/>
      <w:color w:val="000000"/>
      <w:sz w:val="18"/>
      <w:szCs w:val="18"/>
      <w:u w:val="none"/>
      <w:vertAlign w:val="superscript"/>
    </w:rPr>
  </w:style>
  <w:style w:type="paragraph" w:customStyle="1" w:styleId="62">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3">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2322</Words>
  <Characters>2427</Characters>
  <Lines>18</Lines>
  <Paragraphs>5</Paragraphs>
  <TotalTime>2</TotalTime>
  <ScaleCrop>false</ScaleCrop>
  <LinksUpToDate>false</LinksUpToDate>
  <CharactersWithSpaces>2519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洪坤</cp:lastModifiedBy>
  <cp:lastPrinted>2021-04-23T02:05:00Z</cp:lastPrinted>
  <dcterms:modified xsi:type="dcterms:W3CDTF">2024-05-07T03:47:33Z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B14D1C77C0F343078F8DDD6E17A30D1B_13</vt:lpwstr>
  </property>
</Properties>
</file>