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bCs/>
          <w:sz w:val="36"/>
          <w:szCs w:val="36"/>
        </w:rPr>
      </w:pPr>
      <w:r>
        <w:rPr>
          <w:rFonts w:hint="eastAsia" w:ascii="宋体" w:hAnsi="宋体" w:eastAsia="宋体"/>
          <w:b/>
          <w:bCs/>
          <w:sz w:val="36"/>
          <w:szCs w:val="36"/>
        </w:rPr>
        <w:t>云南送变电工程有限公司2024年机房网络设备</w:t>
      </w:r>
    </w:p>
    <w:p>
      <w:pPr>
        <w:jc w:val="center"/>
        <w:rPr>
          <w:rFonts w:hint="eastAsia" w:ascii="宋体" w:hAnsi="宋体" w:eastAsia="宋体"/>
          <w:b/>
          <w:bCs/>
          <w:sz w:val="36"/>
          <w:szCs w:val="36"/>
        </w:rPr>
      </w:pPr>
      <w:r>
        <w:rPr>
          <w:rFonts w:hint="eastAsia" w:ascii="宋体" w:hAnsi="宋体" w:eastAsia="宋体"/>
          <w:b/>
          <w:bCs/>
          <w:sz w:val="36"/>
          <w:szCs w:val="36"/>
        </w:rPr>
        <w:t>采购项目技术规范书</w:t>
      </w: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设备清单及供货要求</w:t>
      </w:r>
    </w:p>
    <w:p>
      <w:pPr>
        <w:pStyle w:val="2"/>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宋体"/>
          <w:b w:val="0"/>
          <w:bCs w:val="0"/>
          <w:sz w:val="24"/>
        </w:rPr>
      </w:pPr>
      <w:bookmarkStart w:id="31" w:name="_GoBack"/>
      <w:r>
        <w:rPr>
          <w:rFonts w:hint="eastAsia" w:ascii="宋体" w:hAnsi="宋体" w:eastAsia="宋体" w:cs="宋体"/>
          <w:b w:val="0"/>
          <w:bCs w:val="0"/>
          <w:sz w:val="24"/>
        </w:rPr>
        <w:t>针对</w:t>
      </w:r>
      <w:r>
        <w:rPr>
          <w:rFonts w:hint="eastAsia" w:ascii="宋体" w:hAnsi="宋体" w:eastAsia="宋体" w:cs="宋体"/>
          <w:b w:val="0"/>
          <w:bCs w:val="0"/>
          <w:sz w:val="24"/>
          <w:szCs w:val="24"/>
        </w:rPr>
        <w:t>云南送变电工程有限公司2024年机房网络设备采购项目</w:t>
      </w:r>
      <w:r>
        <w:rPr>
          <w:rFonts w:hint="eastAsia" w:ascii="宋体" w:hAnsi="宋体" w:eastAsia="宋体" w:cs="宋体"/>
          <w:b w:val="0"/>
          <w:bCs w:val="0"/>
          <w:sz w:val="24"/>
        </w:rPr>
        <w:t>的供货一览表如下：</w:t>
      </w:r>
    </w:p>
    <w:bookmarkEnd w:id="31"/>
    <w:tbl>
      <w:tblPr>
        <w:tblStyle w:val="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0"/>
        <w:gridCol w:w="2671"/>
        <w:gridCol w:w="1068"/>
        <w:gridCol w:w="1468"/>
        <w:gridCol w:w="1624"/>
        <w:gridCol w:w="2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509"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序号</w:t>
            </w:r>
          </w:p>
        </w:tc>
        <w:tc>
          <w:tcPr>
            <w:tcW w:w="1283"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设备名称</w:t>
            </w:r>
          </w:p>
        </w:tc>
        <w:tc>
          <w:tcPr>
            <w:tcW w:w="513"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单位</w:t>
            </w:r>
          </w:p>
        </w:tc>
        <w:tc>
          <w:tcPr>
            <w:tcW w:w="705"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数量</w:t>
            </w:r>
          </w:p>
        </w:tc>
        <w:tc>
          <w:tcPr>
            <w:tcW w:w="780"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时间要求</w:t>
            </w:r>
          </w:p>
        </w:tc>
        <w:tc>
          <w:tcPr>
            <w:tcW w:w="1208"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hint="eastAsia" w:cs="仿宋" w:asciiTheme="minorEastAsia" w:hAnsiTheme="minorEastAsia"/>
                <w:szCs w:val="21"/>
              </w:rPr>
              <w:t>1</w:t>
            </w:r>
          </w:p>
        </w:tc>
        <w:tc>
          <w:tcPr>
            <w:tcW w:w="1283" w:type="pct"/>
            <w:vAlign w:val="center"/>
          </w:tcPr>
          <w:p>
            <w:pPr>
              <w:jc w:val="center"/>
              <w:rPr>
                <w:rFonts w:hint="eastAsia" w:asciiTheme="minorEastAsia" w:hAnsiTheme="minorEastAsia"/>
                <w:sz w:val="20"/>
                <w:szCs w:val="20"/>
              </w:rPr>
            </w:pPr>
            <w:r>
              <w:rPr>
                <w:rFonts w:hint="eastAsia" w:ascii="等线" w:hAnsi="等线" w:eastAsia="等线"/>
                <w:color w:val="000000"/>
                <w:sz w:val="22"/>
              </w:rPr>
              <w:t>汇聚交换机</w:t>
            </w:r>
          </w:p>
        </w:tc>
        <w:tc>
          <w:tcPr>
            <w:tcW w:w="513" w:type="pct"/>
            <w:vAlign w:val="center"/>
          </w:tcPr>
          <w:p>
            <w:pPr>
              <w:jc w:val="center"/>
              <w:rPr>
                <w:rFonts w:hint="eastAsia"/>
                <w:sz w:val="20"/>
                <w:szCs w:val="20"/>
              </w:rPr>
            </w:pPr>
            <w:r>
              <w:rPr>
                <w:rFonts w:hint="eastAsia"/>
                <w:sz w:val="20"/>
                <w:szCs w:val="20"/>
              </w:rPr>
              <w:t>台</w:t>
            </w:r>
          </w:p>
        </w:tc>
        <w:tc>
          <w:tcPr>
            <w:tcW w:w="705" w:type="pct"/>
            <w:vAlign w:val="center"/>
          </w:tcPr>
          <w:p>
            <w:pPr>
              <w:jc w:val="center"/>
              <w:rPr>
                <w:rFonts w:hint="eastAsia"/>
                <w:color w:val="000000"/>
                <w:sz w:val="20"/>
                <w:szCs w:val="20"/>
              </w:rPr>
            </w:pPr>
            <w:r>
              <w:rPr>
                <w:rFonts w:hint="eastAsia"/>
                <w:color w:val="000000"/>
                <w:sz w:val="20"/>
                <w:szCs w:val="20"/>
              </w:rPr>
              <w:t>2</w:t>
            </w:r>
          </w:p>
        </w:tc>
        <w:tc>
          <w:tcPr>
            <w:tcW w:w="780" w:type="pct"/>
            <w:vMerge w:val="restart"/>
            <w:vAlign w:val="center"/>
          </w:tcPr>
          <w:p>
            <w:pPr>
              <w:widowControl/>
              <w:spacing w:before="100" w:beforeAutospacing="1" w:after="100" w:afterAutospacing="1"/>
              <w:jc w:val="center"/>
              <w:rPr>
                <w:rFonts w:hint="eastAsia" w:cs="仿宋" w:asciiTheme="minorEastAsia" w:hAnsiTheme="minorEastAsia"/>
                <w:szCs w:val="21"/>
              </w:rPr>
            </w:pPr>
            <w:r>
              <w:rPr>
                <w:rFonts w:hint="eastAsia" w:cs="仿宋" w:asciiTheme="minorEastAsia" w:hAnsiTheme="minorEastAsia"/>
                <w:szCs w:val="21"/>
              </w:rPr>
              <w:t>合同签订后30日内</w:t>
            </w:r>
          </w:p>
        </w:tc>
        <w:tc>
          <w:tcPr>
            <w:tcW w:w="1208" w:type="pct"/>
            <w:vMerge w:val="restart"/>
            <w:vAlign w:val="center"/>
          </w:tcPr>
          <w:p>
            <w:pPr>
              <w:widowControl/>
              <w:spacing w:before="100" w:beforeAutospacing="1" w:after="100" w:afterAutospacing="1"/>
              <w:jc w:val="center"/>
              <w:rPr>
                <w:rFonts w:hint="eastAsia" w:cs="仿宋" w:asciiTheme="minorEastAsia" w:hAnsiTheme="minorEastAsia"/>
                <w:szCs w:val="21"/>
              </w:rPr>
            </w:pPr>
            <w:r>
              <w:rPr>
                <w:rFonts w:hint="eastAsia" w:cs="仿宋" w:asciiTheme="minorEastAsia" w:hAnsiTheme="minorEastAsia"/>
                <w:b/>
                <w:bCs/>
                <w:szCs w:val="21"/>
              </w:rPr>
              <w:t>技术要求详见本技术规范书技术指标及要求。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2</w:t>
            </w:r>
          </w:p>
        </w:tc>
        <w:tc>
          <w:tcPr>
            <w:tcW w:w="1283" w:type="pct"/>
          </w:tcPr>
          <w:p>
            <w:pPr>
              <w:jc w:val="center"/>
              <w:rPr>
                <w:rFonts w:hint="eastAsia"/>
                <w:sz w:val="20"/>
                <w:szCs w:val="20"/>
              </w:rPr>
            </w:pPr>
            <w:r>
              <w:rPr>
                <w:rFonts w:hint="eastAsia" w:ascii="等线" w:hAnsi="等线" w:eastAsia="等线"/>
                <w:color w:val="000000"/>
                <w:sz w:val="22"/>
              </w:rPr>
              <w:t>接入交换机</w:t>
            </w:r>
          </w:p>
        </w:tc>
        <w:tc>
          <w:tcPr>
            <w:tcW w:w="513" w:type="pct"/>
          </w:tcPr>
          <w:p>
            <w:pPr>
              <w:jc w:val="center"/>
              <w:rPr>
                <w:rFonts w:hint="eastAsia"/>
                <w:sz w:val="20"/>
                <w:szCs w:val="20"/>
              </w:rPr>
            </w:pPr>
            <w:r>
              <w:rPr>
                <w:rFonts w:hint="eastAsia"/>
                <w:sz w:val="20"/>
                <w:szCs w:val="20"/>
              </w:rPr>
              <w:t>台</w:t>
            </w:r>
          </w:p>
        </w:tc>
        <w:tc>
          <w:tcPr>
            <w:tcW w:w="705" w:type="pct"/>
            <w:vAlign w:val="center"/>
          </w:tcPr>
          <w:p>
            <w:pPr>
              <w:jc w:val="center"/>
              <w:rPr>
                <w:rFonts w:hint="eastAsia"/>
                <w:color w:val="000000"/>
                <w:sz w:val="20"/>
                <w:szCs w:val="20"/>
              </w:rPr>
            </w:pPr>
            <w:r>
              <w:rPr>
                <w:rFonts w:hint="eastAsia"/>
                <w:color w:val="000000"/>
                <w:sz w:val="20"/>
                <w:szCs w:val="20"/>
              </w:rPr>
              <w:t>4</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3</w:t>
            </w:r>
          </w:p>
        </w:tc>
        <w:tc>
          <w:tcPr>
            <w:tcW w:w="1283" w:type="pct"/>
            <w:vAlign w:val="center"/>
          </w:tcPr>
          <w:p>
            <w:pPr>
              <w:jc w:val="center"/>
              <w:rPr>
                <w:rFonts w:hint="eastAsia"/>
                <w:sz w:val="20"/>
                <w:szCs w:val="20"/>
              </w:rPr>
            </w:pPr>
            <w:r>
              <w:rPr>
                <w:rFonts w:hint="eastAsia" w:ascii="等线" w:hAnsi="等线" w:eastAsia="等线"/>
                <w:color w:val="000000"/>
                <w:sz w:val="22"/>
              </w:rPr>
              <w:t>语音网关</w:t>
            </w:r>
          </w:p>
        </w:tc>
        <w:tc>
          <w:tcPr>
            <w:tcW w:w="513" w:type="pct"/>
            <w:vAlign w:val="center"/>
          </w:tcPr>
          <w:p>
            <w:pPr>
              <w:jc w:val="center"/>
              <w:rPr>
                <w:rFonts w:hint="eastAsia"/>
                <w:sz w:val="20"/>
                <w:szCs w:val="20"/>
              </w:rPr>
            </w:pPr>
            <w:r>
              <w:rPr>
                <w:rFonts w:hint="eastAsia"/>
                <w:sz w:val="20"/>
                <w:szCs w:val="20"/>
              </w:rPr>
              <w:t>台</w:t>
            </w:r>
          </w:p>
        </w:tc>
        <w:tc>
          <w:tcPr>
            <w:tcW w:w="705" w:type="pct"/>
            <w:vAlign w:val="center"/>
          </w:tcPr>
          <w:p>
            <w:pPr>
              <w:jc w:val="center"/>
              <w:rPr>
                <w:rFonts w:hint="eastAsia"/>
                <w:color w:val="000000"/>
                <w:sz w:val="20"/>
                <w:szCs w:val="20"/>
              </w:rPr>
            </w:pPr>
            <w:r>
              <w:rPr>
                <w:rFonts w:hint="eastAsia"/>
                <w:color w:val="000000"/>
                <w:sz w:val="20"/>
                <w:szCs w:val="20"/>
              </w:rPr>
              <w:t>1</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4</w:t>
            </w:r>
          </w:p>
        </w:tc>
        <w:tc>
          <w:tcPr>
            <w:tcW w:w="1283" w:type="pct"/>
            <w:vAlign w:val="center"/>
          </w:tcPr>
          <w:p>
            <w:pPr>
              <w:jc w:val="center"/>
              <w:rPr>
                <w:rFonts w:hint="eastAsia"/>
                <w:sz w:val="20"/>
                <w:szCs w:val="20"/>
              </w:rPr>
            </w:pPr>
            <w:r>
              <w:rPr>
                <w:rFonts w:hint="eastAsia" w:ascii="等线" w:hAnsi="等线" w:eastAsia="等线"/>
                <w:color w:val="000000"/>
                <w:sz w:val="22"/>
              </w:rPr>
              <w:t>UPS</w:t>
            </w:r>
          </w:p>
        </w:tc>
        <w:tc>
          <w:tcPr>
            <w:tcW w:w="513" w:type="pct"/>
            <w:vAlign w:val="center"/>
          </w:tcPr>
          <w:p>
            <w:pPr>
              <w:jc w:val="center"/>
              <w:rPr>
                <w:rFonts w:hint="eastAsia"/>
                <w:sz w:val="20"/>
                <w:szCs w:val="20"/>
              </w:rPr>
            </w:pPr>
            <w:r>
              <w:rPr>
                <w:rFonts w:hint="eastAsia"/>
                <w:sz w:val="20"/>
                <w:szCs w:val="20"/>
              </w:rPr>
              <w:t>套</w:t>
            </w:r>
          </w:p>
        </w:tc>
        <w:tc>
          <w:tcPr>
            <w:tcW w:w="705" w:type="pct"/>
            <w:vAlign w:val="center"/>
          </w:tcPr>
          <w:p>
            <w:pPr>
              <w:jc w:val="center"/>
              <w:rPr>
                <w:rFonts w:hint="eastAsia"/>
                <w:sz w:val="20"/>
                <w:szCs w:val="20"/>
              </w:rPr>
            </w:pPr>
            <w:r>
              <w:rPr>
                <w:rFonts w:hint="eastAsia"/>
                <w:sz w:val="20"/>
                <w:szCs w:val="20"/>
              </w:rPr>
              <w:t>1</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5</w:t>
            </w:r>
          </w:p>
        </w:tc>
        <w:tc>
          <w:tcPr>
            <w:tcW w:w="1283" w:type="pct"/>
            <w:vAlign w:val="center"/>
          </w:tcPr>
          <w:p>
            <w:pPr>
              <w:jc w:val="center"/>
              <w:rPr>
                <w:rFonts w:hint="eastAsia"/>
                <w:sz w:val="20"/>
                <w:szCs w:val="20"/>
              </w:rPr>
            </w:pPr>
            <w:r>
              <w:rPr>
                <w:rFonts w:hint="eastAsia" w:ascii="等线" w:hAnsi="等线" w:eastAsia="等线"/>
                <w:color w:val="000000"/>
                <w:sz w:val="22"/>
              </w:rPr>
              <w:t>万兆单模光模块</w:t>
            </w:r>
          </w:p>
        </w:tc>
        <w:tc>
          <w:tcPr>
            <w:tcW w:w="513" w:type="pct"/>
            <w:vAlign w:val="center"/>
          </w:tcPr>
          <w:p>
            <w:pPr>
              <w:jc w:val="center"/>
              <w:rPr>
                <w:rFonts w:hint="eastAsia"/>
                <w:sz w:val="20"/>
                <w:szCs w:val="20"/>
              </w:rPr>
            </w:pPr>
            <w:r>
              <w:rPr>
                <w:rFonts w:hint="eastAsia"/>
                <w:sz w:val="20"/>
                <w:szCs w:val="20"/>
              </w:rPr>
              <w:t>台</w:t>
            </w:r>
          </w:p>
        </w:tc>
        <w:tc>
          <w:tcPr>
            <w:tcW w:w="705" w:type="pct"/>
            <w:vAlign w:val="center"/>
          </w:tcPr>
          <w:p>
            <w:pPr>
              <w:jc w:val="center"/>
              <w:rPr>
                <w:rFonts w:hint="eastAsia"/>
                <w:sz w:val="20"/>
                <w:szCs w:val="20"/>
              </w:rPr>
            </w:pPr>
            <w:r>
              <w:rPr>
                <w:rFonts w:hint="eastAsia"/>
                <w:sz w:val="20"/>
                <w:szCs w:val="20"/>
              </w:rPr>
              <w:t>8</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9"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6</w:t>
            </w:r>
          </w:p>
        </w:tc>
        <w:tc>
          <w:tcPr>
            <w:tcW w:w="1283" w:type="pct"/>
            <w:vAlign w:val="center"/>
          </w:tcPr>
          <w:p>
            <w:pPr>
              <w:jc w:val="center"/>
              <w:rPr>
                <w:rFonts w:hint="eastAsia"/>
                <w:sz w:val="20"/>
                <w:szCs w:val="20"/>
              </w:rPr>
            </w:pPr>
            <w:r>
              <w:rPr>
                <w:rFonts w:hint="eastAsia" w:ascii="等线" w:hAnsi="等线" w:eastAsia="等线"/>
                <w:color w:val="000000"/>
                <w:sz w:val="22"/>
              </w:rPr>
              <w:t>千兆单模光模块</w:t>
            </w:r>
          </w:p>
        </w:tc>
        <w:tc>
          <w:tcPr>
            <w:tcW w:w="513" w:type="pct"/>
            <w:vAlign w:val="center"/>
          </w:tcPr>
          <w:p>
            <w:pPr>
              <w:jc w:val="center"/>
              <w:rPr>
                <w:rFonts w:hint="eastAsia"/>
                <w:sz w:val="20"/>
                <w:szCs w:val="20"/>
              </w:rPr>
            </w:pPr>
            <w:r>
              <w:rPr>
                <w:rFonts w:hint="eastAsia"/>
                <w:sz w:val="20"/>
                <w:szCs w:val="20"/>
              </w:rPr>
              <w:t>台</w:t>
            </w:r>
          </w:p>
        </w:tc>
        <w:tc>
          <w:tcPr>
            <w:tcW w:w="705" w:type="pct"/>
            <w:vAlign w:val="center"/>
          </w:tcPr>
          <w:p>
            <w:pPr>
              <w:jc w:val="center"/>
              <w:rPr>
                <w:rFonts w:hint="eastAsia"/>
                <w:sz w:val="20"/>
                <w:szCs w:val="20"/>
              </w:rPr>
            </w:pPr>
            <w:r>
              <w:rPr>
                <w:rFonts w:hint="eastAsia"/>
                <w:sz w:val="20"/>
                <w:szCs w:val="20"/>
              </w:rPr>
              <w:t>4</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bl>
    <w:p>
      <w:pPr>
        <w:rPr>
          <w:rFonts w:hint="eastAsia"/>
        </w:rPr>
      </w:pP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技术指标及要求</w:t>
      </w:r>
    </w:p>
    <w:tbl>
      <w:tblPr>
        <w:tblStyle w:val="7"/>
        <w:tblW w:w="103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18"/>
        <w:gridCol w:w="7886"/>
        <w:gridCol w:w="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宋体" w:hAnsi="宋体" w:eastAsia="宋体"/>
              </w:rPr>
              <w:t>序号</w:t>
            </w:r>
          </w:p>
        </w:tc>
        <w:tc>
          <w:tcPr>
            <w:tcW w:w="1018" w:type="dxa"/>
            <w:vAlign w:val="center"/>
          </w:tcPr>
          <w:p>
            <w:pPr>
              <w:jc w:val="center"/>
              <w:rPr>
                <w:rFonts w:hint="eastAsia" w:ascii="宋体" w:hAnsi="宋体" w:eastAsia="宋体"/>
              </w:rPr>
            </w:pPr>
            <w:r>
              <w:rPr>
                <w:rFonts w:hint="eastAsia" w:ascii="宋体" w:hAnsi="宋体" w:eastAsia="宋体"/>
              </w:rPr>
              <w:t>设备</w:t>
            </w:r>
          </w:p>
          <w:p>
            <w:pPr>
              <w:jc w:val="center"/>
              <w:rPr>
                <w:rFonts w:hint="eastAsia" w:ascii="宋体" w:hAnsi="宋体" w:eastAsia="宋体"/>
              </w:rPr>
            </w:pPr>
            <w:r>
              <w:rPr>
                <w:rFonts w:hint="eastAsia" w:ascii="宋体" w:hAnsi="宋体" w:eastAsia="宋体"/>
              </w:rPr>
              <w:t>名称</w:t>
            </w:r>
          </w:p>
        </w:tc>
        <w:tc>
          <w:tcPr>
            <w:tcW w:w="7886" w:type="dxa"/>
            <w:vAlign w:val="center"/>
          </w:tcPr>
          <w:p>
            <w:pPr>
              <w:jc w:val="left"/>
              <w:rPr>
                <w:rFonts w:hint="eastAsia" w:ascii="宋体" w:hAnsi="宋体" w:eastAsia="宋体"/>
              </w:rPr>
            </w:pPr>
            <w:r>
              <w:rPr>
                <w:rFonts w:hint="eastAsia" w:ascii="宋体" w:hAnsi="宋体" w:eastAsia="宋体"/>
              </w:rPr>
              <w:t>技术指标及要求</w:t>
            </w:r>
          </w:p>
        </w:tc>
        <w:tc>
          <w:tcPr>
            <w:tcW w:w="770" w:type="dxa"/>
            <w:vAlign w:val="center"/>
          </w:tcPr>
          <w:p>
            <w:pPr>
              <w:jc w:val="center"/>
              <w:rPr>
                <w:rFonts w:hint="eastAsia" w:ascii="宋体" w:hAnsi="宋体" w:eastAsia="宋体"/>
              </w:rPr>
            </w:pPr>
            <w:r>
              <w:rPr>
                <w:rFonts w:hint="eastAsia" w:ascii="宋体" w:hAnsi="宋体" w:eastAsia="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1</w:t>
            </w:r>
          </w:p>
        </w:tc>
        <w:tc>
          <w:tcPr>
            <w:tcW w:w="1018" w:type="dxa"/>
            <w:vAlign w:val="center"/>
          </w:tcPr>
          <w:p>
            <w:pPr>
              <w:jc w:val="center"/>
              <w:rPr>
                <w:rFonts w:hint="eastAsia" w:ascii="宋体" w:hAnsi="宋体" w:eastAsia="宋体"/>
              </w:rPr>
            </w:pPr>
            <w:r>
              <w:rPr>
                <w:rFonts w:hint="eastAsia" w:ascii="等线" w:hAnsi="等线" w:eastAsia="等线"/>
                <w:color w:val="000000"/>
                <w:sz w:val="22"/>
              </w:rPr>
              <w:t>汇聚交换机</w:t>
            </w:r>
          </w:p>
        </w:tc>
        <w:tc>
          <w:tcPr>
            <w:tcW w:w="7886" w:type="dxa"/>
            <w:vAlign w:val="center"/>
          </w:tcPr>
          <w:p>
            <w:pPr>
              <w:jc w:val="left"/>
              <w:rPr>
                <w:rFonts w:hint="eastAsia" w:ascii="宋体" w:hAnsi="宋体" w:eastAsia="宋体"/>
              </w:rPr>
            </w:pPr>
            <w:r>
              <w:rPr>
                <w:rFonts w:hint="eastAsia" w:ascii="等线" w:hAnsi="等线" w:eastAsia="等线"/>
                <w:color w:val="000000"/>
                <w:sz w:val="22"/>
              </w:rPr>
              <w:t>1、★交换容量≥2.5Tbps，包转发率≥700Mpps，如官网出现X/Y值，以X值为准；</w:t>
            </w:r>
            <w:r>
              <w:rPr>
                <w:rFonts w:ascii="等线" w:hAnsi="等线" w:eastAsia="等线"/>
                <w:color w:val="000000"/>
                <w:sz w:val="22"/>
              </w:rPr>
              <w:br w:type="textWrapping"/>
            </w:r>
            <w:r>
              <w:rPr>
                <w:rFonts w:hint="eastAsia" w:ascii="等线" w:hAnsi="等线" w:eastAsia="等线"/>
                <w:color w:val="000000"/>
                <w:sz w:val="22"/>
              </w:rPr>
              <w:t>2、★支持万兆SFP+接口≥24个，100GE QSFP+接口≥6个；</w:t>
            </w:r>
            <w:r>
              <w:rPr>
                <w:rFonts w:hint="eastAsia" w:ascii="等线" w:hAnsi="等线" w:eastAsia="等线"/>
                <w:color w:val="000000"/>
                <w:sz w:val="22"/>
              </w:rPr>
              <w:br w:type="textWrapping"/>
            </w:r>
            <w:r>
              <w:rPr>
                <w:rFonts w:hint="eastAsia" w:ascii="等线" w:hAnsi="等线" w:eastAsia="等线"/>
                <w:color w:val="000000"/>
                <w:sz w:val="22"/>
              </w:rPr>
              <w:t>3、★为了提高设备可靠性，支持并配置可插拔的双电源；</w:t>
            </w:r>
            <w:r>
              <w:rPr>
                <w:rFonts w:hint="eastAsia" w:ascii="等线" w:hAnsi="等线" w:eastAsia="等线"/>
                <w:color w:val="000000"/>
                <w:sz w:val="22"/>
              </w:rPr>
              <w:br w:type="textWrapping"/>
            </w:r>
            <w:r>
              <w:rPr>
                <w:rFonts w:hint="eastAsia" w:ascii="等线" w:hAnsi="等线" w:eastAsia="等线"/>
                <w:color w:val="000000"/>
                <w:sz w:val="22"/>
              </w:rPr>
              <w:t>4、为了提高设备散热性能，支持可插拔风扇框，风扇框个数≥4；</w:t>
            </w:r>
            <w:r>
              <w:rPr>
                <w:rFonts w:hint="eastAsia" w:ascii="等线" w:hAnsi="等线" w:eastAsia="等线"/>
                <w:color w:val="000000"/>
                <w:sz w:val="22"/>
              </w:rPr>
              <w:br w:type="textWrapping"/>
            </w:r>
            <w:r>
              <w:rPr>
                <w:rFonts w:hint="eastAsia" w:ascii="等线" w:hAnsi="等线" w:eastAsia="等线"/>
                <w:color w:val="000000"/>
                <w:sz w:val="22"/>
              </w:rPr>
              <w:t>5、★支持MAC表项≥64K，支持IPv4路由表项≥64K，提供权威第三方测试报告；</w:t>
            </w:r>
            <w:r>
              <w:rPr>
                <w:rFonts w:hint="eastAsia" w:ascii="等线" w:hAnsi="等线" w:eastAsia="等线"/>
                <w:color w:val="000000"/>
                <w:sz w:val="22"/>
              </w:rPr>
              <w:br w:type="textWrapping"/>
            </w:r>
            <w:r>
              <w:rPr>
                <w:rFonts w:hint="eastAsia" w:ascii="等线" w:hAnsi="等线" w:eastAsia="等线"/>
                <w:color w:val="000000"/>
                <w:sz w:val="22"/>
              </w:rPr>
              <w:t>6、支持4K个VLAN，支持Guest VLAN、Voice VLAN，支持基于MAC/协议/IP子网/策略/端口的VLAN，1:1和N:1 VLAN交换功能；</w:t>
            </w:r>
            <w:r>
              <w:rPr>
                <w:rFonts w:hint="eastAsia" w:ascii="等线" w:hAnsi="等线" w:eastAsia="等线"/>
                <w:color w:val="000000"/>
                <w:sz w:val="22"/>
              </w:rPr>
              <w:br w:type="textWrapping"/>
            </w:r>
            <w:r>
              <w:rPr>
                <w:rFonts w:hint="eastAsia" w:ascii="等线" w:hAnsi="等线" w:eastAsia="等线"/>
                <w:color w:val="000000"/>
                <w:sz w:val="22"/>
              </w:rPr>
              <w:t>7、支持静态路由、RIP V1/2、OSPF、IS-IS、BGP、RIPng、OSPFv3、BGP4+、ISISv6；</w:t>
            </w:r>
            <w:r>
              <w:rPr>
                <w:rFonts w:hint="eastAsia" w:ascii="等线" w:hAnsi="等线" w:eastAsia="等线"/>
                <w:color w:val="000000"/>
                <w:sz w:val="22"/>
              </w:rPr>
              <w:br w:type="textWrapping"/>
            </w:r>
            <w:r>
              <w:rPr>
                <w:rFonts w:hint="eastAsia" w:ascii="等线" w:hAnsi="等线" w:eastAsia="等线"/>
                <w:color w:val="000000"/>
                <w:sz w:val="22"/>
              </w:rPr>
              <w:t>8、支持统一用户管理功能，屏蔽接入侧差异，支持802.1X/MAC/Portal等多种认证方式，支持对用户进行分组/分域/分时的管理，用户、业务可视可控；</w:t>
            </w:r>
            <w:r>
              <w:rPr>
                <w:rFonts w:hint="eastAsia" w:ascii="等线" w:hAnsi="等线" w:eastAsia="等线"/>
                <w:color w:val="000000"/>
                <w:sz w:val="22"/>
              </w:rPr>
              <w:br w:type="textWrapping"/>
            </w:r>
            <w:r>
              <w:rPr>
                <w:rFonts w:hint="eastAsia" w:ascii="等线" w:hAnsi="等线" w:eastAsia="等线"/>
                <w:color w:val="000000"/>
                <w:sz w:val="22"/>
              </w:rPr>
              <w:t>9、支持VxLAN功能，支持BGP EVPN，支持分布式 Anycast 网关，支持VxLAN的自动化部署，提供权威第三方测试报告；</w:t>
            </w:r>
            <w:r>
              <w:rPr>
                <w:rFonts w:hint="eastAsia" w:ascii="等线" w:hAnsi="等线" w:eastAsia="等线"/>
                <w:color w:val="000000"/>
                <w:sz w:val="22"/>
              </w:rPr>
              <w:br w:type="textWrapping"/>
            </w:r>
            <w:r>
              <w:rPr>
                <w:rFonts w:hint="eastAsia" w:ascii="等线" w:hAnsi="等线" w:eastAsia="等线"/>
                <w:color w:val="000000"/>
                <w:sz w:val="22"/>
              </w:rPr>
              <w:t>10、★支持横向堆叠，主机堆叠数不小于9台；</w:t>
            </w:r>
            <w:r>
              <w:rPr>
                <w:rFonts w:hint="eastAsia" w:ascii="等线" w:hAnsi="等线" w:eastAsia="等线"/>
                <w:color w:val="000000"/>
                <w:sz w:val="22"/>
              </w:rPr>
              <w:br w:type="textWrapping"/>
            </w:r>
            <w:r>
              <w:rPr>
                <w:rFonts w:hint="eastAsia" w:ascii="等线" w:hAnsi="等线" w:eastAsia="等线"/>
                <w:color w:val="000000"/>
                <w:sz w:val="22"/>
              </w:rPr>
              <w:t>11、交换机支持报告攻击事件给网络安全智能系统，与网络安全智能系统和SDN控制器联动，以实现全网安全协防，提供权威第三方测试报告；</w:t>
            </w:r>
            <w:r>
              <w:rPr>
                <w:rFonts w:hint="eastAsia" w:ascii="等线" w:hAnsi="等线" w:eastAsia="等线"/>
                <w:color w:val="000000"/>
                <w:sz w:val="22"/>
              </w:rPr>
              <w:br w:type="textWrapping"/>
            </w:r>
            <w:r>
              <w:rPr>
                <w:rFonts w:hint="eastAsia" w:ascii="等线" w:hAnsi="等线" w:eastAsia="等线"/>
                <w:color w:val="000000"/>
                <w:sz w:val="22"/>
              </w:rPr>
              <w:t>12、交换机支持将IP和端口扫描流量重定向给网络安全智能系统进行诱捕，与网络安全智能系统和SDN控制器联动实施反制措施，以实现网络安全协防，提供权威第三方测试报告；</w:t>
            </w:r>
            <w:r>
              <w:rPr>
                <w:rFonts w:hint="eastAsia" w:ascii="等线" w:hAnsi="等线" w:eastAsia="等线"/>
                <w:color w:val="000000"/>
                <w:sz w:val="22"/>
              </w:rPr>
              <w:br w:type="textWrapping"/>
            </w:r>
            <w:r>
              <w:rPr>
                <w:rFonts w:hint="eastAsia" w:ascii="等线" w:hAnsi="等线" w:eastAsia="等线"/>
                <w:color w:val="000000"/>
                <w:sz w:val="22"/>
              </w:rPr>
              <w:t>13、支持DRR、SP、DRR+SP队列调度算法，支持报文的802.1p和DSCP优先级重新标记；</w:t>
            </w:r>
            <w:r>
              <w:rPr>
                <w:rFonts w:hint="eastAsia" w:ascii="等线" w:hAnsi="等线" w:eastAsia="等线"/>
                <w:color w:val="000000"/>
                <w:sz w:val="22"/>
              </w:rPr>
              <w:br w:type="textWrapping"/>
            </w:r>
            <w:r>
              <w:rPr>
                <w:rFonts w:hint="eastAsia" w:ascii="等线" w:hAnsi="等线" w:eastAsia="等线"/>
                <w:color w:val="000000"/>
                <w:sz w:val="22"/>
              </w:rPr>
              <w:t>14、支持以太网OAM（802.3ah 和 802.1ag），虚拟电缆检测(Virtual Cable Test)，SNMPv1/v2c/v3，支持RMON，网管系统、支持WEB网管特性，NetStream；</w:t>
            </w:r>
            <w:r>
              <w:rPr>
                <w:rFonts w:hint="eastAsia" w:ascii="等线" w:hAnsi="等线" w:eastAsia="等线"/>
                <w:color w:val="000000"/>
                <w:sz w:val="22"/>
              </w:rPr>
              <w:br w:type="textWrapping"/>
            </w:r>
            <w:r>
              <w:rPr>
                <w:rFonts w:hint="eastAsia" w:ascii="等线" w:hAnsi="等线" w:eastAsia="等线"/>
                <w:color w:val="000000"/>
                <w:sz w:val="22"/>
              </w:rPr>
              <w:t>15、可实现基于Python语言的开放可编程特性，提供开放的编辑语言和更简单的操作方法，实现智能化运维；</w:t>
            </w:r>
            <w:r>
              <w:rPr>
                <w:rFonts w:hint="eastAsia" w:ascii="等线" w:hAnsi="等线" w:eastAsia="等线"/>
                <w:color w:val="000000"/>
                <w:sz w:val="22"/>
              </w:rPr>
              <w:br w:type="textWrapping"/>
            </w:r>
            <w:r>
              <w:rPr>
                <w:rFonts w:hint="eastAsia" w:ascii="等线" w:hAnsi="等线" w:eastAsia="等线"/>
                <w:color w:val="000000"/>
                <w:sz w:val="22"/>
              </w:rPr>
              <w:t>16、支持DHCPv6 Snooping，IP Source Guard，SAVI等安全特性，支持防ARP攻击、DOS攻击、ICMP防攻击、CPU防攻击；</w:t>
            </w:r>
            <w:r>
              <w:rPr>
                <w:rFonts w:hint="eastAsia" w:ascii="等线" w:hAnsi="等线" w:eastAsia="等线"/>
                <w:color w:val="000000"/>
                <w:sz w:val="22"/>
              </w:rPr>
              <w:br w:type="textWrapping"/>
            </w:r>
            <w:r>
              <w:rPr>
                <w:rFonts w:hint="eastAsia" w:ascii="等线" w:hAnsi="等线" w:eastAsia="等线"/>
                <w:color w:val="000000"/>
                <w:sz w:val="22"/>
              </w:rPr>
              <w:t>17、支持G.8032（ERPS）标准环网协议，故障倒换收敛时间小于50毫秒；</w:t>
            </w:r>
            <w:r>
              <w:rPr>
                <w:rFonts w:hint="eastAsia" w:ascii="等线" w:hAnsi="等线" w:eastAsia="等线"/>
                <w:color w:val="000000"/>
                <w:sz w:val="22"/>
              </w:rPr>
              <w:br w:type="textWrapping"/>
            </w:r>
            <w:r>
              <w:rPr>
                <w:rFonts w:hint="eastAsia" w:ascii="等线" w:hAnsi="等线" w:eastAsia="等线"/>
                <w:color w:val="000000"/>
                <w:sz w:val="22"/>
              </w:rPr>
              <w:t>18、★支持真实业务流实时检测技术，能实时检测网络故障；</w:t>
            </w:r>
            <w:r>
              <w:rPr>
                <w:rFonts w:hint="eastAsia" w:ascii="等线" w:hAnsi="等线" w:eastAsia="等线"/>
                <w:color w:val="000000"/>
                <w:sz w:val="22"/>
              </w:rPr>
              <w:br w:type="textWrapping"/>
            </w:r>
            <w:r>
              <w:rPr>
                <w:rFonts w:hint="eastAsia" w:ascii="等线" w:hAnsi="等线" w:eastAsia="等线"/>
                <w:color w:val="000000"/>
                <w:sz w:val="22"/>
              </w:rPr>
              <w:t>交换容量2.4Tbps/24Tbps，包转发率720M/792Mpps</w:t>
            </w:r>
          </w:p>
        </w:tc>
        <w:tc>
          <w:tcPr>
            <w:tcW w:w="770" w:type="dxa"/>
            <w:vAlign w:val="center"/>
          </w:tcPr>
          <w:p>
            <w:pPr>
              <w:jc w:val="center"/>
              <w:rPr>
                <w:rFonts w:hint="eastAsia"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2</w:t>
            </w:r>
          </w:p>
        </w:tc>
        <w:tc>
          <w:tcPr>
            <w:tcW w:w="1018" w:type="dxa"/>
            <w:vAlign w:val="center"/>
          </w:tcPr>
          <w:p>
            <w:pPr>
              <w:jc w:val="center"/>
              <w:rPr>
                <w:rFonts w:hint="eastAsia" w:ascii="宋体" w:hAnsi="宋体" w:eastAsia="宋体"/>
              </w:rPr>
            </w:pPr>
            <w:r>
              <w:rPr>
                <w:rFonts w:hint="eastAsia" w:ascii="等线" w:hAnsi="等线" w:eastAsia="等线"/>
                <w:color w:val="000000"/>
                <w:sz w:val="22"/>
              </w:rPr>
              <w:t>接入交换机</w:t>
            </w:r>
          </w:p>
        </w:tc>
        <w:tc>
          <w:tcPr>
            <w:tcW w:w="7886" w:type="dxa"/>
            <w:vAlign w:val="center"/>
          </w:tcPr>
          <w:p>
            <w:pPr>
              <w:jc w:val="left"/>
              <w:rPr>
                <w:rFonts w:hint="eastAsia" w:ascii="宋体" w:hAnsi="宋体" w:eastAsia="宋体"/>
              </w:rPr>
            </w:pPr>
            <w:r>
              <w:rPr>
                <w:rFonts w:hint="eastAsia" w:ascii="等线" w:hAnsi="等线" w:eastAsia="等线"/>
                <w:color w:val="000000"/>
                <w:sz w:val="22"/>
              </w:rPr>
              <w:t>1、★交换容量≥400Gbps，包转发率≥140Mpps,如官网出现X/Y值，以X值为准；</w:t>
            </w:r>
            <w:r>
              <w:rPr>
                <w:rFonts w:hint="eastAsia" w:ascii="等线" w:hAnsi="等线" w:eastAsia="等线"/>
                <w:color w:val="000000"/>
                <w:sz w:val="22"/>
              </w:rPr>
              <w:br w:type="textWrapping"/>
            </w:r>
            <w:r>
              <w:rPr>
                <w:rFonts w:hint="eastAsia" w:ascii="等线" w:hAnsi="等线" w:eastAsia="等线"/>
                <w:color w:val="000000"/>
                <w:sz w:val="22"/>
              </w:rPr>
              <w:t>2、★支持千兆电口≥48个，万兆SFP+接口≥4个，；</w:t>
            </w:r>
            <w:r>
              <w:rPr>
                <w:rFonts w:hint="eastAsia" w:ascii="等线" w:hAnsi="等线" w:eastAsia="等线"/>
                <w:color w:val="000000"/>
                <w:sz w:val="22"/>
              </w:rPr>
              <w:br w:type="textWrapping"/>
            </w:r>
            <w:r>
              <w:rPr>
                <w:rFonts w:hint="eastAsia" w:ascii="等线" w:hAnsi="等线" w:eastAsia="等线"/>
                <w:color w:val="000000"/>
                <w:sz w:val="22"/>
              </w:rPr>
              <w:t>3、配置标准USB接口，支持U盘快速开局；</w:t>
            </w:r>
            <w:r>
              <w:rPr>
                <w:rFonts w:hint="eastAsia" w:ascii="等线" w:hAnsi="等线" w:eastAsia="等线"/>
                <w:color w:val="000000"/>
                <w:sz w:val="22"/>
              </w:rPr>
              <w:br w:type="textWrapping"/>
            </w:r>
            <w:r>
              <w:rPr>
                <w:rFonts w:hint="eastAsia" w:ascii="等线" w:hAnsi="等线" w:eastAsia="等线"/>
                <w:color w:val="000000"/>
                <w:sz w:val="22"/>
              </w:rPr>
              <w:t>4、支持MAC地址≥16K，ARP表项≥4K，IPv4 FIB表项≥4K；</w:t>
            </w:r>
            <w:r>
              <w:rPr>
                <w:rFonts w:hint="eastAsia" w:ascii="等线" w:hAnsi="等线" w:eastAsia="等线"/>
                <w:color w:val="000000"/>
                <w:sz w:val="22"/>
              </w:rPr>
              <w:br w:type="textWrapping"/>
            </w:r>
            <w:r>
              <w:rPr>
                <w:rFonts w:hint="eastAsia" w:ascii="等线" w:hAnsi="等线" w:eastAsia="等线"/>
                <w:color w:val="000000"/>
                <w:sz w:val="22"/>
              </w:rPr>
              <w:t>5、支持4K个VLAN，支持Voice VLAN，基于端口的VLAN，基于MAC的VLAN，基于协议的VLAN，支持 1:1 和 N:1 VLAN Mapping 功能；</w:t>
            </w:r>
            <w:r>
              <w:rPr>
                <w:rFonts w:hint="eastAsia" w:ascii="等线" w:hAnsi="等线" w:eastAsia="等线"/>
                <w:color w:val="000000"/>
                <w:sz w:val="22"/>
              </w:rPr>
              <w:br w:type="textWrapping"/>
            </w:r>
            <w:r>
              <w:rPr>
                <w:rFonts w:hint="eastAsia" w:ascii="等线" w:hAnsi="等线" w:eastAsia="等线"/>
                <w:color w:val="000000"/>
                <w:sz w:val="22"/>
              </w:rPr>
              <w:t>6、支持RIP、RIPng、OSPF、OSPFv3路由协议；</w:t>
            </w:r>
            <w:r>
              <w:rPr>
                <w:rFonts w:hint="eastAsia" w:ascii="等线" w:hAnsi="等线" w:eastAsia="等线"/>
                <w:color w:val="000000"/>
                <w:sz w:val="22"/>
              </w:rPr>
              <w:br w:type="textWrapping"/>
            </w:r>
            <w:r>
              <w:rPr>
                <w:rFonts w:hint="eastAsia" w:ascii="等线" w:hAnsi="等线" w:eastAsia="等线"/>
                <w:color w:val="000000"/>
                <w:sz w:val="22"/>
              </w:rPr>
              <w:t>7、支持IGMP v1/v2/v3 Snooping，支持VLAN内组播转发和组播多VLAN复制，支持捆绑端口的组播负载分担，支持可控组播，基于端口的组播流量统计；</w:t>
            </w:r>
            <w:r>
              <w:rPr>
                <w:rFonts w:hint="eastAsia" w:ascii="等线" w:hAnsi="等线" w:eastAsia="等线"/>
                <w:color w:val="000000"/>
                <w:sz w:val="22"/>
              </w:rPr>
              <w:br w:type="textWrapping"/>
            </w:r>
            <w:r>
              <w:rPr>
                <w:rFonts w:hint="eastAsia" w:ascii="等线" w:hAnsi="等线" w:eastAsia="等线"/>
                <w:color w:val="000000"/>
                <w:sz w:val="22"/>
              </w:rPr>
              <w:t>8、支持防止DOS、ARP攻击功能、ICMP防攻击，支持端口隔离、端口安全、Sticky MAC，支持 IP、MAC、端口、VLAN的组合绑定，支持CPU保护功能；</w:t>
            </w:r>
            <w:r>
              <w:rPr>
                <w:rFonts w:hint="eastAsia" w:ascii="等线" w:hAnsi="等线" w:eastAsia="等线"/>
                <w:color w:val="000000"/>
                <w:sz w:val="22"/>
              </w:rPr>
              <w:br w:type="textWrapping"/>
            </w:r>
            <w:r>
              <w:rPr>
                <w:rFonts w:hint="eastAsia" w:ascii="等线" w:hAnsi="等线" w:eastAsia="等线"/>
                <w:color w:val="000000"/>
                <w:sz w:val="22"/>
              </w:rPr>
              <w:t>9、支持 ERPS 以太环保护协议（G.8032）；</w:t>
            </w:r>
            <w:r>
              <w:rPr>
                <w:rFonts w:hint="eastAsia" w:ascii="等线" w:hAnsi="等线" w:eastAsia="等线"/>
                <w:color w:val="000000"/>
                <w:sz w:val="22"/>
              </w:rPr>
              <w:br w:type="textWrapping"/>
            </w:r>
            <w:r>
              <w:rPr>
                <w:rFonts w:hint="eastAsia" w:ascii="等线" w:hAnsi="等线" w:eastAsia="等线"/>
                <w:color w:val="000000"/>
                <w:sz w:val="22"/>
              </w:rPr>
              <w:t>10、★支持纵向虚拟化，作为纵向子节点零配置即插即用；</w:t>
            </w:r>
            <w:r>
              <w:rPr>
                <w:rFonts w:hint="eastAsia" w:ascii="等线" w:hAnsi="等线" w:eastAsia="等线"/>
                <w:color w:val="000000"/>
                <w:sz w:val="22"/>
              </w:rPr>
              <w:br w:type="textWrapping"/>
            </w:r>
            <w:r>
              <w:rPr>
                <w:rFonts w:hint="eastAsia" w:ascii="等线" w:hAnsi="等线" w:eastAsia="等线"/>
                <w:color w:val="000000"/>
                <w:sz w:val="22"/>
              </w:rPr>
              <w:t>11、支持对端口接收报文速率和发送报文速率进行限制，支持SP、WRR、SP+WRR等队列调度算法，支持报文的 802.1p 和 DSCP 优先级重新标记；</w:t>
            </w:r>
            <w:r>
              <w:rPr>
                <w:rFonts w:hint="eastAsia" w:ascii="等线" w:hAnsi="等线" w:eastAsia="等线"/>
                <w:color w:val="000000"/>
                <w:sz w:val="22"/>
              </w:rPr>
              <w:br w:type="textWrapping"/>
            </w:r>
            <w:r>
              <w:rPr>
                <w:rFonts w:hint="eastAsia" w:ascii="等线" w:hAnsi="等线" w:eastAsia="等线"/>
                <w:color w:val="000000"/>
                <w:sz w:val="22"/>
              </w:rPr>
              <w:t>12、支持Telemetry技术，配合网络分析组件通过智能故障识别算法对网络数据进行分析，精准展现网络实时状态，并能及时有效地定界故障以及定位故障发生原因，发现影响用户体验的网络问题，精准保障用户体验；</w:t>
            </w:r>
            <w:r>
              <w:rPr>
                <w:rFonts w:hint="eastAsia" w:ascii="等线" w:hAnsi="等线" w:eastAsia="等线"/>
                <w:color w:val="000000"/>
                <w:sz w:val="22"/>
              </w:rPr>
              <w:br w:type="textWrapping"/>
            </w:r>
            <w:r>
              <w:rPr>
                <w:rFonts w:hint="eastAsia" w:ascii="等线" w:hAnsi="等线" w:eastAsia="等线"/>
                <w:color w:val="000000"/>
                <w:sz w:val="22"/>
              </w:rPr>
              <w:t>13、支持音视频业务的智能运维，将设备作为监控节点周期统计并上报音视频业务类指标参数至网络分析组件引擎，由网络分析组件引擎结合多个节点的监控结果，对音视频业务质量类故障进行快速定界；</w:t>
            </w:r>
            <w:r>
              <w:rPr>
                <w:rFonts w:hint="eastAsia" w:ascii="等线" w:hAnsi="等线" w:eastAsia="等线"/>
                <w:color w:val="000000"/>
                <w:sz w:val="22"/>
              </w:rPr>
              <w:br w:type="textWrapping"/>
            </w:r>
            <w:r>
              <w:rPr>
                <w:rFonts w:hint="eastAsia" w:ascii="等线" w:hAnsi="等线" w:eastAsia="等线"/>
                <w:color w:val="000000"/>
                <w:sz w:val="22"/>
              </w:rPr>
              <w:t xml:space="preserve">14、支持基于Python语言的开放可编程系统，可以通过Python脚本对交换机进行运维功能的编程，快速实现功能创新，实现智能化运维； </w:t>
            </w:r>
            <w:r>
              <w:rPr>
                <w:rFonts w:hint="eastAsia" w:ascii="等线" w:hAnsi="等线" w:eastAsia="等线"/>
                <w:color w:val="000000"/>
                <w:sz w:val="22"/>
              </w:rPr>
              <w:br w:type="textWrapping"/>
            </w:r>
            <w:r>
              <w:rPr>
                <w:rFonts w:hint="eastAsia" w:ascii="等线" w:hAnsi="等线" w:eastAsia="等线"/>
                <w:color w:val="000000"/>
                <w:sz w:val="22"/>
              </w:rPr>
              <w:t xml:space="preserve">15、支持SNMP v1/v2/v3、Telnet、RMON，支持通过命令行、Web、中文图形化配置软件等方式进行配置和管理； </w:t>
            </w:r>
            <w:r>
              <w:rPr>
                <w:rFonts w:hint="eastAsia" w:ascii="等线" w:hAnsi="等线" w:eastAsia="等线"/>
                <w:color w:val="000000"/>
                <w:sz w:val="22"/>
              </w:rPr>
              <w:br w:type="textWrapping"/>
            </w:r>
            <w:r>
              <w:rPr>
                <w:rFonts w:hint="eastAsia" w:ascii="等线" w:hAnsi="等线" w:eastAsia="等线"/>
                <w:color w:val="000000"/>
                <w:sz w:val="22"/>
              </w:rPr>
              <w:t>交换容量432Gbps/4.32Tbps，包转发率144/166Mpps</w:t>
            </w:r>
          </w:p>
        </w:tc>
        <w:tc>
          <w:tcPr>
            <w:tcW w:w="770" w:type="dxa"/>
            <w:vAlign w:val="center"/>
          </w:tcPr>
          <w:p>
            <w:pPr>
              <w:jc w:val="center"/>
              <w:rPr>
                <w:rFonts w:hint="eastAsia"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3</w:t>
            </w:r>
          </w:p>
        </w:tc>
        <w:tc>
          <w:tcPr>
            <w:tcW w:w="1018" w:type="dxa"/>
            <w:vAlign w:val="center"/>
          </w:tcPr>
          <w:p>
            <w:pPr>
              <w:jc w:val="left"/>
              <w:rPr>
                <w:rFonts w:hint="eastAsia" w:ascii="等线" w:hAnsi="等线" w:eastAsia="等线"/>
                <w:color w:val="000000"/>
                <w:sz w:val="22"/>
              </w:rPr>
            </w:pPr>
            <w:r>
              <w:rPr>
                <w:rFonts w:hint="eastAsia" w:ascii="等线" w:hAnsi="等线" w:eastAsia="等线"/>
                <w:color w:val="000000"/>
                <w:sz w:val="22"/>
              </w:rPr>
              <w:t>语音网关</w:t>
            </w:r>
          </w:p>
        </w:tc>
        <w:tc>
          <w:tcPr>
            <w:tcW w:w="7886" w:type="dxa"/>
            <w:vAlign w:val="center"/>
          </w:tcPr>
          <w:p>
            <w:pPr>
              <w:jc w:val="left"/>
              <w:rPr>
                <w:rFonts w:hint="eastAsia" w:ascii="等线" w:hAnsi="等线" w:eastAsia="等线"/>
                <w:color w:val="000000"/>
                <w:sz w:val="22"/>
              </w:rPr>
            </w:pPr>
            <w:r>
              <w:rPr>
                <w:rFonts w:hint="eastAsia" w:ascii="等线" w:hAnsi="等线" w:eastAsia="等线"/>
                <w:color w:val="000000"/>
                <w:sz w:val="22"/>
              </w:rPr>
              <w:t>支持POTS接入到IP网络；POTS用户容量：224，每块ASI板可提供32路POTS用户。</w:t>
            </w:r>
          </w:p>
          <w:p>
            <w:pPr>
              <w:jc w:val="left"/>
              <w:rPr>
                <w:rFonts w:hint="eastAsia" w:ascii="等线" w:hAnsi="等线" w:eastAsia="等线"/>
                <w:color w:val="000000"/>
                <w:sz w:val="22"/>
              </w:rPr>
            </w:pPr>
            <w:r>
              <w:rPr>
                <w:rFonts w:hint="eastAsia" w:ascii="等线" w:hAnsi="等线" w:eastAsia="等线"/>
                <w:color w:val="000000"/>
                <w:sz w:val="22"/>
              </w:rPr>
              <w:t xml:space="preserve">支持802.1p/q； </w:t>
            </w:r>
          </w:p>
          <w:p>
            <w:pPr>
              <w:jc w:val="left"/>
              <w:rPr>
                <w:rFonts w:hint="eastAsia" w:ascii="等线" w:hAnsi="等线" w:eastAsia="等线"/>
                <w:color w:val="000000"/>
                <w:sz w:val="22"/>
              </w:rPr>
            </w:pPr>
            <w:r>
              <w:rPr>
                <w:rFonts w:hint="eastAsia" w:ascii="等线" w:hAnsi="等线" w:eastAsia="等线"/>
                <w:color w:val="000000"/>
                <w:sz w:val="22"/>
              </w:rPr>
              <w:t xml:space="preserve">支持T.38传真，支持VBD透传传真，支持T.30透传传真； </w:t>
            </w:r>
          </w:p>
          <w:p>
            <w:pPr>
              <w:jc w:val="left"/>
              <w:rPr>
                <w:rFonts w:hint="eastAsia" w:ascii="等线" w:hAnsi="等线" w:eastAsia="等线"/>
                <w:color w:val="000000"/>
                <w:sz w:val="22"/>
              </w:rPr>
            </w:pPr>
            <w:r>
              <w:rPr>
                <w:rFonts w:hint="eastAsia" w:ascii="等线" w:hAnsi="等线" w:eastAsia="等线"/>
                <w:color w:val="000000"/>
                <w:sz w:val="22"/>
              </w:rPr>
              <w:t xml:space="preserve">支持传统PSTN电话业务，如呼叫转移、主叫号码显示、呼叫等待等；支持SIP协议的语音呼叫流程； </w:t>
            </w:r>
          </w:p>
          <w:p>
            <w:pPr>
              <w:jc w:val="left"/>
              <w:rPr>
                <w:rFonts w:hint="eastAsia" w:ascii="等线" w:hAnsi="等线" w:eastAsia="等线"/>
                <w:color w:val="000000"/>
                <w:sz w:val="22"/>
              </w:rPr>
            </w:pPr>
            <w:r>
              <w:rPr>
                <w:rFonts w:hint="eastAsia" w:ascii="等线" w:hAnsi="等线" w:eastAsia="等线"/>
                <w:color w:val="000000"/>
                <w:sz w:val="22"/>
              </w:rPr>
              <w:t xml:space="preserve">支持IMS、NGN控制下的语音基本业务和补充业务； </w:t>
            </w:r>
          </w:p>
          <w:p>
            <w:pPr>
              <w:jc w:val="left"/>
              <w:rPr>
                <w:rFonts w:hint="eastAsia" w:ascii="等线" w:hAnsi="等线" w:eastAsia="等线"/>
                <w:color w:val="000000"/>
                <w:sz w:val="22"/>
              </w:rPr>
            </w:pPr>
            <w:r>
              <w:rPr>
                <w:rFonts w:hint="eastAsia" w:ascii="等线" w:hAnsi="等线" w:eastAsia="等线"/>
                <w:color w:val="000000"/>
                <w:sz w:val="22"/>
              </w:rPr>
              <w:t xml:space="preserve">支持本地混音的三方通话； </w:t>
            </w:r>
          </w:p>
          <w:p>
            <w:pPr>
              <w:jc w:val="left"/>
              <w:rPr>
                <w:rFonts w:hint="eastAsia" w:ascii="等线" w:hAnsi="等线" w:eastAsia="等线"/>
                <w:color w:val="000000"/>
                <w:sz w:val="22"/>
              </w:rPr>
            </w:pPr>
            <w:r>
              <w:rPr>
                <w:rFonts w:hint="eastAsia" w:ascii="等线" w:hAnsi="等线" w:eastAsia="等线"/>
                <w:color w:val="000000"/>
                <w:sz w:val="22"/>
              </w:rPr>
              <w:t>支持G.711、G.729编解码；</w:t>
            </w:r>
          </w:p>
          <w:p>
            <w:pPr>
              <w:jc w:val="left"/>
              <w:rPr>
                <w:rFonts w:hint="eastAsia" w:ascii="等线" w:hAnsi="等线" w:eastAsia="等线"/>
                <w:color w:val="000000"/>
                <w:sz w:val="22"/>
              </w:rPr>
            </w:pPr>
            <w:r>
              <w:rPr>
                <w:rFonts w:hint="eastAsia" w:ascii="等线" w:hAnsi="等线" w:eastAsia="等线"/>
                <w:color w:val="000000"/>
                <w:sz w:val="22"/>
              </w:rPr>
              <w:t xml:space="preserve">支持以静态方式、PPPoE方式或DHCP方式获取IP地址； </w:t>
            </w:r>
          </w:p>
          <w:p>
            <w:pPr>
              <w:jc w:val="left"/>
              <w:rPr>
                <w:rFonts w:hint="eastAsia" w:ascii="等线" w:hAnsi="等线" w:eastAsia="等线"/>
                <w:color w:val="000000"/>
                <w:sz w:val="22"/>
              </w:rPr>
            </w:pPr>
            <w:r>
              <w:rPr>
                <w:rFonts w:hint="eastAsia" w:ascii="等线" w:hAnsi="等线" w:eastAsia="等线"/>
                <w:color w:val="000000"/>
                <w:sz w:val="22"/>
              </w:rPr>
              <w:t>语音激活检测VAD；</w:t>
            </w:r>
          </w:p>
          <w:p>
            <w:pPr>
              <w:jc w:val="left"/>
              <w:rPr>
                <w:rFonts w:hint="eastAsia" w:ascii="等线" w:hAnsi="等线" w:eastAsia="等线"/>
                <w:color w:val="000000"/>
                <w:sz w:val="22"/>
              </w:rPr>
            </w:pPr>
            <w:r>
              <w:rPr>
                <w:rFonts w:hint="eastAsia" w:ascii="等线" w:hAnsi="等线" w:eastAsia="等线"/>
                <w:color w:val="000000"/>
                <w:sz w:val="22"/>
              </w:rPr>
              <w:t xml:space="preserve">舒适噪音产生CNG； </w:t>
            </w:r>
          </w:p>
          <w:p>
            <w:pPr>
              <w:jc w:val="left"/>
              <w:rPr>
                <w:rFonts w:hint="eastAsia" w:ascii="等线" w:hAnsi="等线" w:eastAsia="等线"/>
                <w:color w:val="000000"/>
                <w:sz w:val="22"/>
              </w:rPr>
            </w:pPr>
            <w:r>
              <w:rPr>
                <w:rFonts w:hint="eastAsia" w:ascii="等线" w:hAnsi="等线" w:eastAsia="等线"/>
                <w:color w:val="000000"/>
                <w:sz w:val="22"/>
              </w:rPr>
              <w:t xml:space="preserve">JB动态调整； </w:t>
            </w:r>
          </w:p>
          <w:p>
            <w:pPr>
              <w:jc w:val="left"/>
              <w:rPr>
                <w:rFonts w:hint="eastAsia" w:ascii="等线" w:hAnsi="等线" w:eastAsia="等线"/>
                <w:color w:val="000000"/>
                <w:sz w:val="22"/>
              </w:rPr>
            </w:pPr>
            <w:r>
              <w:rPr>
                <w:rFonts w:hint="eastAsia" w:ascii="等线" w:hAnsi="等线" w:eastAsia="等线"/>
                <w:color w:val="000000"/>
                <w:sz w:val="22"/>
              </w:rPr>
              <w:t xml:space="preserve">回波消除； 丢包补偿技术； </w:t>
            </w:r>
          </w:p>
          <w:p>
            <w:pPr>
              <w:jc w:val="left"/>
              <w:rPr>
                <w:rFonts w:hint="eastAsia" w:ascii="等线" w:hAnsi="等线" w:eastAsia="等线"/>
                <w:color w:val="000000"/>
                <w:sz w:val="22"/>
              </w:rPr>
            </w:pPr>
            <w:r>
              <w:rPr>
                <w:rFonts w:hint="eastAsia" w:ascii="等线" w:hAnsi="等线" w:eastAsia="等线"/>
                <w:color w:val="000000"/>
                <w:sz w:val="22"/>
              </w:rPr>
              <w:t xml:space="preserve">支持DTMF码的检测和生成； </w:t>
            </w:r>
          </w:p>
          <w:p>
            <w:pPr>
              <w:jc w:val="left"/>
              <w:rPr>
                <w:rFonts w:hint="eastAsia" w:ascii="等线" w:hAnsi="等线" w:eastAsia="等线"/>
                <w:color w:val="000000"/>
                <w:sz w:val="22"/>
              </w:rPr>
            </w:pPr>
            <w:r>
              <w:rPr>
                <w:rFonts w:hint="eastAsia" w:ascii="等线" w:hAnsi="等线" w:eastAsia="等线"/>
                <w:color w:val="000000"/>
                <w:sz w:val="22"/>
              </w:rPr>
              <w:t xml:space="preserve">支持RFC2833； </w:t>
            </w:r>
          </w:p>
          <w:p>
            <w:pPr>
              <w:jc w:val="left"/>
              <w:rPr>
                <w:rFonts w:hint="eastAsia" w:ascii="等线" w:hAnsi="等线" w:eastAsia="等线"/>
                <w:color w:val="000000"/>
                <w:sz w:val="22"/>
              </w:rPr>
            </w:pPr>
            <w:r>
              <w:rPr>
                <w:rFonts w:hint="eastAsia" w:ascii="等线" w:hAnsi="等线" w:eastAsia="等线"/>
                <w:color w:val="000000"/>
                <w:sz w:val="22"/>
              </w:rPr>
              <w:t xml:space="preserve">支持Precedence/DSCP标签； </w:t>
            </w:r>
          </w:p>
          <w:p>
            <w:pPr>
              <w:jc w:val="left"/>
              <w:rPr>
                <w:rFonts w:hint="eastAsia" w:ascii="等线" w:hAnsi="等线" w:eastAsia="等线"/>
                <w:color w:val="000000"/>
                <w:sz w:val="22"/>
              </w:rPr>
            </w:pPr>
            <w:r>
              <w:rPr>
                <w:rFonts w:hint="eastAsia" w:ascii="等线" w:hAnsi="等线" w:eastAsia="等线"/>
                <w:color w:val="000000"/>
                <w:sz w:val="22"/>
              </w:rPr>
              <w:t xml:space="preserve">供电要求交流输入电压100V～240V频率50Hz/60Hz直流供电-48V </w:t>
            </w:r>
          </w:p>
          <w:p>
            <w:pPr>
              <w:jc w:val="left"/>
              <w:rPr>
                <w:rFonts w:hint="eastAsia" w:ascii="等线" w:hAnsi="等线" w:eastAsia="等线"/>
                <w:color w:val="000000"/>
                <w:sz w:val="22"/>
              </w:rPr>
            </w:pPr>
            <w:r>
              <w:rPr>
                <w:rFonts w:hint="eastAsia" w:ascii="等线" w:hAnsi="等线" w:eastAsia="等线"/>
                <w:color w:val="000000"/>
                <w:sz w:val="22"/>
              </w:rPr>
              <w:t xml:space="preserve">*大功耗200W </w:t>
            </w:r>
          </w:p>
          <w:p>
            <w:pPr>
              <w:jc w:val="left"/>
              <w:rPr>
                <w:rFonts w:hint="eastAsia" w:ascii="等线" w:hAnsi="等线" w:eastAsia="等线"/>
                <w:color w:val="000000"/>
                <w:sz w:val="22"/>
              </w:rPr>
            </w:pPr>
            <w:r>
              <w:rPr>
                <w:rFonts w:hint="eastAsia" w:ascii="等线" w:hAnsi="等线" w:eastAsia="等线"/>
                <w:color w:val="000000"/>
                <w:sz w:val="22"/>
              </w:rPr>
              <w:t>机盒外形尺寸标准19英寸2U机框，横插卡442(长)×310(宽)×86.1(高)mm</w:t>
            </w:r>
          </w:p>
          <w:p>
            <w:pPr>
              <w:jc w:val="left"/>
              <w:rPr>
                <w:rFonts w:hint="eastAsia" w:ascii="等线" w:hAnsi="等线" w:eastAsia="等线"/>
                <w:color w:val="000000"/>
                <w:sz w:val="22"/>
              </w:rPr>
            </w:pPr>
            <w:r>
              <w:rPr>
                <w:rFonts w:hint="eastAsia" w:ascii="等线" w:hAnsi="等线" w:eastAsia="等线"/>
                <w:color w:val="000000"/>
                <w:sz w:val="22"/>
              </w:rPr>
              <w:t>重量&lt;15kg</w:t>
            </w:r>
          </w:p>
          <w:p>
            <w:pPr>
              <w:jc w:val="left"/>
              <w:rPr>
                <w:rFonts w:hint="eastAsia" w:ascii="等线" w:hAnsi="等线" w:eastAsia="等线"/>
                <w:color w:val="000000"/>
                <w:sz w:val="22"/>
              </w:rPr>
            </w:pPr>
            <w:r>
              <w:rPr>
                <w:rFonts w:hint="eastAsia" w:ascii="等线" w:hAnsi="等线" w:eastAsia="等线"/>
                <w:color w:val="000000"/>
                <w:sz w:val="22"/>
              </w:rPr>
              <w:t>至少包含3个32路语音模块，至少包含2个以太网卡</w:t>
            </w:r>
          </w:p>
          <w:p>
            <w:pPr>
              <w:jc w:val="left"/>
              <w:rPr>
                <w:rFonts w:hint="eastAsia" w:ascii="等线" w:hAnsi="等线" w:eastAsia="等线"/>
                <w:color w:val="000000"/>
                <w:sz w:val="22"/>
              </w:rPr>
            </w:pPr>
            <w:r>
              <w:rPr>
                <w:rFonts w:hint="eastAsia" w:ascii="等线" w:hAnsi="等线" w:eastAsia="等线"/>
                <w:color w:val="000000"/>
                <w:sz w:val="22"/>
              </w:rPr>
              <w:t>设备必须能够与华为eSpace U1960对接，并成功注册到华为eSpace U1960，完成电话资源分配，电话机注册，电话机管理等功能。</w:t>
            </w:r>
          </w:p>
          <w:p>
            <w:pPr>
              <w:jc w:val="left"/>
              <w:rPr>
                <w:rFonts w:hint="eastAsia" w:ascii="等线" w:hAnsi="等线" w:eastAsia="等线"/>
                <w:color w:val="000000"/>
                <w:sz w:val="22"/>
              </w:rPr>
            </w:pPr>
            <w:r>
              <w:rPr>
                <w:rFonts w:hint="eastAsia" w:ascii="等线" w:hAnsi="等线" w:eastAsia="等线"/>
                <w:color w:val="000000"/>
                <w:sz w:val="22"/>
              </w:rPr>
              <w:t>电话机需能够同时与公司内线电话及外线电话互打互通</w:t>
            </w:r>
          </w:p>
        </w:tc>
        <w:tc>
          <w:tcPr>
            <w:tcW w:w="770" w:type="dxa"/>
            <w:vAlign w:val="center"/>
          </w:tcPr>
          <w:p>
            <w:pPr>
              <w:jc w:val="center"/>
              <w:rPr>
                <w:rFonts w:hint="eastAsia"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4</w:t>
            </w:r>
          </w:p>
        </w:tc>
        <w:tc>
          <w:tcPr>
            <w:tcW w:w="1018" w:type="dxa"/>
            <w:vAlign w:val="center"/>
          </w:tcPr>
          <w:p>
            <w:pPr>
              <w:jc w:val="center"/>
              <w:rPr>
                <w:rFonts w:hint="eastAsia" w:ascii="宋体" w:hAnsi="宋体" w:eastAsia="宋体"/>
              </w:rPr>
            </w:pPr>
            <w:r>
              <w:rPr>
                <w:rFonts w:hint="eastAsia" w:ascii="等线" w:hAnsi="等线" w:eastAsia="等线"/>
                <w:color w:val="000000"/>
                <w:sz w:val="22"/>
              </w:rPr>
              <w:t>UPS</w:t>
            </w:r>
          </w:p>
        </w:tc>
        <w:tc>
          <w:tcPr>
            <w:tcW w:w="7886" w:type="dxa"/>
            <w:vAlign w:val="center"/>
          </w:tcPr>
          <w:p>
            <w:pPr>
              <w:jc w:val="left"/>
              <w:rPr>
                <w:rFonts w:hint="eastAsia" w:ascii="等线" w:hAnsi="等线" w:eastAsia="等线"/>
                <w:color w:val="000000"/>
                <w:sz w:val="22"/>
              </w:rPr>
            </w:pPr>
            <w:r>
              <w:rPr>
                <w:rFonts w:hint="eastAsia" w:ascii="等线" w:hAnsi="等线" w:eastAsia="等线"/>
                <w:color w:val="000000"/>
                <w:sz w:val="22"/>
              </w:rPr>
              <w:t>1、UPS主机要求为：单进单出，双变换纯在线式，功率3kVA</w:t>
            </w:r>
          </w:p>
          <w:p>
            <w:pPr>
              <w:jc w:val="left"/>
              <w:rPr>
                <w:rFonts w:hint="eastAsia" w:ascii="等线" w:hAnsi="等线" w:eastAsia="等线"/>
                <w:color w:val="000000"/>
                <w:sz w:val="22"/>
              </w:rPr>
            </w:pPr>
            <w:r>
              <w:rPr>
                <w:rFonts w:hint="eastAsia" w:ascii="等线" w:hAnsi="等线" w:eastAsia="等线"/>
                <w:color w:val="000000"/>
                <w:sz w:val="22"/>
              </w:rPr>
              <w:t>2、★UPS应具备较宽广的输入电压范围：110~300Vac</w:t>
            </w:r>
          </w:p>
          <w:p>
            <w:pPr>
              <w:jc w:val="left"/>
              <w:rPr>
                <w:rFonts w:hint="eastAsia" w:ascii="等线" w:hAnsi="等线" w:eastAsia="等线"/>
                <w:color w:val="000000"/>
                <w:sz w:val="22"/>
              </w:rPr>
            </w:pPr>
            <w:r>
              <w:rPr>
                <w:rFonts w:hint="eastAsia" w:ascii="等线" w:hAnsi="等线" w:eastAsia="等线"/>
                <w:color w:val="000000"/>
                <w:sz w:val="22"/>
              </w:rPr>
              <w:t>3、★高输入指标，电网利用率高，污染小。要求其：</w:t>
            </w:r>
          </w:p>
          <w:p>
            <w:pPr>
              <w:jc w:val="left"/>
              <w:rPr>
                <w:rFonts w:hint="eastAsia" w:ascii="等线" w:hAnsi="等线" w:eastAsia="等线"/>
                <w:color w:val="000000"/>
                <w:sz w:val="22"/>
              </w:rPr>
            </w:pPr>
            <w:r>
              <w:rPr>
                <w:rFonts w:hint="eastAsia" w:ascii="等线" w:hAnsi="等线" w:eastAsia="等线"/>
                <w:color w:val="000000"/>
                <w:sz w:val="22"/>
              </w:rPr>
              <w:t>输入功率因数： 100%非线性负载：≥0.99， 50%非线性负载：≥0.97， 30%非线性负载：≥0.94；</w:t>
            </w:r>
          </w:p>
          <w:p>
            <w:pPr>
              <w:jc w:val="left"/>
              <w:rPr>
                <w:rFonts w:hint="eastAsia" w:ascii="等线" w:hAnsi="等线" w:eastAsia="等线"/>
                <w:color w:val="000000"/>
                <w:sz w:val="22"/>
              </w:rPr>
            </w:pPr>
            <w:r>
              <w:rPr>
                <w:rFonts w:hint="eastAsia" w:ascii="等线" w:hAnsi="等线" w:eastAsia="等线"/>
                <w:color w:val="000000"/>
                <w:sz w:val="22"/>
              </w:rPr>
              <w:t>输入电流谐波：100%非线性负载：＜5%， 50%非线性负载：＜8%， 30%非线性负载：＜11%；</w:t>
            </w:r>
          </w:p>
          <w:p>
            <w:pPr>
              <w:jc w:val="left"/>
              <w:rPr>
                <w:rFonts w:hint="eastAsia" w:ascii="等线" w:hAnsi="等线" w:eastAsia="等线"/>
                <w:color w:val="000000"/>
                <w:sz w:val="22"/>
              </w:rPr>
            </w:pPr>
            <w:r>
              <w:rPr>
                <w:rFonts w:hint="eastAsia" w:ascii="等线" w:hAnsi="等线" w:eastAsia="等线"/>
                <w:color w:val="000000"/>
                <w:sz w:val="22"/>
              </w:rPr>
              <w:t>4、输入频率应支持50Hz/60Hz，无需另外选型或增加成本。</w:t>
            </w:r>
          </w:p>
          <w:p>
            <w:pPr>
              <w:jc w:val="left"/>
              <w:rPr>
                <w:rFonts w:hint="eastAsia" w:ascii="等线" w:hAnsi="等线" w:eastAsia="等线"/>
                <w:color w:val="000000"/>
                <w:sz w:val="22"/>
              </w:rPr>
            </w:pPr>
            <w:r>
              <w:rPr>
                <w:rFonts w:hint="eastAsia" w:ascii="等线" w:hAnsi="等线" w:eastAsia="等线"/>
                <w:color w:val="000000"/>
                <w:sz w:val="22"/>
              </w:rPr>
              <w:t>5、输出电压范围：L-N： 220Vac ≤1％；市电正常，自动同步跟踪；市电失败，本机50/60Hz±0.2％</w:t>
            </w:r>
          </w:p>
          <w:p>
            <w:pPr>
              <w:jc w:val="left"/>
              <w:rPr>
                <w:rFonts w:hint="eastAsia" w:ascii="等线" w:hAnsi="等线" w:eastAsia="等线"/>
                <w:color w:val="000000"/>
                <w:sz w:val="22"/>
              </w:rPr>
            </w:pPr>
            <w:r>
              <w:rPr>
                <w:rFonts w:hint="eastAsia" w:ascii="等线" w:hAnsi="等线" w:eastAsia="等线"/>
                <w:color w:val="000000"/>
                <w:sz w:val="22"/>
              </w:rPr>
              <w:t>6、★具备更强的带载能力：输出有功功率应 ≥额定容量×0.8 kW/kVA即输出PF≥0.8，输出端可带更多负载；要求提供泰尔检验报告证明。</w:t>
            </w:r>
          </w:p>
          <w:p>
            <w:pPr>
              <w:jc w:val="left"/>
              <w:rPr>
                <w:rFonts w:hint="eastAsia" w:ascii="等线" w:hAnsi="等线" w:eastAsia="等线"/>
                <w:color w:val="000000"/>
                <w:sz w:val="22"/>
              </w:rPr>
            </w:pPr>
            <w:r>
              <w:rPr>
                <w:rFonts w:hint="eastAsia" w:ascii="等线" w:hAnsi="等线" w:eastAsia="等线"/>
                <w:color w:val="000000"/>
                <w:sz w:val="22"/>
              </w:rPr>
              <w:t>7、过载能力强，适应不同负载类型；</w:t>
            </w:r>
          </w:p>
          <w:p>
            <w:pPr>
              <w:jc w:val="left"/>
              <w:rPr>
                <w:rFonts w:hint="eastAsia" w:ascii="等线" w:hAnsi="等线" w:eastAsia="等线"/>
                <w:color w:val="000000"/>
                <w:sz w:val="22"/>
              </w:rPr>
            </w:pPr>
            <w:r>
              <w:rPr>
                <w:rFonts w:hint="eastAsia" w:ascii="等线" w:hAnsi="等线" w:eastAsia="等线"/>
                <w:color w:val="000000"/>
                <w:sz w:val="22"/>
              </w:rPr>
              <w:t>1-3K：105%~110%:10min后旁路；110%-130%:1min后旁路；&gt;130%:3s后旁路；</w:t>
            </w:r>
          </w:p>
          <w:p>
            <w:pPr>
              <w:jc w:val="left"/>
              <w:rPr>
                <w:rFonts w:hint="eastAsia" w:ascii="等线" w:hAnsi="等线" w:eastAsia="等线"/>
                <w:color w:val="000000"/>
                <w:sz w:val="22"/>
              </w:rPr>
            </w:pPr>
            <w:r>
              <w:rPr>
                <w:rFonts w:hint="eastAsia" w:ascii="等线" w:hAnsi="等线" w:eastAsia="等线"/>
                <w:color w:val="000000"/>
                <w:sz w:val="22"/>
              </w:rPr>
              <w:t>6K-10K：100%~110%:30min后旁路；110%~130%:5min后旁路；&gt;130%:10s后旁路；</w:t>
            </w:r>
          </w:p>
          <w:p>
            <w:pPr>
              <w:jc w:val="left"/>
              <w:rPr>
                <w:rFonts w:hint="eastAsia" w:ascii="等线" w:hAnsi="等线" w:eastAsia="等线"/>
                <w:color w:val="000000"/>
                <w:sz w:val="22"/>
              </w:rPr>
            </w:pPr>
            <w:r>
              <w:rPr>
                <w:rFonts w:hint="eastAsia" w:ascii="等线" w:hAnsi="等线" w:eastAsia="等线"/>
                <w:color w:val="000000"/>
                <w:sz w:val="22"/>
              </w:rPr>
              <w:t>8、输出波形失真度：100%阻性负载≤2% 100%非线性负载≤5%，投标方需要提供泰尔检测报告证明。</w:t>
            </w:r>
          </w:p>
          <w:p>
            <w:pPr>
              <w:jc w:val="left"/>
              <w:rPr>
                <w:rFonts w:hint="eastAsia" w:ascii="等线" w:hAnsi="等线" w:eastAsia="等线"/>
                <w:color w:val="000000"/>
                <w:sz w:val="22"/>
              </w:rPr>
            </w:pPr>
            <w:r>
              <w:rPr>
                <w:rFonts w:hint="eastAsia" w:ascii="等线" w:hAnsi="等线" w:eastAsia="等线"/>
                <w:color w:val="000000"/>
                <w:sz w:val="22"/>
              </w:rPr>
              <w:t>9、★整机UPS效率：</w:t>
            </w:r>
          </w:p>
          <w:p>
            <w:pPr>
              <w:jc w:val="left"/>
              <w:rPr>
                <w:rFonts w:hint="eastAsia" w:ascii="等线" w:hAnsi="等线" w:eastAsia="等线"/>
                <w:color w:val="000000"/>
                <w:sz w:val="22"/>
              </w:rPr>
            </w:pPr>
            <w:r>
              <w:rPr>
                <w:rFonts w:hint="eastAsia" w:ascii="等线" w:hAnsi="等线" w:eastAsia="等线"/>
                <w:color w:val="000000"/>
                <w:sz w:val="22"/>
              </w:rPr>
              <w:t>100%阻性负载：≥94%</w:t>
            </w:r>
          </w:p>
          <w:p>
            <w:pPr>
              <w:jc w:val="left"/>
              <w:rPr>
                <w:rFonts w:hint="eastAsia" w:ascii="等线" w:hAnsi="等线" w:eastAsia="等线"/>
                <w:color w:val="000000"/>
                <w:sz w:val="22"/>
              </w:rPr>
            </w:pPr>
            <w:r>
              <w:rPr>
                <w:rFonts w:hint="eastAsia" w:ascii="等线" w:hAnsi="等线" w:eastAsia="等线"/>
                <w:color w:val="000000"/>
                <w:sz w:val="22"/>
              </w:rPr>
              <w:t>50%阻性负载：≥92%</w:t>
            </w:r>
          </w:p>
          <w:p>
            <w:pPr>
              <w:jc w:val="left"/>
              <w:rPr>
                <w:rFonts w:hint="eastAsia" w:ascii="等线" w:hAnsi="等线" w:eastAsia="等线"/>
                <w:color w:val="000000"/>
                <w:sz w:val="22"/>
              </w:rPr>
            </w:pPr>
            <w:r>
              <w:rPr>
                <w:rFonts w:hint="eastAsia" w:ascii="等线" w:hAnsi="等线" w:eastAsia="等线"/>
                <w:color w:val="000000"/>
                <w:sz w:val="22"/>
              </w:rPr>
              <w:t>30%阻性负载：≥90%</w:t>
            </w:r>
          </w:p>
          <w:p>
            <w:pPr>
              <w:jc w:val="left"/>
              <w:rPr>
                <w:rFonts w:hint="eastAsia" w:ascii="等线" w:hAnsi="等线" w:eastAsia="等线"/>
                <w:color w:val="000000"/>
                <w:sz w:val="22"/>
              </w:rPr>
            </w:pPr>
            <w:r>
              <w:rPr>
                <w:rFonts w:hint="eastAsia" w:ascii="等线" w:hAnsi="等线" w:eastAsia="等线"/>
                <w:color w:val="000000"/>
                <w:sz w:val="22"/>
              </w:rPr>
              <w:t>10、★蓝屏背光大液晶曲面显示屏，可视角度达140°，方便用户从不同角度读取数据。可显示UPS主机的工作模式、工作参数与用户的负载量、电池剩余容量等，方便用户对设备进行管理</w:t>
            </w:r>
          </w:p>
          <w:p>
            <w:pPr>
              <w:jc w:val="left"/>
              <w:rPr>
                <w:rFonts w:hint="eastAsia" w:ascii="等线" w:hAnsi="等线" w:eastAsia="等线"/>
                <w:color w:val="000000"/>
                <w:sz w:val="22"/>
              </w:rPr>
            </w:pPr>
            <w:r>
              <w:rPr>
                <w:rFonts w:hint="eastAsia" w:ascii="等线" w:hAnsi="等线" w:eastAsia="等线"/>
                <w:color w:val="000000"/>
                <w:sz w:val="22"/>
              </w:rPr>
              <w:t>11、报警功能：具备电池低压、市电异常、UPS故障、输出过载、输出短路报警功能。</w:t>
            </w:r>
          </w:p>
          <w:p>
            <w:pPr>
              <w:jc w:val="left"/>
              <w:rPr>
                <w:rFonts w:hint="eastAsia" w:ascii="等线" w:hAnsi="等线" w:eastAsia="等线"/>
                <w:color w:val="000000"/>
                <w:sz w:val="22"/>
              </w:rPr>
            </w:pPr>
            <w:r>
              <w:rPr>
                <w:rFonts w:hint="eastAsia" w:ascii="等线" w:hAnsi="等线" w:eastAsia="等线"/>
                <w:color w:val="000000"/>
                <w:sz w:val="22"/>
              </w:rPr>
              <w:t>12、保护功能：具备电池欠压、过载、短路、过温、保护功能。</w:t>
            </w:r>
          </w:p>
          <w:p>
            <w:pPr>
              <w:jc w:val="left"/>
              <w:rPr>
                <w:rFonts w:hint="eastAsia" w:ascii="等线" w:hAnsi="等线" w:eastAsia="等线"/>
                <w:color w:val="000000"/>
                <w:sz w:val="22"/>
              </w:rPr>
            </w:pPr>
            <w:r>
              <w:rPr>
                <w:rFonts w:hint="eastAsia" w:ascii="等线" w:hAnsi="等线" w:eastAsia="等线"/>
                <w:color w:val="000000"/>
                <w:sz w:val="22"/>
              </w:rPr>
              <w:t>13、★输出电压有五个档位，分别为200V、208V、220V、230V、240V输出可调，适应不同负载应用；</w:t>
            </w:r>
          </w:p>
          <w:p>
            <w:pPr>
              <w:jc w:val="left"/>
              <w:rPr>
                <w:rFonts w:hint="eastAsia" w:ascii="等线" w:hAnsi="等线" w:eastAsia="等线"/>
                <w:color w:val="000000"/>
                <w:sz w:val="22"/>
              </w:rPr>
            </w:pPr>
            <w:r>
              <w:rPr>
                <w:rFonts w:hint="eastAsia" w:ascii="等线" w:hAnsi="等线" w:eastAsia="等线"/>
                <w:color w:val="000000"/>
                <w:sz w:val="22"/>
              </w:rPr>
              <w:t>14、★要求具备风机自适应调节功能，延长风机使用寿命。</w:t>
            </w:r>
          </w:p>
          <w:p>
            <w:pPr>
              <w:jc w:val="left"/>
              <w:rPr>
                <w:rFonts w:hint="eastAsia" w:ascii="等线" w:hAnsi="等线" w:eastAsia="等线"/>
                <w:color w:val="000000"/>
                <w:sz w:val="22"/>
              </w:rPr>
            </w:pPr>
            <w:r>
              <w:rPr>
                <w:rFonts w:hint="eastAsia" w:ascii="等线" w:hAnsi="等线" w:eastAsia="等线"/>
                <w:color w:val="000000"/>
                <w:sz w:val="22"/>
              </w:rPr>
              <w:t>15、★UPS主机要求具备输入断路器，保护设备运行安全可靠</w:t>
            </w:r>
          </w:p>
          <w:p>
            <w:pPr>
              <w:jc w:val="left"/>
              <w:rPr>
                <w:rFonts w:hint="eastAsia" w:ascii="等线" w:hAnsi="等线" w:eastAsia="等线"/>
                <w:color w:val="000000"/>
                <w:sz w:val="22"/>
              </w:rPr>
            </w:pPr>
            <w:r>
              <w:rPr>
                <w:rFonts w:hint="eastAsia" w:ascii="等线" w:hAnsi="等线" w:eastAsia="等线"/>
                <w:color w:val="000000"/>
                <w:sz w:val="22"/>
              </w:rPr>
              <w:t>16、可支持来电自启动功能，市电来电可自启动机器，无需人工值守。</w:t>
            </w:r>
          </w:p>
          <w:p>
            <w:pPr>
              <w:jc w:val="left"/>
              <w:rPr>
                <w:rFonts w:hint="eastAsia" w:ascii="宋体" w:hAnsi="宋体" w:eastAsia="宋体"/>
              </w:rPr>
            </w:pPr>
            <w:r>
              <w:rPr>
                <w:rFonts w:hint="eastAsia" w:ascii="等线" w:hAnsi="等线" w:eastAsia="等线"/>
                <w:color w:val="000000"/>
                <w:sz w:val="22"/>
              </w:rPr>
              <w:t>17、★为满足现场通信要求，标配RS232、USB、EPO干接点（3K短，6KL，10K），满足用户多种多样的监控需求</w:t>
            </w:r>
          </w:p>
        </w:tc>
        <w:tc>
          <w:tcPr>
            <w:tcW w:w="770" w:type="dxa"/>
            <w:vAlign w:val="center"/>
          </w:tcPr>
          <w:p>
            <w:pPr>
              <w:jc w:val="center"/>
              <w:rPr>
                <w:rFonts w:hint="eastAsia"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5</w:t>
            </w:r>
          </w:p>
        </w:tc>
        <w:tc>
          <w:tcPr>
            <w:tcW w:w="1018" w:type="dxa"/>
            <w:vAlign w:val="center"/>
          </w:tcPr>
          <w:p>
            <w:pPr>
              <w:jc w:val="center"/>
              <w:rPr>
                <w:rFonts w:hint="eastAsia" w:ascii="宋体" w:hAnsi="宋体" w:eastAsia="宋体"/>
              </w:rPr>
            </w:pPr>
            <w:r>
              <w:rPr>
                <w:rFonts w:hint="eastAsia" w:ascii="等线" w:hAnsi="等线" w:eastAsia="等线"/>
                <w:color w:val="000000"/>
                <w:sz w:val="22"/>
              </w:rPr>
              <w:t>万兆单模光模块</w:t>
            </w:r>
          </w:p>
        </w:tc>
        <w:tc>
          <w:tcPr>
            <w:tcW w:w="7886" w:type="dxa"/>
            <w:vAlign w:val="center"/>
          </w:tcPr>
          <w:p>
            <w:pPr>
              <w:jc w:val="left"/>
              <w:rPr>
                <w:rFonts w:hint="eastAsia" w:ascii="等线" w:hAnsi="等线" w:eastAsia="等线"/>
                <w:color w:val="000000"/>
                <w:sz w:val="22"/>
              </w:rPr>
            </w:pPr>
            <w:r>
              <w:rPr>
                <w:rFonts w:hint="eastAsia" w:ascii="等线" w:hAnsi="等线" w:eastAsia="等线"/>
                <w:color w:val="000000"/>
                <w:sz w:val="22"/>
              </w:rPr>
              <w:t>光模块-SFP+-10G-单模模块(1310nm,10km,LC)</w:t>
            </w:r>
          </w:p>
          <w:p>
            <w:pPr>
              <w:jc w:val="left"/>
              <w:rPr>
                <w:rFonts w:hint="eastAsia" w:ascii="宋体" w:hAnsi="宋体" w:eastAsia="宋体"/>
              </w:rPr>
            </w:pPr>
            <w:r>
              <w:rPr>
                <w:rFonts w:hint="eastAsia" w:ascii="等线" w:hAnsi="等线" w:eastAsia="等线"/>
                <w:color w:val="000000"/>
                <w:sz w:val="22"/>
              </w:rPr>
              <w:t>为保证兼容性与稳定性，要求与交换机为同品牌</w:t>
            </w:r>
          </w:p>
        </w:tc>
        <w:tc>
          <w:tcPr>
            <w:tcW w:w="770" w:type="dxa"/>
            <w:vAlign w:val="center"/>
          </w:tcPr>
          <w:p>
            <w:pPr>
              <w:jc w:val="center"/>
              <w:rPr>
                <w:rFonts w:hint="eastAsia" w:ascii="宋体" w:hAnsi="宋体"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3" w:type="dxa"/>
            <w:vAlign w:val="center"/>
          </w:tcPr>
          <w:p>
            <w:pPr>
              <w:jc w:val="center"/>
              <w:rPr>
                <w:rFonts w:hint="eastAsia" w:ascii="宋体" w:hAnsi="宋体" w:eastAsia="宋体"/>
              </w:rPr>
            </w:pPr>
            <w:r>
              <w:rPr>
                <w:rFonts w:hint="eastAsia" w:ascii="等线" w:hAnsi="等线" w:eastAsia="等线"/>
                <w:color w:val="000000"/>
                <w:sz w:val="22"/>
              </w:rPr>
              <w:t>6</w:t>
            </w:r>
          </w:p>
        </w:tc>
        <w:tc>
          <w:tcPr>
            <w:tcW w:w="1018" w:type="dxa"/>
            <w:vAlign w:val="center"/>
          </w:tcPr>
          <w:p>
            <w:pPr>
              <w:jc w:val="center"/>
              <w:rPr>
                <w:rFonts w:hint="eastAsia" w:ascii="宋体" w:hAnsi="宋体" w:eastAsia="宋体"/>
              </w:rPr>
            </w:pPr>
            <w:r>
              <w:rPr>
                <w:rFonts w:hint="eastAsia" w:ascii="等线" w:hAnsi="等线" w:eastAsia="等线"/>
                <w:color w:val="000000"/>
                <w:sz w:val="22"/>
              </w:rPr>
              <w:t>千兆单模光模块</w:t>
            </w:r>
          </w:p>
        </w:tc>
        <w:tc>
          <w:tcPr>
            <w:tcW w:w="7886" w:type="dxa"/>
            <w:vAlign w:val="center"/>
          </w:tcPr>
          <w:p>
            <w:pPr>
              <w:jc w:val="left"/>
              <w:rPr>
                <w:rFonts w:hint="eastAsia" w:ascii="等线" w:hAnsi="等线" w:eastAsia="等线"/>
                <w:color w:val="000000"/>
                <w:sz w:val="22"/>
              </w:rPr>
            </w:pPr>
            <w:r>
              <w:rPr>
                <w:rFonts w:hint="eastAsia" w:ascii="等线" w:hAnsi="等线" w:eastAsia="等线"/>
                <w:color w:val="000000"/>
                <w:sz w:val="22"/>
              </w:rPr>
              <w:t>光模块-eSFP-GE-单模模块(1310nm,10km,LC)</w:t>
            </w:r>
          </w:p>
          <w:p>
            <w:pPr>
              <w:jc w:val="left"/>
              <w:rPr>
                <w:rFonts w:hint="eastAsia" w:ascii="宋体" w:hAnsi="宋体" w:eastAsia="宋体"/>
              </w:rPr>
            </w:pPr>
            <w:r>
              <w:rPr>
                <w:rFonts w:hint="eastAsia" w:ascii="等线" w:hAnsi="等线" w:eastAsia="等线"/>
                <w:color w:val="000000"/>
                <w:sz w:val="22"/>
              </w:rPr>
              <w:t>为保证兼容性与稳定性，要求与交换机为同品牌</w:t>
            </w:r>
          </w:p>
        </w:tc>
        <w:tc>
          <w:tcPr>
            <w:tcW w:w="770" w:type="dxa"/>
            <w:vAlign w:val="center"/>
          </w:tcPr>
          <w:p>
            <w:pPr>
              <w:jc w:val="center"/>
              <w:rPr>
                <w:rFonts w:hint="eastAsia" w:ascii="宋体" w:hAnsi="宋体" w:eastAsia="宋体"/>
              </w:rPr>
            </w:pPr>
          </w:p>
        </w:tc>
      </w:tr>
    </w:tbl>
    <w:p>
      <w:pPr>
        <w:keepNext/>
        <w:keepLines/>
        <w:pageBreakBefore w:val="0"/>
        <w:widowControl w:val="0"/>
        <w:numPr>
          <w:ilvl w:val="0"/>
          <w:numId w:val="1"/>
        </w:numPr>
        <w:kinsoku/>
        <w:wordWrap/>
        <w:overflowPunct/>
        <w:topLinePunct w:val="0"/>
        <w:autoSpaceDE/>
        <w:autoSpaceDN/>
        <w:bidi w:val="0"/>
        <w:adjustRightInd/>
        <w:snapToGrid/>
        <w:spacing w:line="360" w:lineRule="auto"/>
        <w:textAlignment w:val="auto"/>
        <w:outlineLvl w:val="9"/>
        <w:rPr>
          <w:rFonts w:hint="eastAsia" w:ascii="宋体" w:hAnsi="宋体" w:eastAsia="宋体"/>
          <w:b/>
          <w:bCs/>
          <w:sz w:val="30"/>
          <w:szCs w:val="30"/>
        </w:rPr>
      </w:pPr>
      <w:r>
        <w:rPr>
          <w:rFonts w:hint="eastAsia" w:ascii="宋体" w:hAnsi="宋体" w:eastAsia="宋体"/>
          <w:b/>
          <w:bCs/>
          <w:sz w:val="30"/>
          <w:szCs w:val="30"/>
        </w:rPr>
        <w:t>安装和调试要求</w:t>
      </w:r>
    </w:p>
    <w:p>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1、中标方应根据甲方提供的现场安装环境和要求，提出安装方案，经双方讨论确认后，作为安装交换机、语音网关等通信系统的安装依据；</w:t>
      </w:r>
    </w:p>
    <w:p>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2、中标方负责所提供该项目所有通信设备的配件材料安装和调试，负责解决显示设备通信调试时出现的所有问题；</w:t>
      </w:r>
    </w:p>
    <w:p>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3、项目整体安装、调试工作量包含但不局限于以下内容：</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1）汇聚交换机、接入交换机的安装（包括配件材料），完成接入送变电公司网络的调试；</w:t>
      </w:r>
    </w:p>
    <w:p>
      <w:pPr>
        <w:keepNext/>
        <w:keepLines/>
        <w:pageBreakBefore w:val="0"/>
        <w:widowControl w:val="0"/>
        <w:kinsoku/>
        <w:wordWrap/>
        <w:overflowPunct/>
        <w:topLinePunct w:val="0"/>
        <w:autoSpaceDE/>
        <w:autoSpaceDN/>
        <w:bidi w:val="0"/>
        <w:adjustRightInd/>
        <w:snapToGrid/>
        <w:spacing w:before="0" w:after="0" w:line="360" w:lineRule="auto"/>
        <w:ind w:left="439" w:leftChars="209" w:firstLine="38" w:firstLineChars="16"/>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2）语音网关与送变电公司程控交换机的接入连接安装，与送变电公司语音模块的接入安装（包括线缆等配件材料），完成接入送变电公司语音连接的调试。</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3）各光模块能正常通信，没有数据丢包和不兼容等情形。</w:t>
      </w:r>
    </w:p>
    <w:p>
      <w:pPr>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outlineLvl w:val="9"/>
        <w:rPr>
          <w:rFonts w:hint="eastAsia" w:ascii="宋体" w:hAnsi="宋体" w:eastAsia="宋体" w:cs="宋体"/>
          <w:b w:val="0"/>
          <w:bCs w:val="0"/>
          <w:sz w:val="24"/>
        </w:rPr>
      </w:pPr>
      <w:r>
        <w:rPr>
          <w:rFonts w:hint="eastAsia" w:ascii="宋体" w:hAnsi="宋体" w:eastAsia="宋体" w:cs="宋体"/>
          <w:b w:val="0"/>
          <w:bCs w:val="0"/>
          <w:sz w:val="24"/>
        </w:rPr>
        <w:t>4）各线缆（包括但不限于设备电源线缆，通信互联线缆）规范布放，并做好标签标记</w:t>
      </w:r>
    </w:p>
    <w:p>
      <w:pPr>
        <w:keepNext/>
        <w:keepLines/>
        <w:pageBreakBefore w:val="0"/>
        <w:widowControl w:val="0"/>
        <w:numPr>
          <w:ilvl w:val="0"/>
          <w:numId w:val="1"/>
        </w:numPr>
        <w:kinsoku/>
        <w:wordWrap/>
        <w:overflowPunct/>
        <w:topLinePunct w:val="0"/>
        <w:autoSpaceDE/>
        <w:autoSpaceDN/>
        <w:bidi w:val="0"/>
        <w:adjustRightInd/>
        <w:snapToGrid/>
        <w:spacing w:line="360" w:lineRule="auto"/>
        <w:textAlignment w:val="auto"/>
        <w:outlineLvl w:val="9"/>
        <w:rPr>
          <w:rFonts w:hint="eastAsia" w:ascii="宋体" w:hAnsi="宋体" w:eastAsia="宋体"/>
          <w:b/>
          <w:bCs/>
          <w:sz w:val="30"/>
          <w:szCs w:val="30"/>
        </w:rPr>
      </w:pPr>
      <w:r>
        <w:rPr>
          <w:rFonts w:hint="eastAsia" w:ascii="宋体" w:hAnsi="宋体" w:eastAsia="宋体"/>
          <w:b/>
          <w:bCs/>
          <w:sz w:val="30"/>
          <w:szCs w:val="30"/>
        </w:rPr>
        <w:t>验收要求</w:t>
      </w:r>
    </w:p>
    <w:p>
      <w:pPr>
        <w:pStyle w:val="3"/>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1、验收标准</w:t>
      </w:r>
    </w:p>
    <w:p>
      <w:pPr>
        <w:pStyle w:val="2"/>
        <w:spacing w:before="0" w:after="0" w:line="360" w:lineRule="auto"/>
        <w:ind w:firstLine="480" w:firstLineChars="200"/>
        <w:rPr>
          <w:rFonts w:hint="eastAsia" w:ascii="宋体" w:hAnsi="宋体" w:eastAsia="宋体" w:cs="宋体"/>
          <w:b w:val="0"/>
          <w:bCs w:val="0"/>
          <w:sz w:val="24"/>
        </w:rPr>
      </w:pPr>
      <w:r>
        <w:rPr>
          <w:rFonts w:hint="eastAsia" w:ascii="宋体" w:hAnsi="宋体" w:eastAsia="宋体" w:cs="宋体"/>
          <w:b w:val="0"/>
          <w:bCs w:val="0"/>
          <w:sz w:val="24"/>
        </w:rPr>
        <w:t>1）按照双方签订的合同内容完成双方约定的工作内容进行项目验收；</w:t>
      </w:r>
    </w:p>
    <w:p>
      <w:pPr>
        <w:pStyle w:val="2"/>
        <w:spacing w:before="0" w:after="0" w:line="360" w:lineRule="auto"/>
        <w:ind w:firstLine="480" w:firstLineChars="200"/>
        <w:rPr>
          <w:rFonts w:hint="eastAsia" w:ascii="宋体" w:hAnsi="宋体" w:eastAsia="宋体" w:cs="宋体"/>
          <w:b w:val="0"/>
          <w:bCs w:val="0"/>
          <w:sz w:val="24"/>
        </w:rPr>
      </w:pPr>
      <w:r>
        <w:rPr>
          <w:rFonts w:hint="eastAsia" w:ascii="宋体" w:hAnsi="宋体" w:eastAsia="宋体" w:cs="宋体"/>
          <w:b w:val="0"/>
          <w:bCs w:val="0"/>
          <w:sz w:val="24"/>
        </w:rPr>
        <w:t>2）投标方提供的所有设备及材料必须符合采购方的相关标准和管理办法；</w:t>
      </w:r>
    </w:p>
    <w:p>
      <w:pPr>
        <w:pStyle w:val="2"/>
        <w:spacing w:before="0" w:after="0" w:line="360" w:lineRule="auto"/>
        <w:ind w:firstLine="480" w:firstLineChars="200"/>
        <w:rPr>
          <w:rFonts w:hint="eastAsia" w:ascii="宋体" w:hAnsi="宋体" w:eastAsia="宋体" w:cs="宋体"/>
          <w:b w:val="0"/>
          <w:bCs w:val="0"/>
          <w:sz w:val="24"/>
        </w:rPr>
      </w:pPr>
      <w:r>
        <w:rPr>
          <w:rFonts w:hint="eastAsia" w:ascii="宋体" w:hAnsi="宋体" w:eastAsia="宋体" w:cs="宋体"/>
          <w:b w:val="0"/>
          <w:bCs w:val="0"/>
          <w:sz w:val="24"/>
        </w:rPr>
        <w:t>3）投标方必须完成项目要求的所有工作内容。</w:t>
      </w:r>
    </w:p>
    <w:p>
      <w:pPr>
        <w:pStyle w:val="3"/>
        <w:spacing w:before="0" w:after="0" w:line="360" w:lineRule="auto"/>
        <w:ind w:left="0" w:firstLine="0"/>
        <w:rPr>
          <w:rFonts w:hint="eastAsia" w:asciiTheme="minorEastAsia" w:hAnsiTheme="minorEastAsia" w:cstheme="minorEastAsia"/>
          <w:bCs/>
          <w:sz w:val="24"/>
        </w:rPr>
      </w:pPr>
      <w:bookmarkStart w:id="0" w:name="_Toc172737496"/>
      <w:bookmarkStart w:id="1" w:name="_Toc70683319"/>
      <w:r>
        <w:rPr>
          <w:rFonts w:hint="eastAsia" w:asciiTheme="minorEastAsia" w:hAnsiTheme="minorEastAsia" w:cstheme="minorEastAsia"/>
          <w:bCs/>
          <w:sz w:val="24"/>
        </w:rPr>
        <w:t>2、验收内容</w:t>
      </w:r>
      <w:bookmarkEnd w:id="0"/>
      <w:bookmarkEnd w:id="1"/>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1）按照设备清单对投标方提供的所有设备进行开箱验收，验收中投标方对所提供的所有设备应提供经检验合格的产品及相应出厂检测报告；</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2）对网络及电话语音系统进行综合验收，是否按技术要求实现应具备的功能并满足招标方实际使用需求；</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3）对本项目的所有配件材料安装情况进行验收，配件材料安装是否满足实际需求；</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4）对本项目提供的所有设备及材料的安装手册、用户使用手册、设备维护手册等在内的技术资料进行验收，是否满足招标方操作使用要求。</w:t>
      </w:r>
    </w:p>
    <w:p>
      <w:pPr>
        <w:pStyle w:val="3"/>
        <w:spacing w:before="0" w:after="0" w:line="360" w:lineRule="auto"/>
        <w:rPr>
          <w:rFonts w:hint="eastAsia" w:asciiTheme="minorEastAsia" w:hAnsiTheme="minorEastAsia" w:cstheme="minorEastAsia"/>
          <w:bCs/>
          <w:sz w:val="24"/>
        </w:rPr>
      </w:pPr>
      <w:bookmarkStart w:id="2" w:name="_Toc172737497"/>
      <w:bookmarkStart w:id="3" w:name="_Toc70683320"/>
      <w:r>
        <w:rPr>
          <w:rFonts w:hint="eastAsia" w:asciiTheme="minorEastAsia" w:hAnsiTheme="minorEastAsia" w:cstheme="minorEastAsia"/>
          <w:bCs/>
          <w:sz w:val="24"/>
        </w:rPr>
        <w:t>3、验收方法</w:t>
      </w:r>
      <w:bookmarkEnd w:id="2"/>
      <w:bookmarkEnd w:id="3"/>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1）招标方进行现场验收；</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2）验收过程中为便于所有装置的调试，投标方方应派技术专家到招标方现场作技术支持服务；</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3）由于投标方的责任导致验收不能按时完成所引起的损失由投标方承担；</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4）所有验收费用由投标方承担。</w:t>
      </w:r>
    </w:p>
    <w:p>
      <w:pPr>
        <w:pStyle w:val="3"/>
        <w:spacing w:before="0" w:after="0" w:line="360" w:lineRule="auto"/>
        <w:rPr>
          <w:rFonts w:hint="eastAsia" w:asciiTheme="minorEastAsia" w:hAnsiTheme="minorEastAsia" w:cstheme="minorEastAsia"/>
          <w:bCs/>
          <w:sz w:val="24"/>
        </w:rPr>
      </w:pPr>
      <w:bookmarkStart w:id="4" w:name="_Toc70683321"/>
      <w:bookmarkStart w:id="5" w:name="_Toc172737498"/>
      <w:r>
        <w:rPr>
          <w:rFonts w:hint="eastAsia" w:asciiTheme="minorEastAsia" w:hAnsiTheme="minorEastAsia" w:cstheme="minorEastAsia"/>
          <w:bCs/>
          <w:sz w:val="24"/>
        </w:rPr>
        <w:t>4、验收时间与地点</w:t>
      </w:r>
      <w:bookmarkEnd w:id="4"/>
      <w:bookmarkEnd w:id="5"/>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1）验收时间：</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项目工期后五个工作日内。</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2）验收地点：</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云南送变电工程有限公司机房。</w:t>
      </w:r>
    </w:p>
    <w:p>
      <w:pPr>
        <w:numPr>
          <w:ilvl w:val="0"/>
          <w:numId w:val="1"/>
        </w:numPr>
        <w:spacing w:line="360" w:lineRule="auto"/>
        <w:rPr>
          <w:rFonts w:hint="eastAsia" w:ascii="宋体" w:hAnsi="宋体" w:eastAsia="宋体"/>
          <w:b/>
          <w:bCs/>
          <w:sz w:val="30"/>
          <w:szCs w:val="30"/>
        </w:rPr>
      </w:pPr>
      <w:bookmarkStart w:id="6" w:name="_Toc5078"/>
      <w:bookmarkStart w:id="7" w:name="_Toc9253383"/>
      <w:bookmarkStart w:id="8" w:name="_Toc23046"/>
      <w:bookmarkStart w:id="9" w:name="_Toc18202"/>
      <w:bookmarkStart w:id="10" w:name="_Toc172737499"/>
      <w:r>
        <w:rPr>
          <w:rFonts w:hint="eastAsia" w:ascii="宋体" w:hAnsi="宋体" w:eastAsia="宋体"/>
          <w:b/>
          <w:bCs/>
          <w:sz w:val="30"/>
          <w:szCs w:val="30"/>
        </w:rPr>
        <w:t>培训</w:t>
      </w:r>
      <w:bookmarkEnd w:id="6"/>
      <w:bookmarkEnd w:id="7"/>
      <w:bookmarkEnd w:id="8"/>
      <w:bookmarkEnd w:id="9"/>
      <w:r>
        <w:rPr>
          <w:rFonts w:hint="eastAsia" w:ascii="宋体" w:hAnsi="宋体" w:eastAsia="宋体"/>
          <w:b/>
          <w:bCs/>
          <w:sz w:val="30"/>
          <w:szCs w:val="30"/>
        </w:rPr>
        <w:t>服务要求</w:t>
      </w:r>
      <w:bookmarkEnd w:id="10"/>
    </w:p>
    <w:p>
      <w:pPr>
        <w:pStyle w:val="2"/>
        <w:spacing w:before="0" w:after="0" w:line="360" w:lineRule="auto"/>
        <w:rPr>
          <w:rFonts w:hint="eastAsia" w:ascii="宋体" w:hAnsi="宋体" w:eastAsia="宋体" w:cs="宋体"/>
          <w:b w:val="0"/>
          <w:bCs w:val="0"/>
          <w:sz w:val="24"/>
        </w:rPr>
      </w:pPr>
      <w:bookmarkStart w:id="11" w:name="_Toc7532"/>
      <w:bookmarkStart w:id="12" w:name="_Toc9253384"/>
      <w:bookmarkStart w:id="13" w:name="_Toc19642"/>
      <w:bookmarkStart w:id="14" w:name="_Toc15538"/>
      <w:r>
        <w:rPr>
          <w:rFonts w:hint="eastAsia" w:ascii="宋体" w:hAnsi="宋体" w:eastAsia="宋体" w:cs="宋体"/>
          <w:b w:val="0"/>
          <w:bCs w:val="0"/>
          <w:sz w:val="24"/>
        </w:rPr>
        <w:t>1、投标方应向招标方提供培训服务，并根据安装工作进程合理制订培训计划；</w:t>
      </w:r>
    </w:p>
    <w:p>
      <w:pPr>
        <w:pStyle w:val="2"/>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2、培训以课程培训、工作中培训等多种方式进行，培训学时数至少为8个学时以上（培训内容包括：产品介绍、安装调试介绍、功能介绍、问题与咨询等）；</w:t>
      </w:r>
    </w:p>
    <w:p>
      <w:pPr>
        <w:pStyle w:val="2"/>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3、在安装过程中，为招标方提供咨询等技术服务；</w:t>
      </w:r>
    </w:p>
    <w:p>
      <w:pPr>
        <w:pStyle w:val="2"/>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4、设备安装完毕后，提供完整的现场培训，包括系统安装、配置、维护管理、使用等方面；</w:t>
      </w:r>
    </w:p>
    <w:p>
      <w:pPr>
        <w:pStyle w:val="2"/>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5、提供相关培训资料。</w:t>
      </w:r>
    </w:p>
    <w:p>
      <w:pPr>
        <w:numPr>
          <w:ilvl w:val="0"/>
          <w:numId w:val="1"/>
        </w:numPr>
        <w:spacing w:line="360" w:lineRule="auto"/>
        <w:rPr>
          <w:rFonts w:hint="eastAsia" w:ascii="宋体" w:hAnsi="宋体" w:eastAsia="宋体"/>
          <w:b/>
          <w:bCs/>
          <w:sz w:val="30"/>
          <w:szCs w:val="30"/>
        </w:rPr>
      </w:pPr>
      <w:bookmarkStart w:id="15" w:name="_Toc172737500"/>
      <w:r>
        <w:rPr>
          <w:rFonts w:hint="eastAsia" w:ascii="宋体" w:hAnsi="宋体" w:eastAsia="宋体"/>
          <w:b/>
          <w:bCs/>
          <w:sz w:val="30"/>
          <w:szCs w:val="30"/>
        </w:rPr>
        <w:t>质量保证与售后服务</w:t>
      </w:r>
      <w:bookmarkEnd w:id="11"/>
      <w:bookmarkEnd w:id="12"/>
      <w:bookmarkEnd w:id="13"/>
      <w:bookmarkEnd w:id="14"/>
      <w:r>
        <w:rPr>
          <w:rFonts w:hint="eastAsia" w:ascii="宋体" w:hAnsi="宋体" w:eastAsia="宋体"/>
          <w:b/>
          <w:bCs/>
          <w:sz w:val="30"/>
          <w:szCs w:val="30"/>
        </w:rPr>
        <w:t>要求</w:t>
      </w:r>
      <w:bookmarkEnd w:id="15"/>
    </w:p>
    <w:p>
      <w:pPr>
        <w:pStyle w:val="3"/>
        <w:spacing w:before="0" w:after="0" w:line="360" w:lineRule="auto"/>
        <w:rPr>
          <w:rFonts w:hint="eastAsia" w:asciiTheme="minorEastAsia" w:hAnsiTheme="minorEastAsia" w:cstheme="minorEastAsia"/>
          <w:bCs/>
          <w:sz w:val="24"/>
        </w:rPr>
      </w:pPr>
      <w:bookmarkStart w:id="16" w:name="_Toc14055"/>
      <w:bookmarkStart w:id="17" w:name="_Toc21341"/>
      <w:bookmarkStart w:id="18" w:name="_Toc9253385"/>
      <w:bookmarkStart w:id="19" w:name="_Toc26992"/>
      <w:bookmarkStart w:id="20" w:name="_Toc172737501"/>
      <w:r>
        <w:rPr>
          <w:rFonts w:hint="eastAsia" w:asciiTheme="minorEastAsia" w:hAnsiTheme="minorEastAsia" w:cstheme="minorEastAsia"/>
          <w:bCs/>
          <w:sz w:val="24"/>
        </w:rPr>
        <w:t>1、售后服务整体要求</w:t>
      </w:r>
      <w:bookmarkEnd w:id="16"/>
      <w:bookmarkEnd w:id="17"/>
      <w:bookmarkEnd w:id="18"/>
      <w:bookmarkEnd w:id="19"/>
      <w:bookmarkEnd w:id="20"/>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1）投标人应提供完整的、贯穿产品全生命周期的服务支持。</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2）投标人提供不少于三年质保期服务。</w:t>
      </w:r>
    </w:p>
    <w:p>
      <w:pPr>
        <w:pStyle w:val="3"/>
        <w:spacing w:before="0" w:after="0" w:line="360" w:lineRule="auto"/>
        <w:rPr>
          <w:rFonts w:hint="eastAsia" w:asciiTheme="minorEastAsia" w:hAnsiTheme="minorEastAsia" w:cstheme="minorEastAsia"/>
          <w:bCs/>
          <w:sz w:val="24"/>
        </w:rPr>
      </w:pPr>
      <w:bookmarkStart w:id="21" w:name="_Toc9253386"/>
      <w:bookmarkStart w:id="22" w:name="_Toc18691"/>
      <w:bookmarkStart w:id="23" w:name="_Toc172737502"/>
      <w:bookmarkStart w:id="24" w:name="_Toc19156"/>
      <w:bookmarkStart w:id="25" w:name="_Toc7953"/>
      <w:r>
        <w:rPr>
          <w:rFonts w:hint="eastAsia" w:asciiTheme="minorEastAsia" w:hAnsiTheme="minorEastAsia" w:cstheme="minorEastAsia"/>
          <w:bCs/>
          <w:sz w:val="24"/>
        </w:rPr>
        <w:t>2、售后服务响应时间要求</w:t>
      </w:r>
      <w:bookmarkEnd w:id="21"/>
      <w:bookmarkEnd w:id="22"/>
      <w:bookmarkEnd w:id="23"/>
      <w:bookmarkEnd w:id="24"/>
      <w:bookmarkEnd w:id="25"/>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1）在质保期内，发生故障时，投标人应派遣维修人员1小时内抵达现场，2小时内解决问题。</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2）质保期结束后，能随时提供电话技术服务支持，提供远方诊断服务，要求2小时提出解决办法。电话支持无法解决的，投标人应派遣维修人员4小时内抵达现场。</w:t>
      </w:r>
    </w:p>
    <w:p>
      <w:pPr>
        <w:pStyle w:val="3"/>
        <w:spacing w:before="0" w:after="0" w:line="360" w:lineRule="auto"/>
        <w:rPr>
          <w:rFonts w:hint="eastAsia" w:asciiTheme="minorEastAsia" w:hAnsiTheme="minorEastAsia" w:cstheme="minorEastAsia"/>
          <w:bCs/>
          <w:sz w:val="24"/>
        </w:rPr>
      </w:pPr>
      <w:bookmarkStart w:id="26" w:name="_Toc13113"/>
      <w:bookmarkStart w:id="27" w:name="_Toc27022"/>
      <w:bookmarkStart w:id="28" w:name="_Toc172737503"/>
      <w:bookmarkStart w:id="29" w:name="_Toc32576"/>
      <w:bookmarkStart w:id="30" w:name="_Toc9253387"/>
      <w:r>
        <w:rPr>
          <w:rFonts w:hint="eastAsia" w:asciiTheme="minorEastAsia" w:hAnsiTheme="minorEastAsia" w:cstheme="minorEastAsia"/>
          <w:bCs/>
          <w:sz w:val="24"/>
        </w:rPr>
        <w:t>3、 故障维修时间要求</w:t>
      </w:r>
      <w:bookmarkEnd w:id="26"/>
      <w:bookmarkEnd w:id="27"/>
      <w:bookmarkEnd w:id="28"/>
      <w:bookmarkEnd w:id="29"/>
      <w:bookmarkEnd w:id="30"/>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1）对于不涉及硬件损坏的简单故障，应能在故障发生后7*24小时，提供电话技术支持予以解决。</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2）对于需要维修人员抵达现场解决的问题，应在人员抵达后2小时内查明故障原因，提出解决方案，对于可立刻解决的应当场解决。如确因故障情况复杂，特征不明显等原因无法在2小时内查明原因的，维修人员应做出书面解释，让使用单位充分了解情况。</w:t>
      </w:r>
    </w:p>
    <w:p>
      <w:pPr>
        <w:pStyle w:val="2"/>
        <w:spacing w:before="0" w:after="0" w:line="360" w:lineRule="auto"/>
        <w:ind w:left="420" w:leftChars="200"/>
        <w:rPr>
          <w:rFonts w:hint="eastAsia" w:ascii="宋体" w:hAnsi="宋体" w:eastAsia="宋体" w:cs="宋体"/>
          <w:b w:val="0"/>
          <w:bCs w:val="0"/>
          <w:sz w:val="24"/>
        </w:rPr>
      </w:pPr>
      <w:r>
        <w:rPr>
          <w:rFonts w:hint="eastAsia" w:ascii="宋体" w:hAnsi="宋体" w:eastAsia="宋体" w:cs="宋体"/>
          <w:b w:val="0"/>
          <w:bCs w:val="0"/>
          <w:sz w:val="24"/>
        </w:rPr>
        <w:t>3）对于在质保期内，维修人员发现设备无法正常工作时，应能在4小时内提供备件，保障甲方正常工作，一周内完成厂家设备更换。</w:t>
      </w:r>
    </w:p>
    <w:p>
      <w:pPr>
        <w:rPr>
          <w:rFonts w:hint="eastAsia"/>
        </w:rPr>
      </w:pPr>
    </w:p>
    <w:p>
      <w:pPr>
        <w:rPr>
          <w:rFonts w:hint="eastAsia"/>
        </w:rPr>
      </w:pPr>
    </w:p>
    <w:p>
      <w:pPr>
        <w:pStyle w:val="2"/>
        <w:rPr>
          <w:rFonts w:hint="eastAsia"/>
        </w:rPr>
      </w:pPr>
    </w:p>
    <w:sectPr>
      <w:pgSz w:w="11906" w:h="16838"/>
      <w:pgMar w:top="720" w:right="850" w:bottom="72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BD75A"/>
    <w:multiLevelType w:val="singleLevel"/>
    <w:tmpl w:val="FA0BD75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2C"/>
    <w:rsid w:val="000876DF"/>
    <w:rsid w:val="00144A2B"/>
    <w:rsid w:val="00191750"/>
    <w:rsid w:val="001A4714"/>
    <w:rsid w:val="001D53A5"/>
    <w:rsid w:val="001F27C4"/>
    <w:rsid w:val="001F5474"/>
    <w:rsid w:val="00212E4F"/>
    <w:rsid w:val="002E532E"/>
    <w:rsid w:val="00373754"/>
    <w:rsid w:val="004266FD"/>
    <w:rsid w:val="0044691F"/>
    <w:rsid w:val="00507229"/>
    <w:rsid w:val="0053710B"/>
    <w:rsid w:val="00551ABA"/>
    <w:rsid w:val="00551CED"/>
    <w:rsid w:val="005F5E0D"/>
    <w:rsid w:val="00687297"/>
    <w:rsid w:val="00756DF7"/>
    <w:rsid w:val="00773835"/>
    <w:rsid w:val="00835497"/>
    <w:rsid w:val="008C0886"/>
    <w:rsid w:val="00946575"/>
    <w:rsid w:val="00962531"/>
    <w:rsid w:val="00987E9F"/>
    <w:rsid w:val="00A060FE"/>
    <w:rsid w:val="00A55607"/>
    <w:rsid w:val="00A665A5"/>
    <w:rsid w:val="00B958D0"/>
    <w:rsid w:val="00C219D4"/>
    <w:rsid w:val="00C231E6"/>
    <w:rsid w:val="00C24F67"/>
    <w:rsid w:val="00C53F2C"/>
    <w:rsid w:val="00C62714"/>
    <w:rsid w:val="00C830B6"/>
    <w:rsid w:val="00CC730E"/>
    <w:rsid w:val="00D10D89"/>
    <w:rsid w:val="00D5167D"/>
    <w:rsid w:val="00E53D50"/>
    <w:rsid w:val="00E92DB2"/>
    <w:rsid w:val="00E933D5"/>
    <w:rsid w:val="00EE5B91"/>
    <w:rsid w:val="00F144B3"/>
    <w:rsid w:val="00FF7A28"/>
    <w:rsid w:val="089F43C4"/>
    <w:rsid w:val="38B07C26"/>
    <w:rsid w:val="396F459D"/>
    <w:rsid w:val="40497458"/>
    <w:rsid w:val="542547CB"/>
    <w:rsid w:val="6C1C1D59"/>
    <w:rsid w:val="6FF9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tabs>
        <w:tab w:val="center" w:pos="4153"/>
        <w:tab w:val="right" w:pos="8306"/>
      </w:tabs>
      <w:snapToGrid w:val="0"/>
      <w:jc w:val="center"/>
    </w:pPr>
    <w:rPr>
      <w:sz w:val="18"/>
      <w:szCs w:val="18"/>
    </w:rPr>
  </w:style>
  <w:style w:type="table" w:styleId="7">
    <w:name w:val="Table Grid"/>
    <w:basedOn w:val="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uiPriority w:val="99"/>
    <w:rPr>
      <w:sz w:val="18"/>
      <w:szCs w:val="18"/>
    </w:rPr>
  </w:style>
  <w:style w:type="character" w:customStyle="1" w:styleId="10">
    <w:name w:val="页脚 字符"/>
    <w:basedOn w:val="8"/>
    <w:link w:val="4"/>
    <w:uiPriority w:val="99"/>
    <w:rPr>
      <w:sz w:val="18"/>
      <w:szCs w:val="18"/>
    </w:rPr>
  </w:style>
  <w:style w:type="paragraph" w:customStyle="1" w:styleId="11">
    <w:name w:val="列出段落1"/>
    <w:basedOn w:val="1"/>
    <w:qFormat/>
    <w:uiPriority w:val="34"/>
    <w:pPr>
      <w:spacing w:line="360" w:lineRule="auto"/>
      <w:ind w:firstLine="420" w:firstLineChars="2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794</Words>
  <Characters>4526</Characters>
  <Lines>37</Lines>
  <Paragraphs>10</Paragraphs>
  <TotalTime>5</TotalTime>
  <ScaleCrop>false</ScaleCrop>
  <LinksUpToDate>false</LinksUpToDate>
  <CharactersWithSpaces>5310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2024-08-04T07:07:00Z</dcterms:created>
  <dc:creator>如胜 李</dc:creator>
  <cp:lastModifiedBy>HTD</cp:lastModifiedBy>
  <dcterms:modified xsi:type="dcterms:W3CDTF">2024-08-04T09:08:26Z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891268B888004DB682D938F1310BAAE1</vt:lpwstr>
  </property>
</Properties>
</file>