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after="468" w:afterLines="150"/>
        <w:ind w:left="-28" w:leftChars="-85" w:right="-263" w:rightChars="-125" w:hanging="150" w:hangingChars="34"/>
        <w:jc w:val="center"/>
        <w:rPr>
          <w:rFonts w:ascii="宋体" w:hAnsi="宋体"/>
          <w:b/>
          <w:sz w:val="44"/>
          <w:szCs w:val="44"/>
          <w:u w:val="single"/>
        </w:rPr>
      </w:pPr>
    </w:p>
    <w:p>
      <w:pPr>
        <w:snapToGrid w:val="0"/>
        <w:spacing w:after="468" w:afterLines="150"/>
        <w:ind w:left="-104" w:leftChars="-85" w:right="-263" w:rightChars="-125" w:hanging="74" w:hangingChars="34"/>
        <w:jc w:val="center"/>
        <w:rPr>
          <w:rFonts w:ascii="宋体" w:hAnsi="宋体"/>
          <w:b/>
          <w:sz w:val="44"/>
          <w:szCs w:val="44"/>
          <w:u w:val="single"/>
        </w:rPr>
      </w:pPr>
      <w:r>
        <w:rPr>
          <w:rFonts w:ascii="Times New Roman" w:hAnsi="Times New Roman"/>
          <w:sz w:val="22"/>
          <w:szCs w:val="22"/>
        </w:rPr>
        <w:drawing>
          <wp:anchor distT="0" distB="0" distL="114300" distR="114300" simplePos="0" relativeHeight="251659264" behindDoc="0" locked="0" layoutInCell="1" allowOverlap="1">
            <wp:simplePos x="0" y="0"/>
            <wp:positionH relativeFrom="column">
              <wp:posOffset>-1219835</wp:posOffset>
            </wp:positionH>
            <wp:positionV relativeFrom="paragraph">
              <wp:posOffset>-1706880</wp:posOffset>
            </wp:positionV>
            <wp:extent cx="8136255" cy="2497455"/>
            <wp:effectExtent l="0" t="0" r="17145" b="17145"/>
            <wp:wrapNone/>
            <wp:docPr id="3" name="Picture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模板-3"/>
                    <pic:cNvPicPr>
                      <a:picLocks noChangeAspect="1"/>
                    </pic:cNvPicPr>
                  </pic:nvPicPr>
                  <pic:blipFill>
                    <a:blip r:embed="rId8"/>
                    <a:stretch>
                      <a:fillRect/>
                    </a:stretch>
                  </pic:blipFill>
                  <pic:spPr>
                    <a:xfrm>
                      <a:off x="0" y="0"/>
                      <a:ext cx="8136255" cy="2497455"/>
                    </a:xfrm>
                    <a:prstGeom prst="rect">
                      <a:avLst/>
                    </a:prstGeom>
                    <a:noFill/>
                    <a:ln w="9525">
                      <a:noFill/>
                    </a:ln>
                  </pic:spPr>
                </pic:pic>
              </a:graphicData>
            </a:graphic>
          </wp:anchor>
        </w:drawing>
      </w:r>
    </w:p>
    <w:p>
      <w:pPr>
        <w:snapToGrid w:val="0"/>
        <w:spacing w:after="468" w:afterLines="150"/>
        <w:ind w:left="-28" w:leftChars="-85" w:right="-263" w:rightChars="-125" w:hanging="150" w:hangingChars="34"/>
        <w:jc w:val="center"/>
        <w:rPr>
          <w:rFonts w:ascii="宋体" w:hAnsi="宋体"/>
          <w:b/>
          <w:sz w:val="44"/>
          <w:szCs w:val="44"/>
          <w:u w:val="single"/>
        </w:rPr>
      </w:pPr>
    </w:p>
    <w:p>
      <w:pPr>
        <w:spacing w:line="360" w:lineRule="auto"/>
        <w:jc w:val="center"/>
        <w:rPr>
          <w:rFonts w:hint="eastAsia" w:asciiTheme="minorEastAsia" w:hAnsiTheme="minorEastAsia" w:cstheme="minorEastAsia"/>
          <w:b/>
          <w:sz w:val="44"/>
          <w:szCs w:val="44"/>
          <w:lang w:val="en-US" w:eastAsia="zh-CN"/>
        </w:rPr>
      </w:pPr>
      <w:r>
        <w:rPr>
          <w:rFonts w:hint="eastAsia" w:asciiTheme="minorEastAsia" w:hAnsiTheme="minorEastAsia" w:cstheme="minorEastAsia"/>
          <w:b/>
          <w:sz w:val="44"/>
          <w:szCs w:val="44"/>
          <w:lang w:eastAsia="zh-CN"/>
        </w:rPr>
        <w:t>鲁厂</w:t>
      </w:r>
      <w:r>
        <w:rPr>
          <w:rFonts w:hint="eastAsia" w:asciiTheme="minorEastAsia" w:hAnsiTheme="minorEastAsia" w:cstheme="minorEastAsia"/>
          <w:b/>
          <w:sz w:val="44"/>
          <w:szCs w:val="44"/>
          <w:lang w:val="en-US" w:eastAsia="zh-CN"/>
        </w:rPr>
        <w:t>2024年部分土地和建筑物测绘</w:t>
      </w:r>
    </w:p>
    <w:p>
      <w:pPr>
        <w:spacing w:line="360" w:lineRule="auto"/>
        <w:jc w:val="center"/>
        <w:rPr>
          <w:rFonts w:ascii="宋体" w:hAnsi="宋体"/>
          <w:b/>
          <w:sz w:val="44"/>
          <w:szCs w:val="44"/>
        </w:rPr>
      </w:pPr>
      <w:r>
        <w:rPr>
          <w:rFonts w:hint="eastAsia" w:ascii="宋体" w:hAnsi="宋体"/>
          <w:b/>
          <w:sz w:val="44"/>
          <w:szCs w:val="44"/>
        </w:rPr>
        <w:t>技术文件</w:t>
      </w:r>
    </w:p>
    <w:p>
      <w:pPr>
        <w:spacing w:line="360" w:lineRule="auto"/>
        <w:ind w:left="-1" w:leftChars="-85" w:right="-263" w:rightChars="-125" w:hanging="177" w:hangingChars="34"/>
        <w:jc w:val="center"/>
        <w:rPr>
          <w:rFonts w:ascii="宋体" w:hAnsi="宋体"/>
          <w:b/>
          <w:sz w:val="52"/>
          <w:szCs w:val="52"/>
        </w:rPr>
      </w:pPr>
    </w:p>
    <w:p>
      <w:pPr>
        <w:spacing w:line="360" w:lineRule="auto"/>
        <w:ind w:left="-1" w:leftChars="-85" w:right="-263" w:rightChars="-125" w:hanging="177" w:hangingChars="34"/>
        <w:jc w:val="center"/>
        <w:rPr>
          <w:rFonts w:ascii="宋体" w:hAnsi="宋体"/>
          <w:b/>
          <w:sz w:val="52"/>
          <w:szCs w:val="52"/>
        </w:rPr>
      </w:pPr>
    </w:p>
    <w:p>
      <w:pPr>
        <w:spacing w:line="360" w:lineRule="auto"/>
        <w:jc w:val="center"/>
        <w:rPr>
          <w:rFonts w:ascii="宋体" w:hAnsi="宋体"/>
          <w:b/>
          <w:i/>
          <w:sz w:val="32"/>
          <w:szCs w:val="32"/>
        </w:rPr>
      </w:pPr>
    </w:p>
    <w:p/>
    <w:p/>
    <w:p/>
    <w:p/>
    <w:p>
      <w:pPr>
        <w:spacing w:line="360" w:lineRule="auto"/>
        <w:jc w:val="center"/>
        <w:rPr>
          <w:rFonts w:ascii="宋体" w:hAnsi="宋体"/>
          <w:b/>
          <w:sz w:val="36"/>
          <w:szCs w:val="36"/>
        </w:rPr>
      </w:pPr>
      <w:r>
        <w:rPr>
          <w:rFonts w:hint="eastAsia" w:ascii="宋体" w:hAnsi="宋体"/>
          <w:b/>
          <w:sz w:val="36"/>
          <w:szCs w:val="36"/>
        </w:rPr>
        <w:t>调峰调频发电有限公司</w:t>
      </w:r>
    </w:p>
    <w:p>
      <w:pPr>
        <w:spacing w:line="360" w:lineRule="auto"/>
        <w:jc w:val="center"/>
        <w:rPr>
          <w:rFonts w:ascii="宋体" w:hAnsi="宋体"/>
          <w:b/>
          <w:sz w:val="36"/>
          <w:szCs w:val="36"/>
        </w:rPr>
      </w:pPr>
      <w:r>
        <w:rPr>
          <w:rFonts w:hint="eastAsia" w:ascii="宋体" w:hAnsi="宋体"/>
          <w:b/>
          <w:sz w:val="36"/>
          <w:szCs w:val="36"/>
        </w:rPr>
        <w:t>鲁布革水力发电厂</w:t>
      </w:r>
    </w:p>
    <w:p>
      <w:pPr>
        <w:spacing w:line="360" w:lineRule="auto"/>
        <w:ind w:firstLine="3253" w:firstLineChars="900"/>
        <w:rPr>
          <w:rFonts w:ascii="宋体" w:hAnsi="宋体"/>
          <w:b/>
          <w:sz w:val="36"/>
          <w:szCs w:val="36"/>
        </w:rPr>
        <w:sectPr>
          <w:headerReference r:id="rId4" w:type="first"/>
          <w:footerReference r:id="rId6" w:type="first"/>
          <w:headerReference r:id="rId3" w:type="default"/>
          <w:footerReference r:id="rId5" w:type="default"/>
          <w:pgSz w:w="11906" w:h="16838"/>
          <w:pgMar w:top="1440" w:right="1800" w:bottom="1440" w:left="1800" w:header="851" w:footer="992" w:gutter="0"/>
          <w:cols w:space="425" w:num="1"/>
          <w:titlePg/>
          <w:docGrid w:type="lines" w:linePitch="312" w:charSpace="0"/>
        </w:sectPr>
      </w:pPr>
      <w:r>
        <w:rPr>
          <w:rFonts w:hint="eastAsia" w:ascii="宋体" w:hAnsi="宋体"/>
          <w:b/>
          <w:sz w:val="36"/>
          <w:szCs w:val="36"/>
        </w:rPr>
        <w:t>20</w:t>
      </w:r>
      <w:r>
        <w:rPr>
          <w:rFonts w:hint="eastAsia" w:ascii="宋体" w:hAnsi="宋体"/>
          <w:b/>
          <w:sz w:val="36"/>
          <w:szCs w:val="36"/>
          <w:lang w:val="en-US" w:eastAsia="zh-CN"/>
        </w:rPr>
        <w:t>24</w:t>
      </w:r>
      <w:r>
        <w:rPr>
          <w:rFonts w:hint="eastAsia" w:ascii="宋体" w:hAnsi="宋体"/>
          <w:b/>
          <w:sz w:val="36"/>
          <w:szCs w:val="36"/>
        </w:rPr>
        <w:t>年</w:t>
      </w:r>
      <w:r>
        <w:rPr>
          <w:rFonts w:hint="eastAsia" w:ascii="宋体" w:hAnsi="宋体"/>
          <w:b/>
          <w:sz w:val="36"/>
          <w:szCs w:val="36"/>
          <w:lang w:val="en-US" w:eastAsia="zh-CN"/>
        </w:rPr>
        <w:t>08</w:t>
      </w:r>
      <w:r>
        <w:rPr>
          <w:rFonts w:hint="eastAsia" w:ascii="宋体" w:hAnsi="宋体"/>
          <w:b/>
          <w:sz w:val="36"/>
          <w:szCs w:val="36"/>
        </w:rPr>
        <w:t>月</w:t>
      </w:r>
    </w:p>
    <w:p>
      <w:pPr>
        <w:jc w:val="both"/>
        <w:rPr>
          <w:rFonts w:hint="eastAsia" w:asciiTheme="minorEastAsia" w:hAnsiTheme="minorEastAsia"/>
          <w:b/>
          <w:sz w:val="36"/>
          <w:szCs w:val="36"/>
        </w:rPr>
      </w:pPr>
    </w:p>
    <w:p>
      <w:pPr>
        <w:spacing w:line="360" w:lineRule="auto"/>
        <w:ind w:firstLine="562" w:firstLineChars="200"/>
        <w:rPr>
          <w:rFonts w:ascii="宋体" w:hAnsi="宋体" w:eastAsia="宋体" w:cs="宋体"/>
          <w:b/>
          <w:sz w:val="28"/>
          <w:szCs w:val="28"/>
        </w:rPr>
      </w:pPr>
      <w:r>
        <w:rPr>
          <w:rFonts w:hint="eastAsia" w:ascii="宋体" w:hAnsi="宋体" w:eastAsia="宋体" w:cs="宋体"/>
          <w:b/>
          <w:sz w:val="28"/>
          <w:szCs w:val="28"/>
        </w:rPr>
        <w:t>一、项目概况</w:t>
      </w:r>
    </w:p>
    <w:p>
      <w:pPr>
        <w:spacing w:line="360" w:lineRule="auto"/>
        <w:ind w:firstLine="480" w:firstLineChars="200"/>
        <w:rPr>
          <w:rFonts w:hint="default" w:ascii="宋体" w:hAnsi="宋体"/>
          <w:color w:val="auto"/>
          <w:sz w:val="24"/>
          <w:lang w:val="en-US" w:eastAsia="zh-CN"/>
        </w:rPr>
      </w:pPr>
      <w:r>
        <w:rPr>
          <w:rFonts w:hint="eastAsia" w:ascii="宋体" w:hAnsi="宋体"/>
          <w:color w:val="auto"/>
          <w:sz w:val="24"/>
          <w:lang w:val="en-US" w:eastAsia="zh-CN"/>
        </w:rPr>
        <w:t>本项目对鲁布革电厂罗平3号院1宗土地及地上建筑物、乃格生产现场5宗土地开展测绘工作。鲁布革电厂罗平3号院土地位于罗平县罗雄镇文笔路与九龙大道交叉口处，于2008年取得国有土地使用证，地上建筑物共4栋，其中3栋于2010年取得房屋所有权证，1栋房屋暂未办理产权登记。乃格生产区5宗土地位于罗平县鲁布革乡乃格村，于2010年取得国有土地使用证。</w:t>
      </w:r>
    </w:p>
    <w:p>
      <w:pPr>
        <w:spacing w:line="360" w:lineRule="auto"/>
        <w:ind w:firstLine="480" w:firstLineChars="200"/>
        <w:rPr>
          <w:rFonts w:hint="default" w:ascii="宋体" w:hAnsi="宋体"/>
          <w:color w:val="auto"/>
          <w:sz w:val="24"/>
          <w:lang w:val="en-US" w:eastAsia="zh-CN"/>
        </w:rPr>
      </w:pPr>
      <w:r>
        <w:rPr>
          <w:rFonts w:hint="eastAsia" w:ascii="宋体" w:hAnsi="宋体"/>
          <w:color w:val="auto"/>
          <w:sz w:val="24"/>
          <w:lang w:val="en-US" w:eastAsia="zh-CN"/>
        </w:rPr>
        <w:t>已有土地使用证和房屋所有权证缺少</w:t>
      </w:r>
      <w:r>
        <w:rPr>
          <w:rFonts w:hint="eastAsia" w:asciiTheme="minorEastAsia" w:hAnsiTheme="minorEastAsia" w:cstheme="minorEastAsia"/>
          <w:b w:val="0"/>
          <w:bCs w:val="0"/>
          <w:color w:val="auto"/>
          <w:sz w:val="24"/>
          <w:lang w:val="en-US" w:eastAsia="zh-CN"/>
        </w:rPr>
        <w:t>界址坐标、控制点信息等电子化数据，不满足不动产权证书更换要求，更换不动产权证书需要补充上述数据，对罗平3号院1栋房屋进行不动产首次登记时也需要提供测绘报告。因此，为更换和办理上述土地及地上建筑物不动产登记证书，特开展测绘工作。</w:t>
      </w:r>
    </w:p>
    <w:p>
      <w:pPr>
        <w:spacing w:line="360" w:lineRule="auto"/>
        <w:ind w:firstLine="562" w:firstLineChars="200"/>
        <w:rPr>
          <w:rFonts w:hint="default" w:ascii="宋体" w:hAnsi="宋体"/>
          <w:sz w:val="24"/>
          <w:lang w:val="en-US" w:eastAsia="zh-CN"/>
        </w:rPr>
      </w:pPr>
      <w:r>
        <w:rPr>
          <w:rFonts w:hint="eastAsia" w:ascii="宋体" w:hAnsi="宋体" w:eastAsia="宋体" w:cs="宋体"/>
          <w:b/>
          <w:sz w:val="28"/>
          <w:szCs w:val="28"/>
          <w:lang w:val="en-US" w:eastAsia="zh-CN"/>
        </w:rPr>
        <w:t>二</w:t>
      </w:r>
      <w:r>
        <w:rPr>
          <w:rFonts w:hint="eastAsia" w:ascii="宋体" w:hAnsi="宋体" w:eastAsia="宋体" w:cs="宋体"/>
          <w:b/>
          <w:sz w:val="28"/>
          <w:szCs w:val="28"/>
        </w:rPr>
        <w:t>、</w:t>
      </w:r>
      <w:r>
        <w:rPr>
          <w:rFonts w:hint="eastAsia" w:ascii="宋体" w:hAnsi="宋体" w:eastAsia="宋体" w:cs="宋体"/>
          <w:b/>
          <w:sz w:val="28"/>
          <w:szCs w:val="28"/>
          <w:lang w:val="en-US" w:eastAsia="zh-CN"/>
        </w:rPr>
        <w:t>工作内容</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1）对鲁布革电厂罗平3号院宗地进行分宗，分为2宗土地，除鲁电大厦建设用地外的原有宗地范围作为宗地一，鲁电大厦建设用地列为宗地二。开展对分宗后的宗地一及3栋地上建筑物不动产测绘，用于办理更换不动产权证书，开展对宗地二及地上建筑物（鲁电大厦）不动产测绘，用于新办理不动产权证书。测量范围及内容包括：用地面积测绘、不动产登记房屋分户图、房屋调查表、数据库、宗地图、权籍调查、房产面积测绘、产权办理等。（宗地二因地上建筑物缺少相关材料，先办理宗地二的土地不动产权证书，待补材料后再办理土地及地上建筑物不动产权证书）；</w:t>
      </w:r>
    </w:p>
    <w:p>
      <w:pPr>
        <w:spacing w:line="360" w:lineRule="auto"/>
        <w:ind w:firstLine="480" w:firstLineChars="200"/>
        <w:rPr>
          <w:rFonts w:hint="default" w:ascii="宋体" w:hAnsi="宋体"/>
          <w:color w:val="auto"/>
          <w:sz w:val="24"/>
          <w:lang w:val="en-US" w:eastAsia="zh-CN"/>
        </w:rPr>
      </w:pPr>
      <w:r>
        <w:rPr>
          <w:rFonts w:hint="eastAsia" w:ascii="宋体" w:hAnsi="宋体"/>
          <w:color w:val="auto"/>
          <w:sz w:val="24"/>
          <w:lang w:val="en-US" w:eastAsia="zh-CN"/>
        </w:rPr>
        <w:t>（2）对乃格生产现场5块宗地用地范围进行不动产测绘（测量范围及内容包括：用地面积测绘、数据库、宗地图、权籍调查、产权办理等）；</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（3）出具测绘报告书满足办证要求（包括但不限于满足相关行政主管部门的对办理不动产权证的要求）；</w:t>
      </w:r>
    </w:p>
    <w:p>
      <w:pPr>
        <w:spacing w:line="360" w:lineRule="auto"/>
        <w:ind w:firstLine="480" w:firstLineChars="200"/>
        <w:rPr>
          <w:rFonts w:hint="default" w:ascii="宋体" w:hAnsi="宋体"/>
          <w:color w:val="auto"/>
          <w:sz w:val="24"/>
          <w:lang w:val="en-US" w:eastAsia="zh-CN"/>
        </w:rPr>
      </w:pPr>
      <w:r>
        <w:rPr>
          <w:rFonts w:hint="eastAsia" w:ascii="宋体" w:hAnsi="宋体"/>
          <w:color w:val="auto"/>
          <w:sz w:val="24"/>
          <w:lang w:val="en-US" w:eastAsia="zh-CN"/>
        </w:rPr>
        <w:t>（4）对项目所在场地的土地及房屋进行权籍调查和面积测绘，并符合行政主管部门的相关规定，办理不动产权证书。具体情况见下表：</w:t>
      </w:r>
    </w:p>
    <w:tbl>
      <w:tblPr>
        <w:tblStyle w:val="9"/>
        <w:tblpPr w:leftFromText="180" w:rightFromText="180" w:vertAnchor="text" w:horzAnchor="page" w:tblpX="1785" w:tblpY="623"/>
        <w:tblOverlap w:val="never"/>
        <w:tblW w:w="530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9"/>
        <w:gridCol w:w="1773"/>
        <w:gridCol w:w="2216"/>
        <w:gridCol w:w="1141"/>
        <w:gridCol w:w="1905"/>
        <w:gridCol w:w="11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w:t>
            </w:r>
          </w:p>
        </w:tc>
        <w:tc>
          <w:tcPr>
            <w:tcW w:w="9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土地</w:t>
            </w:r>
          </w:p>
        </w:tc>
        <w:tc>
          <w:tcPr>
            <w:tcW w:w="12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6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0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序号</w:t>
            </w:r>
          </w:p>
        </w:tc>
        <w:tc>
          <w:tcPr>
            <w:tcW w:w="98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宗地名称</w:t>
            </w:r>
          </w:p>
        </w:tc>
        <w:tc>
          <w:tcPr>
            <w:tcW w:w="122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土地位置</w:t>
            </w:r>
          </w:p>
        </w:tc>
        <w:tc>
          <w:tcPr>
            <w:tcW w:w="63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面积</w:t>
            </w:r>
            <w:r>
              <w:rPr>
                <w:rFonts w:hint="default" w:ascii="Times New Roman" w:hAnsi="Times New Roman" w:eastAsia="宋体" w:cs="Times New Roman"/>
                <w:i w:val="0"/>
                <w:iCs w:val="0"/>
                <w:color w:val="000000"/>
                <w:kern w:val="0"/>
                <w:sz w:val="20"/>
                <w:szCs w:val="20"/>
                <w:u w:val="none"/>
                <w:lang w:val="en-US" w:eastAsia="zh-CN" w:bidi="ar"/>
              </w:rPr>
              <w:t>(m</w:t>
            </w:r>
            <w:r>
              <w:rPr>
                <w:rStyle w:val="16"/>
                <w:rFonts w:eastAsia="宋体"/>
                <w:lang w:val="en-US" w:eastAsia="zh-CN" w:bidi="ar"/>
              </w:rPr>
              <w:t>2</w:t>
            </w:r>
            <w:r>
              <w:rPr>
                <w:rFonts w:hint="default" w:ascii="Times New Roman" w:hAnsi="Times New Roman" w:eastAsia="宋体" w:cs="Times New Roman"/>
                <w:i w:val="0"/>
                <w:iCs w:val="0"/>
                <w:color w:val="000000"/>
                <w:kern w:val="0"/>
                <w:sz w:val="20"/>
                <w:szCs w:val="20"/>
                <w:u w:val="none"/>
                <w:lang w:val="en-US" w:eastAsia="zh-CN" w:bidi="ar"/>
              </w:rPr>
              <w:t>)</w:t>
            </w:r>
          </w:p>
        </w:tc>
        <w:tc>
          <w:tcPr>
            <w:tcW w:w="10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土地使用证编号</w:t>
            </w: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2"/>
                <w:sz w:val="20"/>
                <w:szCs w:val="20"/>
                <w:u w:val="none"/>
                <w:lang w:val="en-US" w:eastAsia="zh-CN" w:bidi="ar-SA"/>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9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罗平三号院土地</w:t>
            </w:r>
          </w:p>
        </w:tc>
        <w:tc>
          <w:tcPr>
            <w:tcW w:w="1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罗雄镇文笔路</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Arial Narrow" w:hAnsi="Arial Narrow" w:eastAsia="Arial Narrow" w:cs="Arial Narrow"/>
                <w:i w:val="0"/>
                <w:iCs w:val="0"/>
                <w:color w:val="000000"/>
                <w:kern w:val="2"/>
                <w:sz w:val="20"/>
                <w:szCs w:val="20"/>
                <w:u w:val="none"/>
                <w:lang w:val="en-US" w:eastAsia="zh-CN" w:bidi="ar-SA"/>
              </w:rPr>
            </w:pPr>
            <w:r>
              <w:rPr>
                <w:rFonts w:hint="default" w:ascii="Arial Narrow" w:hAnsi="Arial Narrow" w:eastAsia="Arial Narrow" w:cs="Arial Narrow"/>
                <w:i w:val="0"/>
                <w:iCs w:val="0"/>
                <w:color w:val="000000"/>
                <w:kern w:val="0"/>
                <w:sz w:val="20"/>
                <w:szCs w:val="20"/>
                <w:u w:val="none"/>
                <w:lang w:val="en-US" w:eastAsia="zh-CN" w:bidi="ar"/>
              </w:rPr>
              <w:t xml:space="preserve"> 8,598.15 </w:t>
            </w:r>
          </w:p>
        </w:tc>
        <w:tc>
          <w:tcPr>
            <w:tcW w:w="10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罗国用（</w:t>
            </w:r>
            <w:r>
              <w:rPr>
                <w:rFonts w:ascii="Arial Narrow" w:hAnsi="Arial Narrow" w:eastAsia="Arial Narrow" w:cs="Arial Narrow"/>
                <w:i w:val="0"/>
                <w:iCs w:val="0"/>
                <w:color w:val="000000"/>
                <w:kern w:val="0"/>
                <w:sz w:val="20"/>
                <w:szCs w:val="20"/>
                <w:u w:val="none"/>
                <w:lang w:val="en-US" w:eastAsia="zh-CN" w:bidi="ar"/>
              </w:rPr>
              <w:t>2008</w:t>
            </w:r>
            <w:r>
              <w:rPr>
                <w:rFonts w:hint="eastAsia" w:ascii="宋体" w:hAnsi="宋体" w:eastAsia="宋体" w:cs="宋体"/>
                <w:i w:val="0"/>
                <w:iCs w:val="0"/>
                <w:color w:val="000000"/>
                <w:kern w:val="0"/>
                <w:sz w:val="20"/>
                <w:szCs w:val="20"/>
                <w:u w:val="none"/>
                <w:lang w:val="en-US" w:eastAsia="zh-CN" w:bidi="ar"/>
              </w:rPr>
              <w:t>）第</w:t>
            </w:r>
            <w:r>
              <w:rPr>
                <w:rFonts w:ascii="Arial Narrow" w:hAnsi="Arial Narrow" w:eastAsia="Arial Narrow" w:cs="Arial Narrow"/>
                <w:i w:val="0"/>
                <w:iCs w:val="0"/>
                <w:color w:val="000000"/>
                <w:kern w:val="0"/>
                <w:sz w:val="20"/>
                <w:szCs w:val="20"/>
                <w:u w:val="none"/>
                <w:lang w:val="en-US" w:eastAsia="zh-CN" w:bidi="ar"/>
              </w:rPr>
              <w:t xml:space="preserve"> 159</w:t>
            </w:r>
            <w:r>
              <w:rPr>
                <w:rFonts w:hint="eastAsia" w:ascii="宋体" w:hAnsi="宋体" w:eastAsia="宋体" w:cs="宋体"/>
                <w:i w:val="0"/>
                <w:iCs w:val="0"/>
                <w:color w:val="000000"/>
                <w:kern w:val="0"/>
                <w:sz w:val="20"/>
                <w:szCs w:val="20"/>
                <w:u w:val="none"/>
                <w:lang w:val="en-US" w:eastAsia="zh-CN" w:bidi="ar"/>
              </w:rPr>
              <w:t>号</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宋体" w:hAnsi="宋体" w:eastAsia="宋体" w:cs="宋体"/>
                <w:i w:val="0"/>
                <w:iCs w:val="0"/>
                <w:color w:val="000000"/>
                <w:kern w:val="2"/>
                <w:sz w:val="20"/>
                <w:szCs w:val="20"/>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2</w:t>
            </w:r>
          </w:p>
        </w:tc>
        <w:tc>
          <w:tcPr>
            <w:tcW w:w="9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乃格二号院土地</w:t>
            </w:r>
          </w:p>
        </w:tc>
        <w:tc>
          <w:tcPr>
            <w:tcW w:w="1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罗平县鲁布革乡乃格村</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Arial Narrow" w:hAnsi="Arial Narrow" w:eastAsia="Arial Narrow" w:cs="Arial Narrow"/>
                <w:i w:val="0"/>
                <w:iCs w:val="0"/>
                <w:color w:val="000000"/>
                <w:kern w:val="2"/>
                <w:sz w:val="20"/>
                <w:szCs w:val="20"/>
                <w:u w:val="none"/>
                <w:lang w:val="en-US" w:eastAsia="zh-CN" w:bidi="ar-SA"/>
              </w:rPr>
            </w:pPr>
            <w:r>
              <w:rPr>
                <w:rFonts w:hint="default" w:ascii="Arial Narrow" w:hAnsi="Arial Narrow" w:eastAsia="Arial Narrow" w:cs="Arial Narrow"/>
                <w:i w:val="0"/>
                <w:iCs w:val="0"/>
                <w:color w:val="000000"/>
                <w:kern w:val="0"/>
                <w:sz w:val="20"/>
                <w:szCs w:val="20"/>
                <w:u w:val="none"/>
                <w:lang w:val="en-US" w:eastAsia="zh-CN" w:bidi="ar"/>
              </w:rPr>
              <w:t xml:space="preserve"> 6,136.70 </w:t>
            </w:r>
          </w:p>
        </w:tc>
        <w:tc>
          <w:tcPr>
            <w:tcW w:w="10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2"/>
                <w:sz w:val="20"/>
                <w:szCs w:val="20"/>
                <w:u w:val="none"/>
                <w:lang w:val="en-US" w:eastAsia="zh-CN" w:bidi="ar-SA"/>
              </w:rPr>
            </w:pPr>
            <w:r>
              <w:rPr>
                <w:rFonts w:hint="default" w:ascii="Arial Narrow" w:hAnsi="Arial Narrow" w:eastAsia="Arial Narrow" w:cs="Arial Narrow"/>
                <w:i w:val="0"/>
                <w:iCs w:val="0"/>
                <w:color w:val="000000"/>
                <w:kern w:val="0"/>
                <w:sz w:val="20"/>
                <w:szCs w:val="20"/>
                <w:u w:val="none"/>
                <w:lang w:val="en-US" w:eastAsia="zh-CN" w:bidi="ar"/>
              </w:rPr>
              <w:t>罗国用（2010）第732号</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2"/>
                <w:sz w:val="20"/>
                <w:szCs w:val="20"/>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3</w:t>
            </w:r>
          </w:p>
        </w:tc>
        <w:tc>
          <w:tcPr>
            <w:tcW w:w="9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乃格三号院</w:t>
            </w:r>
          </w:p>
        </w:tc>
        <w:tc>
          <w:tcPr>
            <w:tcW w:w="1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罗平县鲁布革乡乃格村</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Arial Narrow" w:hAnsi="Arial Narrow" w:eastAsia="Arial Narrow" w:cs="Arial Narrow"/>
                <w:i w:val="0"/>
                <w:iCs w:val="0"/>
                <w:color w:val="000000"/>
                <w:kern w:val="2"/>
                <w:sz w:val="20"/>
                <w:szCs w:val="20"/>
                <w:u w:val="none"/>
                <w:lang w:val="en-US" w:eastAsia="zh-CN" w:bidi="ar-SA"/>
              </w:rPr>
            </w:pPr>
            <w:r>
              <w:rPr>
                <w:rFonts w:hint="default" w:ascii="Arial Narrow" w:hAnsi="Arial Narrow" w:eastAsia="Arial Narrow" w:cs="Arial Narrow"/>
                <w:i w:val="0"/>
                <w:iCs w:val="0"/>
                <w:color w:val="000000"/>
                <w:kern w:val="0"/>
                <w:sz w:val="20"/>
                <w:szCs w:val="20"/>
                <w:u w:val="none"/>
                <w:lang w:val="en-US" w:eastAsia="zh-CN" w:bidi="ar"/>
              </w:rPr>
              <w:t xml:space="preserve"> 4,006.80 </w:t>
            </w:r>
          </w:p>
        </w:tc>
        <w:tc>
          <w:tcPr>
            <w:tcW w:w="10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2"/>
                <w:sz w:val="20"/>
                <w:szCs w:val="20"/>
                <w:u w:val="none"/>
                <w:lang w:val="en-US" w:eastAsia="zh-CN" w:bidi="ar-SA"/>
              </w:rPr>
            </w:pPr>
            <w:r>
              <w:rPr>
                <w:rFonts w:hint="default" w:ascii="Arial Narrow" w:hAnsi="Arial Narrow" w:eastAsia="Arial Narrow" w:cs="Arial Narrow"/>
                <w:i w:val="0"/>
                <w:iCs w:val="0"/>
                <w:color w:val="000000"/>
                <w:kern w:val="0"/>
                <w:sz w:val="20"/>
                <w:szCs w:val="20"/>
                <w:u w:val="none"/>
                <w:lang w:val="en-US" w:eastAsia="zh-CN" w:bidi="ar"/>
              </w:rPr>
              <w:t>罗国用（2010）第735号</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2"/>
                <w:sz w:val="20"/>
                <w:szCs w:val="20"/>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4</w:t>
            </w:r>
          </w:p>
        </w:tc>
        <w:tc>
          <w:tcPr>
            <w:tcW w:w="9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乃格加油站土地</w:t>
            </w:r>
          </w:p>
        </w:tc>
        <w:tc>
          <w:tcPr>
            <w:tcW w:w="1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罗平县鲁布革乡乃格村</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Arial Narrow" w:hAnsi="Arial Narrow" w:eastAsia="Arial Narrow" w:cs="Arial Narrow"/>
                <w:i w:val="0"/>
                <w:iCs w:val="0"/>
                <w:color w:val="000000"/>
                <w:kern w:val="2"/>
                <w:sz w:val="20"/>
                <w:szCs w:val="20"/>
                <w:u w:val="none"/>
                <w:lang w:val="en-US" w:eastAsia="zh-CN" w:bidi="ar-SA"/>
              </w:rPr>
            </w:pPr>
            <w:r>
              <w:rPr>
                <w:rFonts w:hint="default" w:ascii="Arial Narrow" w:hAnsi="Arial Narrow" w:eastAsia="Arial Narrow" w:cs="Arial Narrow"/>
                <w:i w:val="0"/>
                <w:iCs w:val="0"/>
                <w:color w:val="000000"/>
                <w:kern w:val="0"/>
                <w:sz w:val="20"/>
                <w:szCs w:val="20"/>
                <w:u w:val="none"/>
                <w:lang w:val="en-US" w:eastAsia="zh-CN" w:bidi="ar"/>
              </w:rPr>
              <w:t xml:space="preserve"> 4,366.40 </w:t>
            </w:r>
          </w:p>
        </w:tc>
        <w:tc>
          <w:tcPr>
            <w:tcW w:w="10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2"/>
                <w:sz w:val="20"/>
                <w:szCs w:val="20"/>
                <w:u w:val="none"/>
                <w:lang w:val="en-US" w:eastAsia="zh-CN" w:bidi="ar-SA"/>
              </w:rPr>
            </w:pPr>
            <w:r>
              <w:rPr>
                <w:rFonts w:hint="default" w:ascii="Arial Narrow" w:hAnsi="Arial Narrow" w:eastAsia="Arial Narrow" w:cs="Arial Narrow"/>
                <w:i w:val="0"/>
                <w:iCs w:val="0"/>
                <w:color w:val="000000"/>
                <w:kern w:val="0"/>
                <w:sz w:val="20"/>
                <w:szCs w:val="20"/>
                <w:u w:val="none"/>
                <w:lang w:val="en-US" w:eastAsia="zh-CN" w:bidi="ar"/>
              </w:rPr>
              <w:t>罗国用（2010）第734号</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2"/>
                <w:sz w:val="20"/>
                <w:szCs w:val="20"/>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5</w:t>
            </w:r>
          </w:p>
        </w:tc>
        <w:tc>
          <w:tcPr>
            <w:tcW w:w="9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乃格桥头水泵房土地</w:t>
            </w:r>
          </w:p>
        </w:tc>
        <w:tc>
          <w:tcPr>
            <w:tcW w:w="1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罗平县鲁布革乡乃格村</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Arial Narrow" w:hAnsi="Arial Narrow" w:eastAsia="Arial Narrow" w:cs="Arial Narrow"/>
                <w:i w:val="0"/>
                <w:iCs w:val="0"/>
                <w:color w:val="000000"/>
                <w:kern w:val="2"/>
                <w:sz w:val="20"/>
                <w:szCs w:val="20"/>
                <w:u w:val="none"/>
                <w:lang w:val="en-US" w:eastAsia="zh-CN" w:bidi="ar-SA"/>
              </w:rPr>
            </w:pPr>
            <w:r>
              <w:rPr>
                <w:rFonts w:hint="default" w:ascii="Arial Narrow" w:hAnsi="Arial Narrow" w:eastAsia="Arial Narrow" w:cs="Arial Narrow"/>
                <w:i w:val="0"/>
                <w:iCs w:val="0"/>
                <w:color w:val="000000"/>
                <w:kern w:val="0"/>
                <w:sz w:val="20"/>
                <w:szCs w:val="20"/>
                <w:u w:val="none"/>
                <w:lang w:val="en-US" w:eastAsia="zh-CN" w:bidi="ar"/>
              </w:rPr>
              <w:t xml:space="preserve"> 1,923.00 </w:t>
            </w:r>
          </w:p>
        </w:tc>
        <w:tc>
          <w:tcPr>
            <w:tcW w:w="10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2"/>
                <w:sz w:val="20"/>
                <w:szCs w:val="20"/>
                <w:u w:val="none"/>
                <w:lang w:val="en-US" w:eastAsia="zh-CN" w:bidi="ar-SA"/>
              </w:rPr>
            </w:pPr>
            <w:r>
              <w:rPr>
                <w:rFonts w:hint="default" w:ascii="Arial Narrow" w:hAnsi="Arial Narrow" w:eastAsia="Arial Narrow" w:cs="Arial Narrow"/>
                <w:i w:val="0"/>
                <w:iCs w:val="0"/>
                <w:color w:val="000000"/>
                <w:kern w:val="0"/>
                <w:sz w:val="20"/>
                <w:szCs w:val="20"/>
                <w:u w:val="none"/>
                <w:lang w:val="en-US" w:eastAsia="zh-CN" w:bidi="ar"/>
              </w:rPr>
              <w:t>罗国用（2010）第730号</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2"/>
                <w:sz w:val="20"/>
                <w:szCs w:val="20"/>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6</w:t>
            </w:r>
          </w:p>
        </w:tc>
        <w:tc>
          <w:tcPr>
            <w:tcW w:w="9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乃格一号院—1号土地</w:t>
            </w:r>
          </w:p>
        </w:tc>
        <w:tc>
          <w:tcPr>
            <w:tcW w:w="1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罗平县鲁布革乡乃格村</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Arial Narrow" w:hAnsi="Arial Narrow" w:eastAsia="Arial Narrow" w:cs="Arial Narrow"/>
                <w:i w:val="0"/>
                <w:iCs w:val="0"/>
                <w:color w:val="000000"/>
                <w:kern w:val="2"/>
                <w:sz w:val="20"/>
                <w:szCs w:val="20"/>
                <w:u w:val="none"/>
                <w:lang w:val="en-US" w:eastAsia="zh-CN" w:bidi="ar-SA"/>
              </w:rPr>
            </w:pPr>
            <w:r>
              <w:rPr>
                <w:rFonts w:hint="default" w:ascii="Arial Narrow" w:hAnsi="Arial Narrow" w:eastAsia="Arial Narrow" w:cs="Arial Narrow"/>
                <w:i w:val="0"/>
                <w:iCs w:val="0"/>
                <w:color w:val="000000"/>
                <w:kern w:val="0"/>
                <w:sz w:val="20"/>
                <w:szCs w:val="20"/>
                <w:u w:val="none"/>
                <w:lang w:val="en-US" w:eastAsia="zh-CN" w:bidi="ar"/>
              </w:rPr>
              <w:t xml:space="preserve"> 2,195.40 </w:t>
            </w:r>
          </w:p>
        </w:tc>
        <w:tc>
          <w:tcPr>
            <w:tcW w:w="10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2"/>
                <w:sz w:val="20"/>
                <w:szCs w:val="20"/>
                <w:u w:val="none"/>
                <w:lang w:val="en-US" w:eastAsia="zh-CN" w:bidi="ar-SA"/>
              </w:rPr>
            </w:pPr>
            <w:bookmarkStart w:id="151" w:name="_GoBack"/>
            <w:r>
              <w:rPr>
                <w:rFonts w:hint="default" w:ascii="Arial Narrow" w:hAnsi="Arial Narrow" w:eastAsia="Arial Narrow" w:cs="Arial Narrow"/>
                <w:i w:val="0"/>
                <w:iCs w:val="0"/>
                <w:color w:val="000000"/>
                <w:kern w:val="0"/>
                <w:sz w:val="20"/>
                <w:szCs w:val="20"/>
                <w:u w:val="none"/>
                <w:lang w:val="en-US" w:eastAsia="zh-CN" w:bidi="ar"/>
              </w:rPr>
              <w:t>罗国用（2010）第733号</w:t>
            </w:r>
            <w:bookmarkEnd w:id="151"/>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2"/>
                <w:sz w:val="20"/>
                <w:szCs w:val="20"/>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二</w:t>
            </w:r>
          </w:p>
        </w:tc>
        <w:tc>
          <w:tcPr>
            <w:tcW w:w="9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地上建筑物</w:t>
            </w:r>
          </w:p>
        </w:tc>
        <w:tc>
          <w:tcPr>
            <w:tcW w:w="1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Arial Narrow" w:hAnsi="Arial Narrow" w:eastAsia="Arial Narrow" w:cs="Arial Narrow"/>
                <w:i w:val="0"/>
                <w:iCs w:val="0"/>
                <w:color w:val="000000"/>
                <w:kern w:val="0"/>
                <w:sz w:val="20"/>
                <w:szCs w:val="20"/>
                <w:u w:val="none"/>
                <w:lang w:val="en-US" w:eastAsia="zh-CN" w:bidi="ar"/>
              </w:rPr>
            </w:pPr>
          </w:p>
        </w:tc>
        <w:tc>
          <w:tcPr>
            <w:tcW w:w="10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Narrow" w:hAnsi="Arial Narrow" w:eastAsia="Arial Narrow" w:cs="Arial Narrow"/>
                <w:i w:val="0"/>
                <w:iCs w:val="0"/>
                <w:color w:val="000000"/>
                <w:sz w:val="20"/>
                <w:szCs w:val="20"/>
                <w:u w:val="none"/>
              </w:rPr>
            </w:pP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序号</w:t>
            </w:r>
          </w:p>
        </w:tc>
        <w:tc>
          <w:tcPr>
            <w:tcW w:w="9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建筑物名称</w:t>
            </w:r>
          </w:p>
        </w:tc>
        <w:tc>
          <w:tcPr>
            <w:tcW w:w="1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坐落位置</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面积</w:t>
            </w:r>
            <w:r>
              <w:rPr>
                <w:rFonts w:hint="default" w:ascii="Times New Roman" w:hAnsi="Times New Roman" w:eastAsia="宋体" w:cs="Times New Roman"/>
                <w:i w:val="0"/>
                <w:iCs w:val="0"/>
                <w:color w:val="000000"/>
                <w:kern w:val="0"/>
                <w:sz w:val="20"/>
                <w:szCs w:val="20"/>
                <w:u w:val="none"/>
                <w:lang w:val="en-US" w:eastAsia="zh-CN" w:bidi="ar"/>
              </w:rPr>
              <w:t>(m</w:t>
            </w:r>
            <w:r>
              <w:rPr>
                <w:rStyle w:val="16"/>
                <w:rFonts w:eastAsia="宋体"/>
                <w:lang w:val="en-US" w:eastAsia="zh-CN" w:bidi="ar"/>
              </w:rPr>
              <w:t>2</w:t>
            </w:r>
            <w:r>
              <w:rPr>
                <w:rFonts w:hint="default" w:ascii="Times New Roman" w:hAnsi="Times New Roman" w:eastAsia="宋体" w:cs="Times New Roman"/>
                <w:i w:val="0"/>
                <w:iCs w:val="0"/>
                <w:color w:val="000000"/>
                <w:kern w:val="0"/>
                <w:sz w:val="20"/>
                <w:szCs w:val="20"/>
                <w:u w:val="none"/>
                <w:lang w:val="en-US" w:eastAsia="zh-CN" w:bidi="ar"/>
              </w:rPr>
              <w:t>)</w:t>
            </w:r>
          </w:p>
        </w:tc>
        <w:tc>
          <w:tcPr>
            <w:tcW w:w="10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Arial Narrow" w:hAnsi="Arial Narrow" w:eastAsia="宋体" w:cs="Arial Narrow"/>
                <w:i w:val="0"/>
                <w:iCs w:val="0"/>
                <w:color w:val="000000"/>
                <w:sz w:val="20"/>
                <w:szCs w:val="20"/>
                <w:u w:val="none"/>
                <w:lang w:val="en-US" w:eastAsia="zh-CN"/>
              </w:rPr>
            </w:pPr>
            <w:r>
              <w:rPr>
                <w:rFonts w:hint="eastAsia" w:ascii="Arial Narrow" w:hAnsi="Arial Narrow" w:eastAsia="宋体" w:cs="Arial Narrow"/>
                <w:i w:val="0"/>
                <w:iCs w:val="0"/>
                <w:color w:val="000000"/>
                <w:sz w:val="20"/>
                <w:szCs w:val="20"/>
                <w:u w:val="none"/>
                <w:lang w:val="en-US" w:eastAsia="zh-CN"/>
              </w:rPr>
              <w:t>房屋所有权证编号</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所在宗地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1</w:t>
            </w:r>
          </w:p>
        </w:tc>
        <w:tc>
          <w:tcPr>
            <w:tcW w:w="9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Arial Narrow" w:hAnsi="Arial Narrow" w:eastAsia="Arial Narrow" w:cs="Arial Narrow"/>
                <w:i w:val="0"/>
                <w:iCs w:val="0"/>
                <w:color w:val="000000"/>
                <w:kern w:val="0"/>
                <w:sz w:val="20"/>
                <w:szCs w:val="20"/>
                <w:highlight w:val="none"/>
                <w:u w:val="none"/>
                <w:lang w:val="en-US" w:eastAsia="zh-CN" w:bidi="ar"/>
              </w:rPr>
            </w:pPr>
            <w:r>
              <w:rPr>
                <w:rFonts w:hint="eastAsia" w:ascii="Arial Narrow" w:hAnsi="Arial Narrow" w:eastAsia="Arial Narrow" w:cs="Arial Narrow"/>
                <w:i w:val="0"/>
                <w:iCs w:val="0"/>
                <w:color w:val="000000"/>
                <w:kern w:val="0"/>
                <w:sz w:val="20"/>
                <w:szCs w:val="20"/>
                <w:highlight w:val="none"/>
                <w:u w:val="none"/>
                <w:lang w:val="en-US" w:eastAsia="zh-CN" w:bidi="ar"/>
              </w:rPr>
              <w:t>罗平检修楼</w:t>
            </w:r>
          </w:p>
        </w:tc>
        <w:tc>
          <w:tcPr>
            <w:tcW w:w="1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罗平县罗雄镇文笔路（鲁电3号院）</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 xml:space="preserve"> 1,762.02 </w:t>
            </w:r>
          </w:p>
        </w:tc>
        <w:tc>
          <w:tcPr>
            <w:tcW w:w="10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罗房权证罗雄字第010158号</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罗平三号院土地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2</w:t>
            </w:r>
          </w:p>
        </w:tc>
        <w:tc>
          <w:tcPr>
            <w:tcW w:w="9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Arial Narrow" w:hAnsi="Arial Narrow" w:eastAsia="Arial Narrow" w:cs="Arial Narrow"/>
                <w:i w:val="0"/>
                <w:iCs w:val="0"/>
                <w:color w:val="000000"/>
                <w:kern w:val="0"/>
                <w:sz w:val="20"/>
                <w:szCs w:val="20"/>
                <w:highlight w:val="none"/>
                <w:u w:val="none"/>
                <w:lang w:val="en-US" w:eastAsia="zh-CN" w:bidi="ar"/>
              </w:rPr>
            </w:pPr>
            <w:r>
              <w:rPr>
                <w:rFonts w:hint="eastAsia" w:ascii="Arial Narrow" w:hAnsi="Arial Narrow" w:eastAsia="Arial Narrow" w:cs="Arial Narrow"/>
                <w:i w:val="0"/>
                <w:iCs w:val="0"/>
                <w:color w:val="000000"/>
                <w:kern w:val="0"/>
                <w:sz w:val="20"/>
                <w:szCs w:val="20"/>
                <w:highlight w:val="none"/>
                <w:u w:val="none"/>
                <w:lang w:val="en-US" w:eastAsia="zh-CN" w:bidi="ar"/>
              </w:rPr>
              <w:t>罗平修配间</w:t>
            </w:r>
          </w:p>
        </w:tc>
        <w:tc>
          <w:tcPr>
            <w:tcW w:w="1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罗平县罗雄镇文笔路（鲁电3号院）</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 xml:space="preserve"> 214.91 </w:t>
            </w:r>
          </w:p>
        </w:tc>
        <w:tc>
          <w:tcPr>
            <w:tcW w:w="10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罗房权证罗雄字第010159号</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罗平三号院土地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7" w:hRule="atLeast"/>
        </w:trPr>
        <w:tc>
          <w:tcPr>
            <w:tcW w:w="4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3</w:t>
            </w:r>
          </w:p>
        </w:tc>
        <w:tc>
          <w:tcPr>
            <w:tcW w:w="9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highlight w:val="none"/>
                <w:u w:val="none"/>
                <w:lang w:val="en-US" w:eastAsia="zh-CN" w:bidi="ar"/>
              </w:rPr>
            </w:pPr>
            <w:r>
              <w:rPr>
                <w:rFonts w:hint="eastAsia" w:ascii="Arial Narrow" w:hAnsi="Arial Narrow" w:eastAsia="Arial Narrow" w:cs="Arial Narrow"/>
                <w:i w:val="0"/>
                <w:iCs w:val="0"/>
                <w:color w:val="000000"/>
                <w:kern w:val="0"/>
                <w:sz w:val="20"/>
                <w:szCs w:val="20"/>
                <w:highlight w:val="none"/>
                <w:u w:val="none"/>
                <w:lang w:val="en-US" w:eastAsia="zh-CN" w:bidi="ar"/>
              </w:rPr>
              <w:t>汽修车间</w:t>
            </w:r>
          </w:p>
        </w:tc>
        <w:tc>
          <w:tcPr>
            <w:tcW w:w="1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罗平县罗雄镇文笔路（鲁电3号院）</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1286.67</w:t>
            </w:r>
          </w:p>
        </w:tc>
        <w:tc>
          <w:tcPr>
            <w:tcW w:w="10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罗房权证罗雄字第010160号</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罗平三号院土地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highlight w:val="none"/>
                <w:u w:val="none"/>
                <w:lang w:val="en-US" w:eastAsia="zh-CN" w:bidi="ar"/>
              </w:rPr>
            </w:pPr>
            <w:r>
              <w:rPr>
                <w:rFonts w:hint="eastAsia" w:ascii="Arial Narrow" w:hAnsi="Arial Narrow" w:eastAsia="Arial Narrow" w:cs="Arial Narrow"/>
                <w:i w:val="0"/>
                <w:iCs w:val="0"/>
                <w:color w:val="000000"/>
                <w:kern w:val="0"/>
                <w:sz w:val="20"/>
                <w:szCs w:val="20"/>
                <w:highlight w:val="none"/>
                <w:u w:val="none"/>
                <w:lang w:val="en-US" w:eastAsia="zh-CN" w:bidi="ar"/>
              </w:rPr>
              <w:t>4</w:t>
            </w:r>
          </w:p>
        </w:tc>
        <w:tc>
          <w:tcPr>
            <w:tcW w:w="9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highlight w:val="none"/>
                <w:u w:val="none"/>
                <w:lang w:val="en-US" w:eastAsia="zh-CN" w:bidi="ar"/>
              </w:rPr>
            </w:pPr>
            <w:r>
              <w:rPr>
                <w:rFonts w:hint="eastAsia" w:ascii="Arial Narrow" w:hAnsi="Arial Narrow" w:eastAsia="Arial Narrow" w:cs="Arial Narrow"/>
                <w:i w:val="0"/>
                <w:iCs w:val="0"/>
                <w:color w:val="000000"/>
                <w:kern w:val="0"/>
                <w:sz w:val="20"/>
                <w:szCs w:val="20"/>
                <w:highlight w:val="none"/>
                <w:u w:val="none"/>
                <w:lang w:val="en-US" w:eastAsia="zh-CN" w:bidi="ar"/>
              </w:rPr>
              <w:t>鲁电大厦（鲁布革大酒店）</w:t>
            </w:r>
          </w:p>
        </w:tc>
        <w:tc>
          <w:tcPr>
            <w:tcW w:w="12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highlight w:val="none"/>
                <w:u w:val="none"/>
                <w:lang w:val="en-US" w:eastAsia="zh-CN" w:bidi="ar"/>
              </w:rPr>
            </w:pPr>
            <w:r>
              <w:rPr>
                <w:rFonts w:hint="eastAsia" w:ascii="Arial Narrow" w:hAnsi="Arial Narrow" w:eastAsia="Arial Narrow" w:cs="Arial Narrow"/>
                <w:i w:val="0"/>
                <w:iCs w:val="0"/>
                <w:color w:val="000000"/>
                <w:kern w:val="0"/>
                <w:sz w:val="20"/>
                <w:szCs w:val="20"/>
                <w:highlight w:val="none"/>
                <w:u w:val="none"/>
                <w:lang w:val="en-US" w:eastAsia="zh-CN" w:bidi="ar"/>
              </w:rPr>
              <w:t>罗平县罗雄镇文笔路（鲁电3号院）</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Arial Narrow" w:hAnsi="Arial Narrow" w:eastAsia="Arial Narrow" w:cs="Arial Narrow"/>
                <w:i w:val="0"/>
                <w:iCs w:val="0"/>
                <w:color w:val="000000"/>
                <w:kern w:val="0"/>
                <w:sz w:val="20"/>
                <w:szCs w:val="20"/>
                <w:u w:val="none"/>
                <w:lang w:val="en-US" w:eastAsia="zh-CN" w:bidi="ar"/>
              </w:rPr>
              <w:t>约5785m</w:t>
            </w:r>
            <w:r>
              <w:rPr>
                <w:rFonts w:hint="eastAsia" w:ascii="Arial Narrow" w:hAnsi="Arial Narrow" w:eastAsia="Arial Narrow" w:cs="Arial Narrow"/>
                <w:i w:val="0"/>
                <w:iCs w:val="0"/>
                <w:color w:val="000000"/>
                <w:kern w:val="0"/>
                <w:sz w:val="20"/>
                <w:szCs w:val="20"/>
                <w:u w:val="none"/>
                <w:vertAlign w:val="superscript"/>
                <w:lang w:val="en-US" w:eastAsia="zh-CN" w:bidi="ar"/>
              </w:rPr>
              <w:t>2</w:t>
            </w:r>
          </w:p>
        </w:tc>
        <w:tc>
          <w:tcPr>
            <w:tcW w:w="10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Arial Narrow" w:hAnsi="Arial Narrow" w:eastAsia="宋体" w:cs="Arial Narrow"/>
                <w:i w:val="0"/>
                <w:iCs w:val="0"/>
                <w:color w:val="000000"/>
                <w:sz w:val="20"/>
                <w:szCs w:val="20"/>
                <w:u w:val="none"/>
                <w:lang w:val="en-US" w:eastAsia="zh-CN"/>
              </w:rPr>
            </w:pPr>
            <w:r>
              <w:rPr>
                <w:rFonts w:hint="eastAsia" w:ascii="Arial Narrow" w:hAnsi="Arial Narrow" w:eastAsia="宋体" w:cs="Arial Narrow"/>
                <w:i w:val="0"/>
                <w:iCs w:val="0"/>
                <w:color w:val="000000"/>
                <w:sz w:val="20"/>
                <w:szCs w:val="20"/>
                <w:u w:val="none"/>
                <w:lang w:val="en-US" w:eastAsia="zh-CN"/>
              </w:rPr>
              <w:t>无</w:t>
            </w:r>
          </w:p>
        </w:tc>
        <w:tc>
          <w:tcPr>
            <w:tcW w:w="6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Arial Narrow" w:hAnsi="Arial Narrow" w:eastAsia="Arial Narrow" w:cs="Arial Narrow"/>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罗平三号院土地</w:t>
            </w:r>
          </w:p>
        </w:tc>
      </w:tr>
    </w:tbl>
    <w:p>
      <w:pPr>
        <w:spacing w:line="360" w:lineRule="auto"/>
        <w:ind w:firstLine="400" w:firstLineChars="200"/>
        <w:rPr>
          <w:rFonts w:hint="default" w:asciiTheme="minorEastAsia" w:hAnsiTheme="minorEastAsia"/>
          <w:b/>
          <w:sz w:val="28"/>
          <w:szCs w:val="28"/>
          <w:lang w:val="en-US" w:eastAsia="zh-CN"/>
        </w:rPr>
      </w:pPr>
      <w:r>
        <w:rPr>
          <w:rFonts w:hint="eastAsia" w:ascii="Arial Narrow" w:hAnsi="Arial Narrow" w:eastAsia="宋体" w:cs="Arial Narrow"/>
          <w:i w:val="0"/>
          <w:iCs w:val="0"/>
          <w:color w:val="000000"/>
          <w:sz w:val="20"/>
          <w:szCs w:val="20"/>
          <w:u w:val="none"/>
          <w:lang w:val="en-US" w:eastAsia="zh-CN"/>
        </w:rPr>
        <w:t>注：原则上本次测绘面积应与现有土地使用证、</w:t>
      </w:r>
      <w:r>
        <w:rPr>
          <w:rFonts w:hint="eastAsia" w:ascii="Arial Narrow" w:hAnsi="Arial Narrow" w:eastAsia="宋体" w:cs="Arial Narrow"/>
          <w:i w:val="0"/>
          <w:iCs w:val="0"/>
          <w:color w:val="000000"/>
          <w:sz w:val="20"/>
          <w:szCs w:val="20"/>
          <w:u w:val="none"/>
          <w:lang w:val="en-US" w:eastAsia="zh-CN"/>
        </w:rPr>
        <w:t>房屋所有权证上的证载面积保持一致；鲁电大厦的面积可参考建设施工图纸，以本次测绘为准。</w:t>
      </w:r>
    </w:p>
    <w:p>
      <w:pPr>
        <w:spacing w:line="360" w:lineRule="auto"/>
        <w:ind w:firstLine="562" w:firstLineChars="200"/>
        <w:rPr>
          <w:rFonts w:hint="eastAsia" w:asciiTheme="minorEastAsia" w:hAnsiTheme="minorEastAsia"/>
          <w:b/>
          <w:sz w:val="28"/>
          <w:szCs w:val="28"/>
        </w:rPr>
      </w:pPr>
      <w:r>
        <w:rPr>
          <w:rFonts w:hint="eastAsia" w:asciiTheme="minorEastAsia" w:hAnsiTheme="minorEastAsia"/>
          <w:b/>
          <w:sz w:val="28"/>
          <w:szCs w:val="28"/>
          <w:lang w:val="en-US" w:eastAsia="zh-CN"/>
        </w:rPr>
        <w:t>三</w:t>
      </w:r>
      <w:r>
        <w:rPr>
          <w:rFonts w:hint="eastAsia" w:asciiTheme="minorEastAsia" w:hAnsiTheme="minorEastAsia"/>
          <w:b/>
          <w:sz w:val="28"/>
          <w:szCs w:val="28"/>
        </w:rPr>
        <w:t>、</w:t>
      </w:r>
      <w:r>
        <w:rPr>
          <w:rFonts w:hint="eastAsia" w:asciiTheme="minorEastAsia" w:hAnsiTheme="minorEastAsia"/>
          <w:b/>
          <w:sz w:val="28"/>
          <w:szCs w:val="28"/>
          <w:lang w:val="en-US" w:eastAsia="zh-CN"/>
        </w:rPr>
        <w:t>技</w:t>
      </w:r>
      <w:r>
        <w:rPr>
          <w:rFonts w:hint="eastAsia" w:asciiTheme="minorEastAsia" w:hAnsiTheme="minorEastAsia"/>
          <w:b/>
          <w:sz w:val="28"/>
          <w:szCs w:val="28"/>
        </w:rPr>
        <w:t>术规范引用文件要求（包括但不限于）</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（1）《中华人民共和国行政区划代码》（GB/T 2260-2007）；</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（2）《县级以下行政区划代码编制规则》(GB/T 10114-2003)；</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（3）《基础地理信息要素分类与代码》（GB/T 13923-2006）；</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（4）《土地利用现状分类》（GB/T 21010-2017）；</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（5）《不动产登记数据库标准（试行）》；</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（6）《房产测量规范 第1单元:房产测量规定》（GB/T 17986.1-2000）；</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（7）《房产测量规范 第2单元:房产图图式》（GB/T 17986.2-2000）；</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（8）《国家基本比例尺地形图分幅与编号》（GB/T 13989-2012）</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（9）《地籍调查规程》（TD/T 1001-2012）；</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（10）《卫星定位城市测量技术规范》（CJJ/T 73-2010）；</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（11）《全球定位系统实时动态测量(RTK)技术规范》（CH/T 2009-2010）；</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（12）《国家基本比例尺地图图式第1部分∶1∶500 1∶1000 1∶2000 地形图图式》（GB/T 20257.1-2017）；</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（13）《测绘成果质量检查与验收》（GB/T 24356-2009）；</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（14）《数字测绘成果质量检查与验收》（GB/T 18316-2008）；</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（15）《不动产权籍调查技术方案（试行）》；</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（16）《不动产权籍调查规程（征求意见稿）》；</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（17）《不动产单元设定与代码编制规则（试行）》；</w:t>
      </w:r>
    </w:p>
    <w:p>
      <w:pPr>
        <w:spacing w:line="360" w:lineRule="auto"/>
        <w:ind w:firstLine="480" w:firstLineChars="200"/>
        <w:rPr>
          <w:rFonts w:hint="eastAsia" w:ascii="宋体" w:hAnsi="宋体"/>
          <w:color w:val="auto"/>
          <w:sz w:val="24"/>
          <w:lang w:val="en-US" w:eastAsia="zh-CN"/>
        </w:rPr>
      </w:pPr>
      <w:r>
        <w:rPr>
          <w:rFonts w:hint="eastAsia" w:ascii="宋体" w:hAnsi="宋体"/>
          <w:color w:val="auto"/>
          <w:sz w:val="24"/>
          <w:lang w:val="en-US" w:eastAsia="zh-CN"/>
        </w:rPr>
        <w:t>（18）《不动产登记操作规范(试行)》（国土资规〔2016〕6 号）。</w:t>
      </w:r>
    </w:p>
    <w:p>
      <w:pPr>
        <w:spacing w:line="360" w:lineRule="auto"/>
        <w:ind w:firstLine="562" w:firstLineChars="200"/>
        <w:rPr>
          <w:rFonts w:ascii="宋体" w:hAnsi="宋体" w:eastAsia="宋体" w:cs="宋体"/>
          <w:b/>
          <w:sz w:val="28"/>
          <w:szCs w:val="28"/>
        </w:rPr>
      </w:pPr>
      <w:r>
        <w:rPr>
          <w:rFonts w:hint="eastAsia" w:ascii="宋体" w:hAnsi="宋体" w:eastAsia="宋体" w:cs="宋体"/>
          <w:b/>
          <w:sz w:val="28"/>
          <w:szCs w:val="28"/>
          <w:lang w:val="en-US" w:eastAsia="zh-CN"/>
        </w:rPr>
        <w:t>四</w:t>
      </w:r>
      <w:r>
        <w:rPr>
          <w:rFonts w:hint="eastAsia" w:ascii="宋体" w:hAnsi="宋体" w:eastAsia="宋体" w:cs="宋体"/>
          <w:b/>
          <w:sz w:val="28"/>
          <w:szCs w:val="28"/>
        </w:rPr>
        <w:t>、</w:t>
      </w:r>
      <w:r>
        <w:rPr>
          <w:rFonts w:hint="eastAsia" w:ascii="宋体" w:hAnsi="宋体" w:eastAsia="宋体" w:cs="宋体"/>
          <w:b/>
          <w:sz w:val="28"/>
          <w:szCs w:val="28"/>
          <w:lang w:val="en-US" w:eastAsia="zh-CN"/>
        </w:rPr>
        <w:t>测绘要求</w:t>
      </w:r>
    </w:p>
    <w:p>
      <w:pPr>
        <w:numPr>
          <w:ilvl w:val="0"/>
          <w:numId w:val="0"/>
        </w:numPr>
        <w:spacing w:line="360" w:lineRule="auto"/>
        <w:ind w:firstLine="480" w:firstLineChars="200"/>
        <w:rPr>
          <w:rFonts w:hint="eastAsia" w:ascii="宋体" w:hAnsi="宋体"/>
          <w:b w:val="0"/>
          <w:bCs w:val="0"/>
          <w:color w:val="000000"/>
          <w:sz w:val="24"/>
          <w:lang w:val="en-US" w:eastAsia="zh-CN"/>
        </w:rPr>
      </w:pPr>
      <w:bookmarkStart w:id="0" w:name="_Toc15419"/>
      <w:bookmarkStart w:id="1" w:name="_Toc13126753"/>
      <w:bookmarkStart w:id="2" w:name="_Toc323646908"/>
      <w:bookmarkStart w:id="3" w:name="_Toc323541978"/>
      <w:bookmarkStart w:id="4" w:name="_Toc323540623"/>
      <w:bookmarkStart w:id="5" w:name="_Toc323629823"/>
      <w:bookmarkStart w:id="6" w:name="_Toc9677"/>
      <w:r>
        <w:rPr>
          <w:rFonts w:hint="eastAsia" w:ascii="宋体" w:hAnsi="宋体"/>
          <w:b w:val="0"/>
          <w:bCs w:val="0"/>
          <w:color w:val="000000"/>
          <w:sz w:val="24"/>
          <w:lang w:val="en-US" w:eastAsia="zh-CN"/>
        </w:rPr>
        <w:t>1主要数学基础</w:t>
      </w:r>
      <w:bookmarkEnd w:id="0"/>
      <w:bookmarkEnd w:id="1"/>
      <w:bookmarkEnd w:id="2"/>
      <w:bookmarkEnd w:id="3"/>
      <w:bookmarkEnd w:id="4"/>
      <w:bookmarkEnd w:id="5"/>
      <w:bookmarkEnd w:id="6"/>
      <w:bookmarkStart w:id="7" w:name="_Toc202150454"/>
      <w:bookmarkStart w:id="8" w:name="_Toc199272126"/>
      <w:bookmarkStart w:id="9" w:name="_Toc194825573"/>
      <w:bookmarkStart w:id="10" w:name="_Toc194213303"/>
      <w:bookmarkStart w:id="11" w:name="_Toc194890671"/>
      <w:bookmarkStart w:id="12" w:name="_Toc195681259"/>
      <w:bookmarkStart w:id="13" w:name="_Toc201052311"/>
      <w:bookmarkStart w:id="14" w:name="_Toc205876365"/>
      <w:bookmarkStart w:id="15" w:name="_Toc199272005"/>
      <w:bookmarkStart w:id="16" w:name="_Toc205875963"/>
      <w:bookmarkStart w:id="17" w:name="_Toc194827625"/>
      <w:bookmarkStart w:id="18" w:name="_Toc194258847"/>
      <w:bookmarkStart w:id="19" w:name="_Toc194286124"/>
      <w:bookmarkStart w:id="20" w:name="_Toc194826506"/>
      <w:bookmarkStart w:id="21" w:name="_Toc194763940"/>
      <w:bookmarkStart w:id="22" w:name="_Toc194212456"/>
      <w:bookmarkStart w:id="23" w:name="_Toc194837099"/>
    </w:p>
    <w:p>
      <w:pPr>
        <w:numPr>
          <w:ilvl w:val="0"/>
          <w:numId w:val="0"/>
        </w:numPr>
        <w:spacing w:line="360" w:lineRule="auto"/>
        <w:ind w:firstLine="480" w:firstLineChars="200"/>
        <w:rPr>
          <w:rFonts w:hint="eastAsia" w:ascii="宋体" w:hAnsi="宋体"/>
          <w:b w:val="0"/>
          <w:bCs w:val="0"/>
          <w:color w:val="000000"/>
          <w:sz w:val="24"/>
          <w:lang w:val="en-US" w:eastAsia="zh-CN"/>
        </w:rPr>
      </w:pPr>
      <w:bookmarkStart w:id="24" w:name="_Toc323629824"/>
      <w:bookmarkStart w:id="25" w:name="_Toc323541979"/>
      <w:bookmarkStart w:id="26" w:name="_Toc29675"/>
      <w:bookmarkStart w:id="27" w:name="_Toc13126755"/>
      <w:bookmarkStart w:id="28" w:name="_Toc323646909"/>
      <w:bookmarkStart w:id="29" w:name="_Toc323540624"/>
      <w:bookmarkStart w:id="30" w:name="_Toc12664"/>
      <w:r>
        <w:rPr>
          <w:rFonts w:hint="eastAsia" w:ascii="宋体" w:hAnsi="宋体"/>
          <w:b w:val="0"/>
          <w:bCs w:val="0"/>
          <w:color w:val="000000"/>
          <w:sz w:val="24"/>
          <w:lang w:val="en-US" w:eastAsia="zh-CN"/>
        </w:rPr>
        <w:t>（1）平面坐标系统</w:t>
      </w:r>
      <w:bookmarkEnd w:id="24"/>
      <w:bookmarkEnd w:id="25"/>
      <w:bookmarkEnd w:id="26"/>
      <w:bookmarkEnd w:id="27"/>
      <w:bookmarkEnd w:id="28"/>
      <w:bookmarkEnd w:id="29"/>
      <w:bookmarkEnd w:id="30"/>
    </w:p>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Pr>
        <w:numPr>
          <w:ilvl w:val="0"/>
          <w:numId w:val="0"/>
        </w:numPr>
        <w:spacing w:line="360" w:lineRule="auto"/>
        <w:ind w:firstLine="480" w:firstLineChars="200"/>
        <w:rPr>
          <w:rFonts w:hint="eastAsia" w:ascii="宋体" w:hAnsi="宋体"/>
          <w:b w:val="0"/>
          <w:bCs w:val="0"/>
          <w:color w:val="000000"/>
          <w:sz w:val="24"/>
          <w:lang w:val="en-US" w:eastAsia="zh-CN"/>
        </w:rPr>
      </w:pPr>
      <w:bookmarkStart w:id="31" w:name="_Toc194258849"/>
      <w:bookmarkStart w:id="32" w:name="_Toc27967"/>
      <w:bookmarkStart w:id="33" w:name="_Toc205876367"/>
      <w:bookmarkStart w:id="34" w:name="_Toc194825575"/>
      <w:bookmarkStart w:id="35" w:name="_Toc323541982"/>
      <w:bookmarkStart w:id="36" w:name="_Toc194212458"/>
      <w:bookmarkStart w:id="37" w:name="_Toc205875965"/>
      <w:bookmarkStart w:id="38" w:name="_Toc194827627"/>
      <w:bookmarkStart w:id="39" w:name="_Toc17288"/>
      <w:bookmarkStart w:id="40" w:name="_Toc323540627"/>
      <w:bookmarkStart w:id="41" w:name="_Toc323646912"/>
      <w:bookmarkStart w:id="42" w:name="_Toc194837101"/>
      <w:bookmarkStart w:id="43" w:name="_Toc194890673"/>
      <w:bookmarkStart w:id="44" w:name="_Toc194286126"/>
      <w:bookmarkStart w:id="45" w:name="_Toc201052313"/>
      <w:bookmarkStart w:id="46" w:name="_Toc323629827"/>
      <w:bookmarkStart w:id="47" w:name="_Toc199272007"/>
      <w:bookmarkStart w:id="48" w:name="_Toc195681261"/>
      <w:bookmarkStart w:id="49" w:name="_Toc194763942"/>
      <w:bookmarkStart w:id="50" w:name="_Toc199272128"/>
      <w:bookmarkStart w:id="51" w:name="_Toc194213305"/>
      <w:bookmarkStart w:id="52" w:name="_Toc202150456"/>
      <w:bookmarkStart w:id="53" w:name="_Toc194826508"/>
      <w:r>
        <w:rPr>
          <w:rFonts w:hint="eastAsia" w:ascii="宋体" w:hAnsi="宋体"/>
          <w:b w:val="0"/>
          <w:bCs w:val="0"/>
          <w:color w:val="000000"/>
          <w:sz w:val="24"/>
          <w:lang w:val="en-US" w:eastAsia="zh-CN"/>
        </w:rPr>
        <w:t>根据自然资源部对不动产登记工作的相关要求，至2018年7月1日起全面使用2000国家大地坐标系统。所有具有空间位置的图形数据必须统一到2000国家大地坐标系或与2000国家大地坐标系有严密转换关系的地方坐标系，高程基准为1985国家高程基准。由于高海拔等原因，罗平县可采用与2000国家大地坐标系有严密转换关系的地方坐标系“2009罗平坐标系”，满足1:500地籍图测绘需要。汇交数据时提供CGCS2000国家大地坐标系成果，同时提供地方坐标系成果。</w:t>
      </w:r>
    </w:p>
    <w:p>
      <w:pPr>
        <w:numPr>
          <w:ilvl w:val="0"/>
          <w:numId w:val="0"/>
        </w:numPr>
        <w:spacing w:line="360" w:lineRule="auto"/>
        <w:ind w:firstLine="480" w:firstLineChars="200"/>
        <w:rPr>
          <w:rFonts w:hint="eastAsia" w:ascii="宋体" w:hAnsi="宋体"/>
          <w:b w:val="0"/>
          <w:bCs w:val="0"/>
          <w:color w:val="000000"/>
          <w:sz w:val="24"/>
          <w:lang w:val="en-US" w:eastAsia="zh-CN"/>
        </w:rPr>
      </w:pPr>
      <w:bookmarkStart w:id="54" w:name="_Toc13126756"/>
      <w:r>
        <w:rPr>
          <w:rFonts w:hint="eastAsia" w:ascii="宋体" w:hAnsi="宋体"/>
          <w:b w:val="0"/>
          <w:bCs w:val="0"/>
          <w:color w:val="000000"/>
          <w:sz w:val="24"/>
          <w:lang w:val="en-US" w:eastAsia="zh-CN"/>
        </w:rPr>
        <w:t>（2）高程系统</w:t>
      </w:r>
      <w:bookmarkEnd w:id="54"/>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采用1985国家高程基准。</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（3）比例尺</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测图比例尺采用1:500，制作宗地图则根据实际情况缩放。</w:t>
      </w:r>
    </w:p>
    <w:p>
      <w:pPr>
        <w:numPr>
          <w:ilvl w:val="0"/>
          <w:numId w:val="0"/>
        </w:numPr>
        <w:spacing w:line="360" w:lineRule="auto"/>
        <w:ind w:firstLine="480" w:firstLineChars="200"/>
        <w:rPr>
          <w:rFonts w:hint="eastAsia" w:ascii="宋体" w:hAnsi="宋体"/>
          <w:b w:val="0"/>
          <w:bCs w:val="0"/>
          <w:color w:val="000000"/>
          <w:sz w:val="24"/>
          <w:lang w:val="en-US" w:eastAsia="zh-CN"/>
        </w:rPr>
      </w:pPr>
      <w:bookmarkStart w:id="55" w:name="_Toc13126757"/>
      <w:r>
        <w:rPr>
          <w:rFonts w:hint="eastAsia" w:ascii="宋体" w:hAnsi="宋体"/>
          <w:b w:val="0"/>
          <w:bCs w:val="0"/>
          <w:color w:val="000000"/>
          <w:sz w:val="24"/>
          <w:lang w:val="en-US" w:eastAsia="zh-CN"/>
        </w:rPr>
        <w:t>（4）计量单位</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5"/>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1）长度单位采用米（m），保留两位小数；</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2）面积单位采用平方米（㎡），保留两位小数；</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3）坐标单位采用米（m），保留3位小数。</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2准备工作</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（1）基础资料收集</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1）YNCORS的申请使用等手续，控制点成果、点之记、控制网计算资料、基础控制测量资料；</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2）1∶500及更大比例尺地形图、地籍图等图件资料；</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3）0.2米或更高分辨率的正射影像；</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4）近年0.5米分辨率的航空、航天遥感正射影像。</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（2）项目批建相关材料</w:t>
      </w:r>
    </w:p>
    <w:p>
      <w:pPr>
        <w:numPr>
          <w:ilvl w:val="0"/>
          <w:numId w:val="0"/>
        </w:numPr>
        <w:spacing w:line="360" w:lineRule="auto"/>
        <w:ind w:firstLine="480" w:firstLineChars="200"/>
        <w:rPr>
          <w:rFonts w:hint="eastAsia" w:ascii="宋体" w:hAnsi="宋体"/>
          <w:b w:val="0"/>
          <w:bCs w:val="0"/>
          <w:color w:val="000000"/>
          <w:sz w:val="24"/>
          <w:lang w:val="en-US" w:eastAsia="zh-CN"/>
        </w:rPr>
      </w:pPr>
      <w:bookmarkStart w:id="56" w:name="_Toc27144609"/>
      <w:r>
        <w:rPr>
          <w:rFonts w:hint="eastAsia" w:ascii="宋体" w:hAnsi="宋体"/>
          <w:b w:val="0"/>
          <w:bCs w:val="0"/>
          <w:color w:val="000000"/>
          <w:sz w:val="24"/>
          <w:lang w:val="en-US" w:eastAsia="zh-CN"/>
        </w:rPr>
        <w:t>1）规划批准后的设计蓝图和电子图，主要包括建筑专业的平面图、立面图、剖面图以及楼梯、墙体、坡道等部位的详图；</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2）施工图设计文件审查报告及通知单；</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3）建筑工程规划许可证及其附件、附图；</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4）国有土地使用证；</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5）公司资料一套（营业执照正本、副本，授权委托书）；</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6）法人身份证明书、法人身份证（或代理人身份证）复印件加盖公司公章；</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7）项目批建验收其他资料。</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（3）政策法规文件</w:t>
      </w:r>
      <w:bookmarkEnd w:id="56"/>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1）国家法律法规、相关文件，地方性法规、条例、规定；</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2）国家相关规程、行业标准，地方性法规、标准、细则；</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3）其他有权单位制定的法定性相关文件。</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（4）资料分析研究及规范化处理</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资料分析主要包括各类收集数据完整性、有效性、现势性、数据类型、规范性、一致性、空间参考等，具体分析内容如下：①完整性：判断数据源的空间覆盖范围、内容是否完整，不完整的列出清单及时补充完善。②有效性：对数据源进行有效性分析，未通过验收或审核的数据，一般只能参考使用。③现势性：确定数据源的现势性，分析其是否符合当前现状实际，与实际不一致的需剔除。④数据类型：确定数据源的存储形式和数据格式，选择数据提取、转换方法。⑤规范性：确定数据源是否符合有关规程规范要求，与相关标准不一致的进行规范化处理。⑥一致性:判断数据源的数据含义、数据类型、数据精度等是否与“房产测量”数据标准一致，不一致的确定换算方法。⑦空间参考:分析各空间数据的坐标系，确定各坐标系之间的转换方法。</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3调查内容</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(1)权籍调查</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严格按照权籍调查有关规范，以“权属清晰、界址清楚、面积准确”为原则，充分利用现有资料成果，开展地籍调查，绘制地籍图、宗地图，为登记发证提供数据基础。包括土地权属调查、房屋调查等工作。</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1)土地权属调查</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权属调查是地籍调查的重要内容，调查成果经土地使用者认定，为地籍测量、权属审核和登记发证提供具有法律效力的文书凭证。包括调查土地权属状况和界址，绘制宗地草图，填写权籍调查表或填写土地权属争议原由书等。要充分利用原有资料和日常登记发证资料，对已登记发证未变化且资料完善的宗地不再重新确权；对原资料不完善的需补充完善；对没有进行初始登记的要进行确权；对原已登记发证发生变更后未办理变更登记的，要在原基础上进行重新确权。</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权属调查的内容:①土地权利人（即土地使用者）：调查核实土地权利人的姓名或者土地权利人的名称、单位性质、行业代码、组织机构代码、法定代表人（或负责人）姓名及其身份证明、代理人姓名及其身份证明等；②土地位置：调查核实土地坐落、界线、宗地四至、相关的行政界线、地理名称、以及所在图幅等；③土地用途：调查核实土地的批准用途和实际用途。根据土地权属来源材料或用地批准文件确定批准用途，并现场调查确定实际用途；④土地权属性质及来源：调查核实取得土地使用权的时间、权属来源证明材料、土地权属性质、使用权类型、土地利用类别等；⑤他项权利的调查，包括土地的共用、土地权利限制等情况。调查核实其他土地使用者在本宗地拥有的权利，调查其申请内容是否与实际情况一致，并将调查情况填写到地籍调查表。他项权利分为用益物权和担保物权。</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2）界址的调查</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界址调查是权属调查的核心，也是地籍调查的核心工作，具体包括指界、界标设置、界址边长丈量等工作。</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(2)房屋调查</w:t>
      </w:r>
    </w:p>
    <w:p>
      <w:pPr>
        <w:numPr>
          <w:ilvl w:val="0"/>
          <w:numId w:val="0"/>
        </w:numPr>
        <w:spacing w:line="360" w:lineRule="auto"/>
        <w:ind w:firstLine="480" w:firstLineChars="200"/>
        <w:rPr>
          <w:rFonts w:hint="eastAsia" w:ascii="宋体" w:hAnsi="宋体"/>
          <w:b w:val="0"/>
          <w:bCs w:val="0"/>
          <w:color w:val="000000"/>
          <w:sz w:val="24"/>
          <w:lang w:val="en-US" w:eastAsia="zh-CN"/>
        </w:rPr>
      </w:pPr>
      <w:r>
        <w:rPr>
          <w:rFonts w:hint="eastAsia" w:ascii="宋体" w:hAnsi="宋体"/>
          <w:b w:val="0"/>
          <w:bCs w:val="0"/>
          <w:color w:val="000000"/>
          <w:sz w:val="24"/>
          <w:lang w:val="en-US" w:eastAsia="zh-CN"/>
        </w:rPr>
        <w:t>查清项目名称、房屋权利人、房屋座落、房屋性质、构（建）筑物类型、共有情况、规划用途、实际用途、幢号、户号、总套数、总层数、所在层次、建筑结构、建成年份、建筑面积、专有建筑面积、分摊建筑面积等内容。针对宗地内的建筑物区分所有权的共有部分，还应查清其权利人、构（建）筑物名称、构（建）筑物数量或者面积、分摊土地面积等。</w:t>
      </w:r>
    </w:p>
    <w:p>
      <w:pPr>
        <w:numPr>
          <w:ilvl w:val="0"/>
          <w:numId w:val="0"/>
        </w:numPr>
        <w:spacing w:line="360" w:lineRule="auto"/>
        <w:ind w:firstLine="480" w:firstLineChars="200"/>
        <w:rPr>
          <w:rFonts w:hint="default" w:ascii="宋体" w:hAnsi="宋体"/>
          <w:b w:val="0"/>
          <w:bCs w:val="0"/>
          <w:color w:val="000000"/>
          <w:sz w:val="24"/>
          <w:lang w:val="en-US" w:eastAsia="zh-CN"/>
        </w:rPr>
      </w:pPr>
      <w:bookmarkStart w:id="57" w:name="_Toc28054"/>
      <w:bookmarkStart w:id="58" w:name="_Toc4546"/>
      <w:bookmarkStart w:id="59" w:name="_Toc27144603"/>
      <w:r>
        <w:rPr>
          <w:rFonts w:hint="eastAsia" w:ascii="宋体" w:hAnsi="宋体"/>
          <w:b w:val="0"/>
          <w:bCs w:val="0"/>
          <w:color w:val="000000"/>
          <w:sz w:val="24"/>
          <w:lang w:val="en-US" w:eastAsia="zh-CN"/>
        </w:rPr>
        <w:t>4</w:t>
      </w:r>
      <w:r>
        <w:rPr>
          <w:rFonts w:hint="default" w:ascii="宋体" w:hAnsi="宋体"/>
          <w:b w:val="0"/>
          <w:bCs w:val="0"/>
          <w:color w:val="000000"/>
          <w:sz w:val="24"/>
          <w:lang w:val="en-US" w:eastAsia="zh-CN"/>
        </w:rPr>
        <w:t>外业调查</w:t>
      </w:r>
      <w:bookmarkEnd w:id="57"/>
      <w:bookmarkEnd w:id="58"/>
      <w:bookmarkEnd w:id="59"/>
    </w:p>
    <w:p>
      <w:pPr>
        <w:numPr>
          <w:ilvl w:val="0"/>
          <w:numId w:val="0"/>
        </w:numPr>
        <w:spacing w:line="360" w:lineRule="auto"/>
        <w:ind w:firstLine="480" w:firstLineChars="200"/>
        <w:rPr>
          <w:rFonts w:hint="default" w:ascii="宋体" w:hAnsi="宋体"/>
          <w:b w:val="0"/>
          <w:bCs w:val="0"/>
          <w:color w:val="000000"/>
          <w:sz w:val="24"/>
          <w:lang w:val="en-US" w:eastAsia="zh-CN"/>
        </w:rPr>
      </w:pPr>
      <w:r>
        <w:rPr>
          <w:rFonts w:hint="default" w:ascii="宋体" w:hAnsi="宋体"/>
          <w:b w:val="0"/>
          <w:bCs w:val="0"/>
          <w:color w:val="000000"/>
          <w:sz w:val="24"/>
          <w:lang w:val="en-US" w:eastAsia="zh-CN"/>
        </w:rPr>
        <w:t>外业调查按照准备工作、权属调查、不动产测量三个部分开展工作。</w:t>
      </w:r>
    </w:p>
    <w:p>
      <w:pPr>
        <w:numPr>
          <w:ilvl w:val="0"/>
          <w:numId w:val="0"/>
        </w:numPr>
        <w:spacing w:line="360" w:lineRule="auto"/>
        <w:ind w:firstLine="480" w:firstLineChars="200"/>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1)</w:t>
      </w:r>
      <w:r>
        <w:rPr>
          <w:rFonts w:hint="default" w:ascii="宋体" w:hAnsi="宋体"/>
          <w:b w:val="0"/>
          <w:bCs w:val="0"/>
          <w:color w:val="000000"/>
          <w:sz w:val="24"/>
          <w:lang w:val="en-US" w:eastAsia="zh-CN"/>
        </w:rPr>
        <w:t>准备工作</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根据授权委托的不动产权籍调查任务，做好资料收集、整理和分析所调查的不动产登记、抵押、查封、权属来源、交易、控制点坐标、界址点坐标等相关资料（包括图件、表格、数据和文件等），制定调查方案，发放权籍调查指界通知书，计算测量放样数据等工作。</w:t>
      </w:r>
    </w:p>
    <w:p>
      <w:pPr>
        <w:numPr>
          <w:ilvl w:val="0"/>
          <w:numId w:val="0"/>
        </w:numPr>
        <w:spacing w:line="360" w:lineRule="auto"/>
        <w:ind w:firstLine="480" w:firstLineChars="200"/>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2)</w:t>
      </w:r>
      <w:r>
        <w:rPr>
          <w:rFonts w:hint="default" w:ascii="宋体" w:hAnsi="宋体"/>
          <w:b w:val="0"/>
          <w:bCs w:val="0"/>
          <w:color w:val="000000"/>
          <w:sz w:val="24"/>
          <w:lang w:val="en-US" w:eastAsia="zh-CN"/>
        </w:rPr>
        <w:t>权属调查</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核实和调查项目区不动产权属和界址状况、绘制不动产单元草图、填写不动产权籍调查表等。对界址线有争议、界标发生变化和新设界标等情况，现场记录并拍摄照片。</w:t>
      </w:r>
      <w:r>
        <w:rPr>
          <w:rFonts w:hint="eastAsia" w:ascii="宋体" w:hAnsi="宋体"/>
          <w:b w:val="0"/>
          <w:bCs w:val="0"/>
          <w:color w:val="000000"/>
          <w:sz w:val="24"/>
          <w:lang w:val="en-US" w:eastAsia="zh-CN"/>
        </w:rPr>
        <w:t>包括：</w:t>
      </w:r>
      <w:r>
        <w:rPr>
          <w:rFonts w:hint="default" w:ascii="宋体" w:hAnsi="宋体"/>
          <w:b w:val="0"/>
          <w:bCs w:val="0"/>
          <w:color w:val="000000"/>
          <w:sz w:val="24"/>
          <w:lang w:val="en-US" w:eastAsia="zh-CN"/>
        </w:rPr>
        <w:t>核实确认不动产的现状</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新设界址与界址发生变化的不动产权属调查</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界址未变化的不动产权属调查</w:t>
      </w:r>
      <w:r>
        <w:rPr>
          <w:rFonts w:hint="eastAsia" w:ascii="宋体" w:hAnsi="宋体"/>
          <w:b w:val="0"/>
          <w:bCs w:val="0"/>
          <w:color w:val="000000"/>
          <w:sz w:val="24"/>
          <w:lang w:val="en-US" w:eastAsia="zh-CN"/>
        </w:rPr>
        <w:t>。</w:t>
      </w:r>
    </w:p>
    <w:p>
      <w:pPr>
        <w:numPr>
          <w:ilvl w:val="0"/>
          <w:numId w:val="0"/>
        </w:numPr>
        <w:spacing w:line="360" w:lineRule="auto"/>
        <w:ind w:firstLine="480" w:firstLineChars="200"/>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3）</w:t>
      </w:r>
      <w:r>
        <w:rPr>
          <w:rFonts w:hint="default" w:ascii="宋体" w:hAnsi="宋体"/>
          <w:b w:val="0"/>
          <w:bCs w:val="0"/>
          <w:color w:val="000000"/>
          <w:sz w:val="24"/>
          <w:lang w:val="en-US" w:eastAsia="zh-CN"/>
        </w:rPr>
        <w:t>不动产测量</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对项目区开展不动产测量，包括控制测量、界址测量、宗地（海）图和分户房产图的测绘、面积计算、不动产权籍调查表填写、不动产测量报告的撰写等。</w:t>
      </w:r>
    </w:p>
    <w:p>
      <w:pPr>
        <w:numPr>
          <w:ilvl w:val="0"/>
          <w:numId w:val="0"/>
        </w:numPr>
        <w:spacing w:line="360" w:lineRule="auto"/>
        <w:ind w:firstLine="480" w:firstLineChars="200"/>
        <w:rPr>
          <w:rFonts w:hint="default" w:ascii="宋体" w:hAnsi="宋体"/>
          <w:b w:val="0"/>
          <w:bCs w:val="0"/>
          <w:color w:val="000000"/>
          <w:sz w:val="24"/>
          <w:lang w:val="en-US" w:eastAsia="zh-CN"/>
        </w:rPr>
      </w:pPr>
      <w:bookmarkStart w:id="60" w:name="_Toc2164"/>
      <w:bookmarkStart w:id="61" w:name="_Toc27144604"/>
      <w:bookmarkStart w:id="62" w:name="_Toc7137"/>
      <w:r>
        <w:rPr>
          <w:rFonts w:hint="eastAsia" w:ascii="宋体" w:hAnsi="宋体"/>
          <w:b w:val="0"/>
          <w:bCs w:val="0"/>
          <w:color w:val="000000"/>
          <w:sz w:val="24"/>
          <w:lang w:val="en-US" w:eastAsia="zh-CN"/>
        </w:rPr>
        <w:t>5</w:t>
      </w:r>
      <w:r>
        <w:rPr>
          <w:rFonts w:hint="default" w:ascii="宋体" w:hAnsi="宋体"/>
          <w:b w:val="0"/>
          <w:bCs w:val="0"/>
          <w:color w:val="000000"/>
          <w:sz w:val="24"/>
          <w:lang w:val="en-US" w:eastAsia="zh-CN"/>
        </w:rPr>
        <w:t>内业数据处理</w:t>
      </w:r>
      <w:bookmarkEnd w:id="60"/>
      <w:bookmarkEnd w:id="61"/>
      <w:bookmarkEnd w:id="62"/>
    </w:p>
    <w:p>
      <w:pPr>
        <w:numPr>
          <w:ilvl w:val="0"/>
          <w:numId w:val="0"/>
        </w:numPr>
        <w:spacing w:line="360" w:lineRule="auto"/>
        <w:ind w:firstLine="480" w:firstLineChars="200"/>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1）</w:t>
      </w:r>
      <w:r>
        <w:rPr>
          <w:rFonts w:hint="default" w:ascii="宋体" w:hAnsi="宋体"/>
          <w:b w:val="0"/>
          <w:bCs w:val="0"/>
          <w:color w:val="000000"/>
          <w:sz w:val="24"/>
          <w:lang w:val="en-US" w:eastAsia="zh-CN"/>
        </w:rPr>
        <w:t>宗地图的绘制</w:t>
      </w:r>
      <w:bookmarkStart w:id="63" w:name="_Toc23718"/>
      <w:bookmarkStart w:id="64" w:name="_Toc27322"/>
      <w:bookmarkStart w:id="65" w:name="_Toc1868"/>
      <w:bookmarkStart w:id="66" w:name="_Toc3971"/>
      <w:bookmarkStart w:id="67" w:name="_Toc31258"/>
      <w:bookmarkStart w:id="68" w:name="_Toc29380"/>
      <w:bookmarkStart w:id="69" w:name="_Toc24741"/>
      <w:bookmarkStart w:id="70" w:name="_Toc11526"/>
      <w:bookmarkStart w:id="71" w:name="_Toc1817"/>
      <w:bookmarkStart w:id="72" w:name="_Toc9690"/>
      <w:bookmarkStart w:id="73" w:name="_Toc28908"/>
      <w:bookmarkStart w:id="74" w:name="_Toc4346"/>
      <w:bookmarkStart w:id="75" w:name="_Toc8383"/>
      <w:bookmarkStart w:id="76" w:name="_Toc26355"/>
      <w:bookmarkStart w:id="77" w:name="_Toc18424"/>
      <w:bookmarkStart w:id="78" w:name="_Toc16324"/>
      <w:bookmarkStart w:id="79" w:name="_Toc19250"/>
      <w:bookmarkStart w:id="80" w:name="_Toc23983"/>
      <w:bookmarkStart w:id="81" w:name="_Toc29919"/>
      <w:bookmarkStart w:id="82" w:name="_Toc1666"/>
      <w:bookmarkStart w:id="83" w:name="_Toc9382"/>
      <w:bookmarkStart w:id="84" w:name="_Toc28715"/>
      <w:bookmarkStart w:id="85" w:name="_Toc21365"/>
      <w:bookmarkStart w:id="86" w:name="_Toc17924"/>
      <w:bookmarkStart w:id="87" w:name="_Toc7010"/>
      <w:bookmarkStart w:id="88" w:name="_Toc28779"/>
      <w:bookmarkStart w:id="89" w:name="_Toc10722"/>
      <w:bookmarkStart w:id="90" w:name="_Toc30302"/>
      <w:bookmarkStart w:id="91" w:name="_Toc4183"/>
      <w:bookmarkStart w:id="92" w:name="_Toc18733"/>
      <w:bookmarkStart w:id="93" w:name="_Toc757"/>
      <w:bookmarkStart w:id="94" w:name="_Toc26893"/>
      <w:bookmarkStart w:id="95" w:name="_Toc29443"/>
      <w:bookmarkStart w:id="96" w:name="_Toc8837"/>
      <w:bookmarkStart w:id="97" w:name="_Toc30907"/>
      <w:bookmarkStart w:id="98" w:name="_Toc4387"/>
      <w:bookmarkStart w:id="99" w:name="_Toc29980"/>
      <w:bookmarkStart w:id="100" w:name="_Toc2549"/>
      <w:bookmarkStart w:id="101" w:name="_Toc9132"/>
      <w:bookmarkStart w:id="102" w:name="_Toc10861"/>
      <w:bookmarkStart w:id="103" w:name="_Toc12558"/>
      <w:bookmarkStart w:id="104" w:name="_Toc30993"/>
      <w:bookmarkStart w:id="105" w:name="_Toc21617"/>
      <w:bookmarkStart w:id="106" w:name="_Toc1038"/>
      <w:bookmarkStart w:id="107" w:name="_Toc21965"/>
      <w:bookmarkStart w:id="108" w:name="_Toc14028"/>
      <w:bookmarkStart w:id="109" w:name="_Toc18259"/>
      <w:bookmarkStart w:id="110" w:name="_Toc9761"/>
      <w:bookmarkStart w:id="111" w:name="_Toc10350"/>
      <w:bookmarkStart w:id="112" w:name="_Toc25332"/>
      <w:bookmarkStart w:id="113" w:name="_Toc2547"/>
      <w:bookmarkStart w:id="114" w:name="_Toc18037"/>
      <w:bookmarkStart w:id="115" w:name="_Toc2262"/>
      <w:bookmarkStart w:id="116" w:name="_Toc13824"/>
      <w:bookmarkStart w:id="117" w:name="_Toc27940"/>
      <w:bookmarkStart w:id="118" w:name="_Toc2574"/>
      <w:bookmarkStart w:id="119" w:name="_Toc13036"/>
      <w:bookmarkStart w:id="120" w:name="_Toc10527"/>
      <w:bookmarkStart w:id="121" w:name="_Toc912"/>
      <w:bookmarkStart w:id="122" w:name="_Toc6990"/>
      <w:bookmarkStart w:id="123" w:name="_Toc6067"/>
      <w:bookmarkStart w:id="124" w:name="_Toc27679"/>
      <w:bookmarkStart w:id="125" w:name="_Toc32066"/>
      <w:bookmarkStart w:id="126" w:name="_Toc22266"/>
      <w:bookmarkStart w:id="127" w:name="_Toc31058"/>
      <w:bookmarkStart w:id="128" w:name="_Toc28774"/>
      <w:bookmarkStart w:id="129" w:name="_Toc27520"/>
      <w:bookmarkStart w:id="130" w:name="_Toc17968"/>
      <w:bookmarkStart w:id="131" w:name="_Toc21866"/>
      <w:bookmarkStart w:id="132" w:name="_Toc3288"/>
      <w:bookmarkStart w:id="133" w:name="_Toc25361"/>
      <w:bookmarkStart w:id="134" w:name="_Toc4907"/>
      <w:bookmarkStart w:id="135" w:name="_Toc4118"/>
      <w:r>
        <w:rPr>
          <w:rFonts w:hint="eastAsia" w:ascii="宋体" w:hAnsi="宋体"/>
          <w:b w:val="0"/>
          <w:bCs w:val="0"/>
          <w:color w:val="000000"/>
          <w:sz w:val="24"/>
          <w:lang w:val="en-US" w:eastAsia="zh-CN"/>
        </w:rPr>
        <w:t>：</w:t>
      </w:r>
      <w:bookmarkStart w:id="136" w:name="_Toc18300"/>
      <w:r>
        <w:rPr>
          <w:rFonts w:hint="default" w:ascii="宋体" w:hAnsi="宋体"/>
          <w:b w:val="0"/>
          <w:bCs w:val="0"/>
          <w:color w:val="000000"/>
          <w:sz w:val="24"/>
          <w:lang w:val="en-US" w:eastAsia="zh-CN"/>
        </w:rPr>
        <w:t>以地籍图为基础编绘宗地图</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比例尺和幅面应根据宗地的大小和形状确定，比例尺分母以50倍数为宜</w:t>
      </w:r>
      <w:bookmarkEnd w:id="63"/>
      <w:bookmarkEnd w:id="64"/>
      <w:bookmarkEnd w:id="136"/>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宗地图一般选用A4和A3纸张幅面，个别宗地选用A2纸张。</w:t>
      </w:r>
    </w:p>
    <w:p>
      <w:pPr>
        <w:numPr>
          <w:ilvl w:val="0"/>
          <w:numId w:val="0"/>
        </w:numPr>
        <w:spacing w:line="360" w:lineRule="auto"/>
        <w:ind w:firstLine="480" w:firstLineChars="200"/>
        <w:rPr>
          <w:rFonts w:hint="default" w:ascii="宋体" w:hAnsi="宋体"/>
          <w:b w:val="0"/>
          <w:bCs w:val="0"/>
          <w:color w:val="000000"/>
          <w:sz w:val="24"/>
          <w:lang w:val="en-US" w:eastAsia="zh-CN"/>
        </w:rPr>
      </w:pPr>
      <w:bookmarkStart w:id="137" w:name="_Toc25310"/>
      <w:bookmarkStart w:id="138" w:name="_Toc10369"/>
      <w:bookmarkStart w:id="139" w:name="_Toc15932"/>
      <w:bookmarkStart w:id="140" w:name="_Toc15503"/>
      <w:bookmarkStart w:id="141" w:name="_Toc5053"/>
      <w:bookmarkStart w:id="142" w:name="_Toc16712"/>
      <w:r>
        <w:rPr>
          <w:rFonts w:hint="default" w:ascii="宋体" w:hAnsi="宋体"/>
          <w:b w:val="0"/>
          <w:bCs w:val="0"/>
          <w:color w:val="000000"/>
          <w:sz w:val="24"/>
          <w:lang w:val="en-US" w:eastAsia="zh-CN"/>
        </w:rPr>
        <w:t>主要内容</w:t>
      </w:r>
      <w:bookmarkEnd w:id="137"/>
      <w:bookmarkEnd w:id="138"/>
      <w:bookmarkEnd w:id="139"/>
      <w:bookmarkEnd w:id="140"/>
      <w:r>
        <w:rPr>
          <w:rFonts w:hint="eastAsia" w:ascii="宋体" w:hAnsi="宋体"/>
          <w:b w:val="0"/>
          <w:bCs w:val="0"/>
          <w:color w:val="000000"/>
          <w:sz w:val="24"/>
          <w:lang w:val="en-US" w:eastAsia="zh-CN"/>
        </w:rPr>
        <w:t>：</w:t>
      </w:r>
      <w:bookmarkStart w:id="143" w:name="_Toc23540"/>
      <w:r>
        <w:rPr>
          <w:rFonts w:hint="default" w:ascii="宋体" w:hAnsi="宋体"/>
          <w:b w:val="0"/>
          <w:bCs w:val="0"/>
          <w:color w:val="000000"/>
          <w:sz w:val="24"/>
          <w:lang w:val="en-US" w:eastAsia="zh-CN"/>
        </w:rPr>
        <w:t>宗地代码、所在图幅号、土地权利人、宗地面积；如果是共有或共用宗，土地权利人名称标注为“×××等全体业主”</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地类号、房屋的幢号。其中幢号用（1） 、 （2） 、 （3） 、......表示并标注在房屋轮廓线内的左下角</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本宗地界址点、界址点号、界址线、界址边长、门牌号码</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用加粗黑线表示建筑物区分所有权专有部分所在房屋的轮廓线。如果宗地内的建筑物，不存在区分所有权专有部分，则不表示</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宗地内的地类界线、建筑物、构筑物及宗地外紧靠界址点线的定着物、邻宗地的宗地号及相邻宗地间的界址分隔线</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相邻宗地权利人名称、道路、街巷名称</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指北方向、比例尺、界址点测量方法、制图者、制图日期、审核者、审核日期、不动产登记机构等。</w:t>
      </w:r>
      <w:bookmarkEnd w:id="141"/>
      <w:bookmarkEnd w:id="142"/>
      <w:bookmarkEnd w:id="143"/>
    </w:p>
    <w:p>
      <w:pPr>
        <w:numPr>
          <w:ilvl w:val="0"/>
          <w:numId w:val="0"/>
        </w:numPr>
        <w:spacing w:line="360" w:lineRule="auto"/>
        <w:ind w:firstLine="480" w:firstLineChars="200"/>
        <w:rPr>
          <w:rFonts w:hint="default" w:ascii="宋体" w:hAnsi="宋体"/>
          <w:b w:val="0"/>
          <w:bCs w:val="0"/>
          <w:color w:val="000000"/>
          <w:sz w:val="24"/>
          <w:lang w:val="en-US" w:eastAsia="zh-CN"/>
        </w:rPr>
      </w:pPr>
      <w:bookmarkStart w:id="144" w:name="_Toc10761"/>
      <w:bookmarkStart w:id="145" w:name="_Toc11620"/>
      <w:bookmarkStart w:id="146" w:name="_Toc31966"/>
      <w:bookmarkStart w:id="147" w:name="_Toc5417"/>
      <w:bookmarkStart w:id="148" w:name="_Toc19873"/>
      <w:bookmarkStart w:id="149" w:name="_Toc14142"/>
      <w:bookmarkStart w:id="150" w:name="_Toc5800"/>
      <w:r>
        <w:rPr>
          <w:rFonts w:hint="default" w:ascii="宋体" w:hAnsi="宋体"/>
          <w:b w:val="0"/>
          <w:bCs w:val="0"/>
          <w:color w:val="000000"/>
          <w:sz w:val="24"/>
          <w:lang w:val="en-US" w:eastAsia="zh-CN"/>
        </w:rPr>
        <w:t>编制方法</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44"/>
      <w:bookmarkEnd w:id="145"/>
      <w:bookmarkEnd w:id="146"/>
      <w:bookmarkEnd w:id="147"/>
      <w:bookmarkEnd w:id="148"/>
      <w:bookmarkEnd w:id="149"/>
      <w:bookmarkEnd w:id="150"/>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各要素的编绘要求</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界址点及其编号。界址点用直径1.2mm的黑色圆表示，中心用直径0.1mm的黑色点表示位置；界址点编号以宗地为单位统一进行编号，解析界址点采用“J”标注，图解界址点采用“T”标注，一宗地统一用一个顺序号连贯编排，宗地西北角为1号，顺时针方向按照自然序数进行编排。注记用黑色等线体，字高2.0mm，字头朝上</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界址线及边长注记。用红色实线表示，线宽0.3mm（RGB 255，0，0），将相邻界址点直接进行连线，界址线边长注记用2.0mm颜色为黑色的等线体在该界址线的中心位置进行标注，字头朝上或朝左，并与该界址线垂直。当界址线较短图上直接注记困难时，可以引注边长</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宗地代码与地类代码。在宗地的中心位置用分式的形式进行标注，分子表示权属码和宗地代码，分母表示地类代码。用3.0mm中等线体黑色注记。如图面负荷较重，可以简注，同时在技术总结中说明</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邻宗地信息注记。应标注邻宗地代码和权利人名称</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土地权利人。在宗地代码与地类代码分式注记的左边或右边用3.2mm中等线体黑色注记，注记中心线与分式线在同一条水平线上</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建筑物和构筑物。宗地范围内的建筑物和构筑物应详细表示，2层以上房屋还须标注结构和层数。一户多房的，依《国家基本比例尺地图图式第1部分1:500 1:1 000 1:2 000 地形图图式》（GB/T 20251-2007）区分主附建筑物</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表头部分。在宗地图的上方用表格的形式表示该宗地的有关信息，主要有宗地代码、土地权利人、所在图幅号、宗地面积等信息</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饰部分。包括图框线、图名、左下角的位置说明部分、比例尺、制图者和审核者、制图和审核日期、指北针等内容。</w:t>
      </w:r>
    </w:p>
    <w:p>
      <w:pPr>
        <w:numPr>
          <w:ilvl w:val="0"/>
          <w:numId w:val="0"/>
        </w:numPr>
        <w:spacing w:line="360" w:lineRule="auto"/>
        <w:rPr>
          <w:rFonts w:hint="default" w:ascii="宋体" w:hAnsi="宋体"/>
          <w:b w:val="0"/>
          <w:bCs w:val="0"/>
          <w:color w:val="000000"/>
          <w:sz w:val="24"/>
          <w:lang w:val="en-US" w:eastAsia="zh-CN"/>
        </w:rPr>
      </w:pPr>
      <w:r>
        <w:rPr>
          <w:rFonts w:hint="default" w:ascii="宋体" w:hAnsi="宋体"/>
          <w:b w:val="0"/>
          <w:bCs w:val="0"/>
          <w:color w:val="000000"/>
          <w:sz w:val="24"/>
          <w:lang w:val="en-US" w:eastAsia="zh-CN"/>
        </w:rPr>
        <w:drawing>
          <wp:inline distT="0" distB="0" distL="114300" distR="114300">
            <wp:extent cx="5226685" cy="7476490"/>
            <wp:effectExtent l="0" t="0" r="635" b="6350"/>
            <wp:docPr id="14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6"/>
                    <pic:cNvPicPr>
                      <a:picLocks noChangeAspect="1"/>
                    </pic:cNvPicPr>
                  </pic:nvPicPr>
                  <pic:blipFill>
                    <a:blip r:embed="rId9"/>
                    <a:srcRect l="3949" t="3883" r="2998" b="3294"/>
                    <a:stretch>
                      <a:fillRect/>
                    </a:stretch>
                  </pic:blipFill>
                  <pic:spPr>
                    <a:xfrm>
                      <a:off x="0" y="0"/>
                      <a:ext cx="5226685" cy="7476490"/>
                    </a:xfrm>
                    <a:prstGeom prst="rect">
                      <a:avLst/>
                    </a:prstGeom>
                    <a:noFill/>
                    <a:ln>
                      <a:noFill/>
                    </a:ln>
                  </pic:spPr>
                </pic:pic>
              </a:graphicData>
            </a:graphic>
          </wp:inline>
        </w:drawing>
      </w:r>
    </w:p>
    <w:p>
      <w:pPr>
        <w:numPr>
          <w:ilvl w:val="0"/>
          <w:numId w:val="0"/>
        </w:numPr>
        <w:spacing w:line="360" w:lineRule="auto"/>
        <w:ind w:firstLine="480" w:firstLineChars="200"/>
        <w:jc w:val="center"/>
        <w:rPr>
          <w:rFonts w:hint="default" w:ascii="宋体" w:hAnsi="宋体"/>
          <w:b w:val="0"/>
          <w:bCs w:val="0"/>
          <w:color w:val="000000"/>
          <w:sz w:val="24"/>
          <w:lang w:val="en-US" w:eastAsia="zh-CN"/>
        </w:rPr>
      </w:pPr>
      <w:r>
        <w:rPr>
          <w:rFonts w:hint="default" w:ascii="宋体" w:hAnsi="宋体"/>
          <w:b w:val="0"/>
          <w:bCs w:val="0"/>
          <w:color w:val="000000"/>
          <w:sz w:val="24"/>
          <w:lang w:val="en-US" w:eastAsia="zh-CN"/>
        </w:rPr>
        <w:t>宗地图样图</w:t>
      </w:r>
    </w:p>
    <w:p>
      <w:pPr>
        <w:numPr>
          <w:ilvl w:val="0"/>
          <w:numId w:val="0"/>
        </w:numPr>
        <w:spacing w:line="360" w:lineRule="auto"/>
        <w:ind w:firstLine="480" w:firstLineChars="200"/>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2）</w:t>
      </w:r>
      <w:r>
        <w:rPr>
          <w:rFonts w:hint="default" w:ascii="宋体" w:hAnsi="宋体"/>
          <w:b w:val="0"/>
          <w:bCs w:val="0"/>
          <w:color w:val="000000"/>
          <w:sz w:val="24"/>
          <w:lang w:val="en-US" w:eastAsia="zh-CN"/>
        </w:rPr>
        <w:t>房产分户图的绘制</w:t>
      </w:r>
    </w:p>
    <w:p>
      <w:pPr>
        <w:numPr>
          <w:ilvl w:val="0"/>
          <w:numId w:val="0"/>
        </w:numPr>
        <w:spacing w:line="360" w:lineRule="auto"/>
        <w:ind w:firstLine="480" w:firstLineChars="200"/>
        <w:rPr>
          <w:rFonts w:hint="default" w:ascii="宋体" w:hAnsi="宋体"/>
          <w:b w:val="0"/>
          <w:bCs w:val="0"/>
          <w:color w:val="000000"/>
          <w:sz w:val="24"/>
          <w:lang w:val="en-US" w:eastAsia="zh-CN"/>
        </w:rPr>
      </w:pPr>
      <w:r>
        <w:rPr>
          <w:rFonts w:hint="default" w:ascii="宋体" w:hAnsi="宋体"/>
          <w:b w:val="0"/>
          <w:bCs w:val="0"/>
          <w:color w:val="000000"/>
          <w:sz w:val="24"/>
          <w:lang w:val="en-US" w:eastAsia="zh-CN"/>
        </w:rPr>
        <w:t>绘制要求</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以地籍图、宗地图（分宗房产图）等为基础编绘房产分户图。可根据房屋的大小设计分户图的比例尺，比例尺分母以整百数为宜</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分户图的幅面规格，采用A4或A3两种尺寸</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分户图的方位应使房屋的主要边线与轮廓线平行，按房屋的朝向横放或竖放，分户图的方向应尽可能与分幅地籍图一致，如果不一致，需在适当位置加绘指北方向。</w:t>
      </w:r>
    </w:p>
    <w:p>
      <w:pPr>
        <w:numPr>
          <w:ilvl w:val="0"/>
          <w:numId w:val="0"/>
        </w:numPr>
        <w:spacing w:line="360" w:lineRule="auto"/>
        <w:ind w:firstLine="480" w:firstLineChars="200"/>
        <w:rPr>
          <w:rFonts w:hint="default" w:ascii="宋体" w:hAnsi="宋体"/>
          <w:b w:val="0"/>
          <w:bCs w:val="0"/>
          <w:color w:val="000000"/>
          <w:sz w:val="24"/>
          <w:lang w:val="en-US" w:eastAsia="zh-CN"/>
        </w:rPr>
      </w:pPr>
      <w:r>
        <w:rPr>
          <w:rFonts w:hint="default" w:ascii="宋体" w:hAnsi="宋体"/>
          <w:b w:val="0"/>
          <w:bCs w:val="0"/>
          <w:color w:val="000000"/>
          <w:sz w:val="24"/>
          <w:lang w:val="en-US" w:eastAsia="zh-CN"/>
        </w:rPr>
        <w:t>主要内容</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宗地代码、幢号、户号、坐落、房屋结构、所在层次、总层数、专有建筑面积、分摊建筑面积、建筑面积</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房屋轮廓线、房屋边长、分户专有房屋权属界线、比例尺、指北针等</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电梯、楼梯等共有部分应标注“电梯共用”“楼梯共用”等字样</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不动产登记机构、绘制日期。</w:t>
      </w:r>
    </w:p>
    <w:p>
      <w:pPr>
        <w:numPr>
          <w:ilvl w:val="0"/>
          <w:numId w:val="0"/>
        </w:numPr>
        <w:spacing w:line="360" w:lineRule="auto"/>
        <w:ind w:firstLine="480" w:firstLineChars="200"/>
        <w:rPr>
          <w:rFonts w:hint="default" w:ascii="宋体" w:hAnsi="宋体"/>
          <w:b w:val="0"/>
          <w:bCs w:val="0"/>
          <w:color w:val="000000"/>
          <w:sz w:val="24"/>
          <w:lang w:val="en-US" w:eastAsia="zh-CN"/>
        </w:rPr>
      </w:pPr>
      <w:r>
        <w:rPr>
          <w:rFonts w:hint="default" w:ascii="宋体" w:hAnsi="宋体"/>
          <w:b w:val="0"/>
          <w:bCs w:val="0"/>
          <w:color w:val="000000"/>
          <w:sz w:val="24"/>
          <w:lang w:val="en-US" w:eastAsia="zh-CN"/>
        </w:rPr>
        <w:t>分户图上的文字注记</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房屋产权面积包括套内建筑面积和共有分摊面积，标注在分户图框内</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本户所有丘号、户号、幢号、结构、层数、层次标注在分户图框内</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楼梯、走道等共有部位，需在范围内加简注。</w:t>
      </w:r>
    </w:p>
    <w:p>
      <w:pPr>
        <w:numPr>
          <w:ilvl w:val="0"/>
          <w:numId w:val="0"/>
        </w:numPr>
        <w:spacing w:line="360" w:lineRule="auto"/>
        <w:rPr>
          <w:rFonts w:hint="default" w:ascii="宋体" w:hAnsi="宋体"/>
          <w:b w:val="0"/>
          <w:bCs w:val="0"/>
          <w:color w:val="000000"/>
          <w:sz w:val="24"/>
          <w:lang w:val="en-US" w:eastAsia="zh-CN"/>
        </w:rPr>
      </w:pPr>
      <w:r>
        <w:rPr>
          <w:rFonts w:hint="default" w:ascii="宋体" w:hAnsi="宋体"/>
          <w:b w:val="0"/>
          <w:bCs w:val="0"/>
          <w:color w:val="000000"/>
          <w:sz w:val="24"/>
          <w:lang w:val="en-US" w:eastAsia="zh-CN"/>
        </w:rPr>
        <w:drawing>
          <wp:inline distT="0" distB="0" distL="114300" distR="114300">
            <wp:extent cx="5255895" cy="7474585"/>
            <wp:effectExtent l="0" t="0" r="1905" b="8255"/>
            <wp:docPr id="14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7"/>
                    <pic:cNvPicPr>
                      <a:picLocks noChangeAspect="1"/>
                    </pic:cNvPicPr>
                  </pic:nvPicPr>
                  <pic:blipFill>
                    <a:blip r:embed="rId10"/>
                    <a:stretch>
                      <a:fillRect/>
                    </a:stretch>
                  </pic:blipFill>
                  <pic:spPr>
                    <a:xfrm>
                      <a:off x="0" y="0"/>
                      <a:ext cx="5255895" cy="7474585"/>
                    </a:xfrm>
                    <a:prstGeom prst="rect">
                      <a:avLst/>
                    </a:prstGeom>
                    <a:noFill/>
                    <a:ln>
                      <a:noFill/>
                    </a:ln>
                  </pic:spPr>
                </pic:pic>
              </a:graphicData>
            </a:graphic>
          </wp:inline>
        </w:drawing>
      </w:r>
    </w:p>
    <w:p>
      <w:pPr>
        <w:numPr>
          <w:ilvl w:val="0"/>
          <w:numId w:val="0"/>
        </w:numPr>
        <w:spacing w:line="360" w:lineRule="auto"/>
        <w:ind w:firstLine="480" w:firstLineChars="200"/>
        <w:jc w:val="center"/>
        <w:rPr>
          <w:rFonts w:hint="default" w:ascii="宋体" w:hAnsi="宋体"/>
          <w:b w:val="0"/>
          <w:bCs w:val="0"/>
          <w:color w:val="000000"/>
          <w:sz w:val="24"/>
          <w:lang w:val="en-US" w:eastAsia="zh-CN"/>
        </w:rPr>
      </w:pPr>
      <w:r>
        <w:rPr>
          <w:rFonts w:hint="default" w:ascii="宋体" w:hAnsi="宋体"/>
          <w:b w:val="0"/>
          <w:bCs w:val="0"/>
          <w:color w:val="000000"/>
          <w:sz w:val="24"/>
          <w:lang w:val="en-US" w:eastAsia="zh-CN"/>
        </w:rPr>
        <w:t>房产分户图样图</w:t>
      </w:r>
    </w:p>
    <w:p>
      <w:pPr>
        <w:numPr>
          <w:ilvl w:val="0"/>
          <w:numId w:val="0"/>
        </w:numPr>
        <w:spacing w:line="360" w:lineRule="auto"/>
        <w:ind w:firstLine="480" w:firstLineChars="200"/>
        <w:rPr>
          <w:rFonts w:hint="default" w:ascii="宋体" w:hAnsi="宋体"/>
          <w:b w:val="0"/>
          <w:bCs w:val="0"/>
          <w:color w:val="000000"/>
          <w:sz w:val="24"/>
          <w:lang w:val="en-US" w:eastAsia="zh-CN"/>
        </w:rPr>
      </w:pPr>
      <w:r>
        <w:rPr>
          <w:rFonts w:hint="eastAsia" w:ascii="宋体" w:hAnsi="宋体"/>
          <w:b w:val="0"/>
          <w:bCs w:val="0"/>
          <w:color w:val="000000"/>
          <w:sz w:val="24"/>
          <w:lang w:val="en-US" w:eastAsia="zh-CN"/>
        </w:rPr>
        <w:t>3）</w:t>
      </w:r>
      <w:r>
        <w:rPr>
          <w:rFonts w:hint="default" w:ascii="宋体" w:hAnsi="宋体"/>
          <w:b w:val="0"/>
          <w:bCs w:val="0"/>
          <w:color w:val="000000"/>
          <w:sz w:val="24"/>
          <w:lang w:val="en-US" w:eastAsia="zh-CN"/>
        </w:rPr>
        <w:t>数据整理入权籍系统</w:t>
      </w:r>
    </w:p>
    <w:p>
      <w:pPr>
        <w:numPr>
          <w:ilvl w:val="0"/>
          <w:numId w:val="0"/>
        </w:numPr>
        <w:spacing w:line="360" w:lineRule="auto"/>
        <w:ind w:firstLine="480" w:firstLineChars="200"/>
        <w:rPr>
          <w:rFonts w:hint="default" w:ascii="宋体" w:hAnsi="宋体"/>
          <w:b w:val="0"/>
          <w:bCs w:val="0"/>
          <w:color w:val="000000"/>
          <w:sz w:val="24"/>
          <w:lang w:val="en-US" w:eastAsia="zh-CN"/>
        </w:rPr>
      </w:pPr>
      <w:r>
        <w:rPr>
          <w:rFonts w:hint="default" w:ascii="宋体" w:hAnsi="宋体"/>
          <w:b w:val="0"/>
          <w:bCs w:val="0"/>
          <w:color w:val="000000"/>
          <w:sz w:val="24"/>
          <w:lang w:val="en-US" w:eastAsia="zh-CN"/>
        </w:rPr>
        <w:t>成果审查</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不动产权籍调查成果应由不动产登记机构或授权机构审查。凡在前期审批、交易、竣工验收等行政管理中经相关行政职能部门和授权机构确认的且符合登记要求的成果，可继续沿用</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审查的内容有六个方面：一是调查程序是否规范，即权属调查、测量、成果审查、整理归档等是否按照本方案及相关技术标准实施；二是调查成果是否完整，即测绘资料、权属资料、图件和表格资料等是否齐全；三是调查成果是否有效，包含调查机构是否具有相应资质、从事调查工作的人员是否具有相应资格、调查成果是否经过自检等；四是调查成果格式是否符合规定要求；五是调查成果是否正确保持宗地、宗海及其房屋、林木等定着物之间的内在联系；六是宗地图、宗海图和分户房产图中的空间要素与相邻的界址、地物、地貌是否存在空间位臵矛盾</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审查的方法。主要采用室内外复核的方法审查不动产权籍调查成果</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应充分利用已有数据库、信息系统、办文系统、电子政务系统审查调查成果</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应将调查机构提供的宗地图、宗海图和房产分户图的电子数据导入已有的权籍空间数据库，查看其与相邻的界址、地物、地貌是否存在空间位臵矛盾</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对权籍空间要素，如果室内无法判定其是否正确时，可到实地查看</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对调查成果存在的问题，应责成调查机构修改完善，直至成果合格为止</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成果入库和地籍图更新。成果通过审查后，审查部门或单位应将审查后的成果提交给不动产权籍调查数据库和成果管理机构，在完成不动产登记后，更新相关数据库和不动产登记数据库</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成果的整理与归档</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不动产权籍调查工作结束后，应该对成果进行整理和归档。</w:t>
      </w:r>
    </w:p>
    <w:p>
      <w:pPr>
        <w:numPr>
          <w:ilvl w:val="0"/>
          <w:numId w:val="0"/>
        </w:numPr>
        <w:spacing w:line="360" w:lineRule="auto"/>
        <w:ind w:firstLine="480" w:firstLineChars="200"/>
        <w:rPr>
          <w:rFonts w:hint="default" w:ascii="宋体" w:hAnsi="宋体"/>
          <w:b w:val="0"/>
          <w:bCs w:val="0"/>
          <w:color w:val="000000"/>
          <w:sz w:val="24"/>
          <w:lang w:val="en-US" w:eastAsia="zh-CN"/>
        </w:rPr>
      </w:pPr>
      <w:r>
        <w:rPr>
          <w:rFonts w:hint="default" w:ascii="宋体" w:hAnsi="宋体"/>
          <w:b w:val="0"/>
          <w:bCs w:val="0"/>
          <w:color w:val="000000"/>
          <w:sz w:val="24"/>
          <w:lang w:val="en-US" w:eastAsia="zh-CN"/>
        </w:rPr>
        <w:t>不动产权籍调查成果经相关部门审查确认后，调查机构应以宗地为单位，按照统一的不动产权籍调查表、不动产测量报告和不动产权籍图等成果样式，形成不动产单元调查成果，提交纸质成果和相应的电子数据。不动产权籍调查成果应按照统一的规格、要求进行整理、立卷、组卷、编目和归档。</w:t>
      </w:r>
    </w:p>
    <w:p>
      <w:pPr>
        <w:numPr>
          <w:ilvl w:val="0"/>
          <w:numId w:val="0"/>
        </w:numPr>
        <w:spacing w:line="360" w:lineRule="auto"/>
        <w:ind w:firstLine="480" w:firstLineChars="200"/>
        <w:rPr>
          <w:rFonts w:hint="default" w:ascii="宋体" w:hAnsi="宋体"/>
          <w:b w:val="0"/>
          <w:bCs w:val="0"/>
          <w:color w:val="000000"/>
          <w:sz w:val="24"/>
          <w:lang w:val="en-US" w:eastAsia="zh-CN"/>
        </w:rPr>
      </w:pPr>
      <w:r>
        <w:rPr>
          <w:rFonts w:hint="default" w:ascii="宋体" w:hAnsi="宋体"/>
          <w:b w:val="0"/>
          <w:bCs w:val="0"/>
          <w:color w:val="000000"/>
          <w:sz w:val="24"/>
          <w:lang w:val="en-US" w:eastAsia="zh-CN"/>
        </w:rPr>
        <w:t>更新不动产权籍调查数据库</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为实现不动产权籍调查信息的共享和成果利用，满足不动产登记和管理的需要，日常不动产权籍调查形成的数据成果在完成审查与登记之后，应及时更新不动产权籍调查数据库，并做好数据库的运行和维护工作。</w:t>
      </w:r>
    </w:p>
    <w:p>
      <w:pPr>
        <w:numPr>
          <w:ilvl w:val="0"/>
          <w:numId w:val="0"/>
        </w:numPr>
        <w:spacing w:line="360" w:lineRule="auto"/>
        <w:ind w:firstLine="480" w:firstLineChars="200"/>
        <w:rPr>
          <w:rFonts w:hint="default" w:ascii="宋体" w:hAnsi="宋体"/>
          <w:b w:val="0"/>
          <w:bCs w:val="0"/>
          <w:color w:val="000000"/>
          <w:sz w:val="24"/>
          <w:lang w:val="en-US" w:eastAsia="zh-CN"/>
        </w:rPr>
      </w:pPr>
      <w:r>
        <w:rPr>
          <w:rFonts w:hint="default" w:ascii="宋体" w:hAnsi="宋体"/>
          <w:b w:val="0"/>
          <w:bCs w:val="0"/>
          <w:color w:val="000000"/>
          <w:sz w:val="24"/>
          <w:lang w:val="en-US" w:eastAsia="zh-CN"/>
        </w:rPr>
        <w:t>将整理后的不动产登记信息按照不动产登记数据库标准对基础地理数据、宗地数据、自然幢数据、权利数据、权利人数据、档案数据、权籍调查数据等进行数据组织、编码、入库，建成支撑不动产登记信息管理基础平台运行的不动产登记数据库（成果数据库），并生成不动产登记元数据。</w:t>
      </w:r>
    </w:p>
    <w:p>
      <w:pPr>
        <w:numPr>
          <w:ilvl w:val="0"/>
          <w:numId w:val="0"/>
        </w:numPr>
        <w:spacing w:line="360" w:lineRule="auto"/>
        <w:ind w:firstLine="480" w:firstLineChars="200"/>
        <w:rPr>
          <w:rFonts w:hint="default" w:ascii="宋体" w:hAnsi="宋体"/>
          <w:b w:val="0"/>
          <w:bCs w:val="0"/>
          <w:color w:val="000000"/>
          <w:sz w:val="24"/>
          <w:lang w:val="en-US" w:eastAsia="zh-CN"/>
        </w:rPr>
      </w:pPr>
      <w:r>
        <w:rPr>
          <w:rFonts w:hint="default" w:ascii="宋体" w:hAnsi="宋体"/>
          <w:b w:val="0"/>
          <w:bCs w:val="0"/>
          <w:color w:val="000000"/>
          <w:sz w:val="24"/>
          <w:lang w:val="en-US" w:eastAsia="zh-CN"/>
        </w:rPr>
        <w:t>不动产登记数据入库要进行全面的信息复核，保证入库的数据符合质量控制要求</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基础地理数据入库包括整合后的行政区、行政区界线、行政区注记、地籍区、地籍子区等空间数据入库，还包括属性表达的标准化。此部分数据入库后必须满足空间数据的质量要求，并生成标识码</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将整合后的宗地空间数据入库，根据《云南省不动产登记整合数据库标准（试行）》的要求进行属性值代码化、表达标准化。此部分数据入库后必须满足空间数据的质量要求，并生成标识码</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将整合后的自然幢空间数据入库，根据《云南省不动产登记整合数据库标准（试行）》的要求进行属性值代码化、表达标准化。此部分数据入库后必须满足空间数据的质量要求，并生成标识码。自然幢数据还应包括逻辑幢（LJZ）、层（C）、户（H）等非空间数据，自然幢空间数据和非空间数据之间的关联关系如下图所示：自然幢（ZRZ）逻辑幢（LJZ）层（C）户（H）ZRZHZRZHLJZHCH宗地基本信息（ZDJBXX）ZDDMZRZH</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权利数据入库</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将整合后的权利数据表信息进行标准化、代码化，并导入到不动产登记信息的权利数据库中。此部分数据入库后必须满足数据完整性、逻辑关系一致性以及语义一致性的要求。权利数据入库的表包括土地使用权（TDSYQ）、建设用地使用权（JSYDSYQ）、房地产权1（FDCQ1）（包括房地产权项目扩展表（FDCQXM））、房地产权2（FDCQ2）、房地产权3（FDCQ3）、构（建）筑物所有权（GJZWSYQ）、农用地使用权（NYDSYQ）、林权（LQ）、其他相关权利（QTXGQL）、地役权（DYIQ）、抵押权（DYAQ）等。</w:t>
      </w:r>
    </w:p>
    <w:p>
      <w:pPr>
        <w:numPr>
          <w:ilvl w:val="0"/>
          <w:numId w:val="0"/>
        </w:numPr>
        <w:spacing w:line="360" w:lineRule="auto"/>
        <w:ind w:firstLine="480" w:firstLineChars="200"/>
        <w:rPr>
          <w:rFonts w:hint="default" w:ascii="宋体" w:hAnsi="宋体"/>
          <w:b w:val="0"/>
          <w:bCs w:val="0"/>
          <w:color w:val="000000"/>
          <w:sz w:val="24"/>
          <w:lang w:val="en-US" w:eastAsia="zh-CN"/>
        </w:rPr>
      </w:pPr>
      <w:r>
        <w:rPr>
          <w:rFonts w:hint="default" w:ascii="宋体" w:hAnsi="宋体"/>
          <w:b w:val="0"/>
          <w:bCs w:val="0"/>
          <w:color w:val="000000"/>
          <w:sz w:val="24"/>
          <w:lang w:val="en-US" w:eastAsia="zh-CN"/>
        </w:rPr>
        <w:t>权利人数据入库</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将整合后的权利人数据进行代码化，并导入到不动产登记信息的权利人数据库中。此部分数据入库后必须满足数据完整性、逻辑关系一致性的要求。</w:t>
      </w:r>
    </w:p>
    <w:p>
      <w:pPr>
        <w:numPr>
          <w:ilvl w:val="0"/>
          <w:numId w:val="0"/>
        </w:numPr>
        <w:spacing w:line="360" w:lineRule="auto"/>
        <w:ind w:firstLine="480" w:firstLineChars="200"/>
        <w:rPr>
          <w:rFonts w:hint="default" w:ascii="宋体" w:hAnsi="宋体"/>
          <w:b w:val="0"/>
          <w:bCs w:val="0"/>
          <w:color w:val="000000"/>
          <w:sz w:val="24"/>
          <w:lang w:val="en-US" w:eastAsia="zh-CN"/>
        </w:rPr>
      </w:pPr>
      <w:r>
        <w:rPr>
          <w:rFonts w:hint="default" w:ascii="宋体" w:hAnsi="宋体"/>
          <w:b w:val="0"/>
          <w:bCs w:val="0"/>
          <w:color w:val="000000"/>
          <w:sz w:val="24"/>
          <w:lang w:val="en-US" w:eastAsia="zh-CN"/>
        </w:rPr>
        <w:t>档案数据挂接</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将扫描整理好的档案数据通过不动产单元号、业务号等信息与数据库实现挂接。</w:t>
      </w:r>
    </w:p>
    <w:p>
      <w:pPr>
        <w:numPr>
          <w:ilvl w:val="0"/>
          <w:numId w:val="0"/>
        </w:numPr>
        <w:spacing w:line="360" w:lineRule="auto"/>
        <w:ind w:firstLine="480" w:firstLineChars="200"/>
        <w:rPr>
          <w:rFonts w:hint="default" w:ascii="宋体" w:hAnsi="宋体"/>
          <w:b w:val="0"/>
          <w:bCs w:val="0"/>
          <w:color w:val="000000"/>
          <w:sz w:val="24"/>
          <w:lang w:val="en-US" w:eastAsia="zh-CN"/>
        </w:rPr>
      </w:pPr>
      <w:r>
        <w:rPr>
          <w:rFonts w:hint="default" w:ascii="宋体" w:hAnsi="宋体"/>
          <w:b w:val="0"/>
          <w:bCs w:val="0"/>
          <w:color w:val="000000"/>
          <w:sz w:val="24"/>
          <w:lang w:val="en-US" w:eastAsia="zh-CN"/>
        </w:rPr>
        <w:t>权籍调查数据入库</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将整合后的权籍调查表信息进行标准化、代码化，并导入到不动产登记信息的权籍调查数据库中。此部分数据入库后必须满足数据完整性、逻辑关系一致性以及语义一致性的要求。</w:t>
      </w:r>
    </w:p>
    <w:p>
      <w:pPr>
        <w:numPr>
          <w:ilvl w:val="0"/>
          <w:numId w:val="0"/>
        </w:numPr>
        <w:spacing w:line="360" w:lineRule="auto"/>
        <w:ind w:firstLine="480" w:firstLineChars="200"/>
        <w:rPr>
          <w:rFonts w:hint="default" w:ascii="宋体" w:hAnsi="宋体"/>
          <w:b w:val="0"/>
          <w:bCs w:val="0"/>
          <w:color w:val="000000"/>
          <w:sz w:val="24"/>
          <w:lang w:val="en-US" w:eastAsia="zh-CN"/>
        </w:rPr>
      </w:pPr>
      <w:r>
        <w:rPr>
          <w:rFonts w:hint="default" w:ascii="宋体" w:hAnsi="宋体"/>
          <w:b w:val="0"/>
          <w:bCs w:val="0"/>
          <w:color w:val="000000"/>
          <w:sz w:val="24"/>
          <w:lang w:val="en-US" w:eastAsia="zh-CN"/>
        </w:rPr>
        <w:t>不动产登记信息元数据生成</w:t>
      </w:r>
      <w:r>
        <w:rPr>
          <w:rFonts w:hint="eastAsia" w:ascii="宋体" w:hAnsi="宋体"/>
          <w:b w:val="0"/>
          <w:bCs w:val="0"/>
          <w:color w:val="000000"/>
          <w:sz w:val="24"/>
          <w:lang w:val="en-US" w:eastAsia="zh-CN"/>
        </w:rPr>
        <w:t>：</w:t>
      </w:r>
      <w:r>
        <w:rPr>
          <w:rFonts w:hint="default" w:ascii="宋体" w:hAnsi="宋体"/>
          <w:b w:val="0"/>
          <w:bCs w:val="0"/>
          <w:color w:val="000000"/>
          <w:sz w:val="24"/>
          <w:lang w:val="en-US" w:eastAsia="zh-CN"/>
        </w:rPr>
        <w:t>参照《云南省不动产登记整合数据库标准（试行）》对元数据的要求，在信息入库后形成不动产登记信息元数据。</w:t>
      </w:r>
    </w:p>
    <w:p>
      <w:pPr>
        <w:pStyle w:val="2"/>
        <w:rPr>
          <w:rFonts w:hint="default"/>
          <w:lang w:val="en-US" w:eastAsia="zh-CN"/>
        </w:rPr>
      </w:pPr>
    </w:p>
    <w:p>
      <w:pPr>
        <w:spacing w:line="360" w:lineRule="auto"/>
        <w:ind w:firstLine="562" w:firstLineChars="200"/>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五、成果提交</w:t>
      </w:r>
      <w:r>
        <w:rPr>
          <w:rFonts w:hint="eastAsia" w:ascii="宋体" w:hAnsi="宋体" w:eastAsia="宋体" w:cs="宋体"/>
          <w:b/>
          <w:sz w:val="28"/>
          <w:szCs w:val="28"/>
          <w:lang w:val="en-GB" w:eastAsia="zh-CN"/>
        </w:rPr>
        <w:t>:</w:t>
      </w:r>
    </w:p>
    <w:p>
      <w:pPr>
        <w:tabs>
          <w:tab w:val="left" w:pos="1080"/>
        </w:tabs>
        <w:spacing w:before="120" w:after="120" w:line="440" w:lineRule="exact"/>
        <w:ind w:firstLine="480" w:firstLineChars="200"/>
        <w:rPr>
          <w:rFonts w:hint="eastAsia" w:ascii="宋体" w:hAnsi="宋体"/>
          <w:b w:val="0"/>
          <w:bCs w:val="0"/>
          <w:color w:val="auto"/>
          <w:sz w:val="24"/>
          <w:lang w:val="en-US" w:eastAsia="zh-CN"/>
        </w:rPr>
      </w:pPr>
      <w:r>
        <w:rPr>
          <w:rFonts w:hint="eastAsia" w:ascii="宋体" w:hAnsi="宋体"/>
          <w:b w:val="0"/>
          <w:bCs w:val="0"/>
          <w:color w:val="000000"/>
          <w:sz w:val="24"/>
          <w:lang w:val="en-US" w:eastAsia="zh-CN"/>
        </w:rPr>
        <w:t>承包商应对测绘成果的准确性负责，提供的成果必须满足测绘范围的土地及地</w:t>
      </w:r>
      <w:r>
        <w:rPr>
          <w:rFonts w:hint="eastAsia" w:ascii="宋体" w:hAnsi="宋体"/>
          <w:b w:val="0"/>
          <w:bCs w:val="0"/>
          <w:color w:val="auto"/>
          <w:sz w:val="24"/>
          <w:lang w:val="en-US" w:eastAsia="zh-CN"/>
        </w:rPr>
        <w:t>上建筑物更换及办理不动产权登记证书的需要，如测绘成果不满足当地不动产登记中心要求，应补充测绘或重新测绘完善成果，直至符合不动产中心和发包方要求。测绘成果包含（但不限于）以下成果资料：</w:t>
      </w:r>
    </w:p>
    <w:p>
      <w:pPr>
        <w:numPr>
          <w:ilvl w:val="0"/>
          <w:numId w:val="2"/>
        </w:numPr>
        <w:spacing w:line="360" w:lineRule="auto"/>
        <w:ind w:firstLine="480" w:firstLineChars="200"/>
        <w:rPr>
          <w:rFonts w:hint="eastAsia" w:asciiTheme="minorEastAsia" w:hAnsiTheme="minorEastAsia" w:cstheme="minorEastAsia"/>
          <w:b w:val="0"/>
          <w:bCs w:val="0"/>
          <w:color w:val="auto"/>
          <w:sz w:val="24"/>
          <w:lang w:val="en-US" w:eastAsia="zh-CN"/>
        </w:rPr>
      </w:pPr>
      <w:r>
        <w:rPr>
          <w:rFonts w:hint="eastAsia" w:ascii="宋体" w:hAnsi="宋体"/>
          <w:b w:val="0"/>
          <w:bCs w:val="0"/>
          <w:color w:val="auto"/>
          <w:sz w:val="24"/>
          <w:lang w:val="en-US" w:eastAsia="zh-CN"/>
        </w:rPr>
        <w:t>不动产测绘报告</w:t>
      </w:r>
      <w:r>
        <w:rPr>
          <w:rFonts w:hint="eastAsia" w:asciiTheme="minorEastAsia" w:hAnsiTheme="minorEastAsia" w:eastAsiaTheme="minorEastAsia" w:cstheme="minorEastAsia"/>
          <w:b w:val="0"/>
          <w:bCs w:val="0"/>
          <w:color w:val="auto"/>
          <w:sz w:val="24"/>
          <w:lang w:val="en-US" w:eastAsia="zh-CN"/>
        </w:rPr>
        <w:t>（</w:t>
      </w:r>
      <w:r>
        <w:rPr>
          <w:rFonts w:hint="eastAsia" w:asciiTheme="minorEastAsia" w:hAnsiTheme="minorEastAsia" w:cstheme="minorEastAsia"/>
          <w:b w:val="0"/>
          <w:bCs w:val="0"/>
          <w:color w:val="auto"/>
          <w:sz w:val="24"/>
          <w:lang w:val="en-US" w:eastAsia="zh-CN"/>
        </w:rPr>
        <w:t>4</w:t>
      </w:r>
      <w:r>
        <w:rPr>
          <w:rFonts w:hint="eastAsia" w:asciiTheme="minorEastAsia" w:hAnsiTheme="minorEastAsia" w:eastAsiaTheme="minorEastAsia" w:cstheme="minorEastAsia"/>
          <w:b w:val="0"/>
          <w:bCs w:val="0"/>
          <w:color w:val="auto"/>
          <w:sz w:val="24"/>
          <w:lang w:val="en-US" w:eastAsia="zh-CN"/>
        </w:rPr>
        <w:t>份）</w:t>
      </w:r>
      <w:r>
        <w:rPr>
          <w:rFonts w:hint="eastAsia" w:asciiTheme="minorEastAsia" w:hAnsiTheme="minorEastAsia" w:cstheme="minorEastAsia"/>
          <w:b w:val="0"/>
          <w:bCs w:val="0"/>
          <w:color w:val="auto"/>
          <w:sz w:val="24"/>
          <w:lang w:val="en-US" w:eastAsia="zh-CN"/>
        </w:rPr>
        <w:t>，内容应包含不动产基本信息、宗地图、房屋分户图、房屋调查表、权籍调查、及构筑物测量图成果、分摊原则、成果表、汇交数据等</w:t>
      </w:r>
      <w:r>
        <w:rPr>
          <w:rFonts w:hint="eastAsia" w:ascii="宋体" w:hAnsi="宋体"/>
          <w:b w:val="0"/>
          <w:bCs w:val="0"/>
          <w:color w:val="auto"/>
          <w:sz w:val="24"/>
          <w:lang w:val="en-US" w:eastAsia="zh-CN"/>
        </w:rPr>
        <w:t>成果。</w:t>
      </w:r>
    </w:p>
    <w:p>
      <w:pPr>
        <w:tabs>
          <w:tab w:val="left" w:pos="1080"/>
        </w:tabs>
        <w:spacing w:before="120" w:after="120" w:line="440" w:lineRule="exact"/>
        <w:ind w:firstLine="480" w:firstLineChars="200"/>
        <w:rPr>
          <w:rFonts w:hint="eastAsia" w:ascii="宋体" w:hAnsi="宋体"/>
          <w:sz w:val="24"/>
          <w:lang w:val="en-US" w:eastAsia="zh-CN"/>
        </w:rPr>
      </w:pPr>
      <w:r>
        <w:rPr>
          <w:rFonts w:hint="eastAsia" w:ascii="宋体" w:hAnsi="宋体"/>
          <w:color w:val="auto"/>
          <w:sz w:val="24"/>
          <w:lang w:val="en-US" w:eastAsia="zh-CN"/>
        </w:rPr>
        <w:t>2.</w:t>
      </w:r>
      <w:r>
        <w:rPr>
          <w:rFonts w:hint="eastAsia" w:ascii="宋体" w:hAnsi="宋体"/>
          <w:b w:val="0"/>
          <w:bCs w:val="0"/>
          <w:color w:val="auto"/>
          <w:sz w:val="24"/>
          <w:lang w:val="en-US" w:eastAsia="zh-CN"/>
        </w:rPr>
        <w:t>所有文件均提供电子版（拷贝专用U盘或刻录制成光盘），其中文字采用Word和PDF格式、表格采用 Excel格式、图形采用 AutoCAD或其他通用格式。</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Arial Narrow">
    <w:panose1 w:val="020B0606020202030204"/>
    <w:charset w:val="00"/>
    <w:family w:val="auto"/>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294156"/>
    </w:sdtPr>
    <w:sdtContent>
      <w:p>
        <w:pPr>
          <w:pStyle w:val="7"/>
          <w:jc w:val="center"/>
        </w:pPr>
        <w:r>
          <w:fldChar w:fldCharType="begin"/>
        </w:r>
        <w:r>
          <w:instrText xml:space="preserve"> PAGE   \* MERGEFORMAT </w:instrText>
        </w:r>
        <w:r>
          <w:fldChar w:fldCharType="separate"/>
        </w:r>
        <w:r>
          <w:rPr>
            <w:lang w:val="zh-CN"/>
          </w:rPr>
          <w:t>6</w:t>
        </w:r>
        <w:r>
          <w:rPr>
            <w:lang w:val="zh-CN"/>
          </w:rPr>
          <w:fldChar w:fldCharType="end"/>
        </w:r>
      </w:p>
    </w:sdtContent>
  </w:sdt>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p>
  <w:p>
    <w:pPr>
      <w:pStyle w:val="7"/>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wordWrap w:val="0"/>
      <w:jc w:val="right"/>
    </w:pPr>
    <w:r>
      <w:rPr>
        <w:rFonts w:hint="eastAsia"/>
        <w:sz w:val="21"/>
        <w:szCs w:val="21"/>
      </w:rPr>
      <w:t xml:space="preserve">  </w:t>
    </w:r>
  </w:p>
  <w:p>
    <w:pPr>
      <w:pStyle w:val="8"/>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1C42F0"/>
    <w:multiLevelType w:val="singleLevel"/>
    <w:tmpl w:val="311C42F0"/>
    <w:lvl w:ilvl="0" w:tentative="0">
      <w:start w:val="1"/>
      <w:numFmt w:val="decimal"/>
      <w:lvlText w:val="%1."/>
      <w:lvlJc w:val="left"/>
      <w:pPr>
        <w:tabs>
          <w:tab w:val="left" w:pos="312"/>
        </w:tabs>
      </w:pPr>
    </w:lvl>
  </w:abstractNum>
  <w:abstractNum w:abstractNumId="1">
    <w:nsid w:val="549C26DF"/>
    <w:multiLevelType w:val="multilevel"/>
    <w:tmpl w:val="549C26DF"/>
    <w:lvl w:ilvl="0" w:tentative="0">
      <w:start w:val="1"/>
      <w:numFmt w:val="decimal"/>
      <w:pStyle w:val="3"/>
      <w:suff w:val="nothing"/>
      <w:lvlText w:val="%1."/>
      <w:lvlJc w:val="left"/>
      <w:pPr>
        <w:ind w:left="0" w:firstLine="0"/>
      </w:pPr>
      <w:rPr>
        <w:rFonts w:hint="eastAsia"/>
      </w:rPr>
    </w:lvl>
    <w:lvl w:ilvl="1" w:tentative="0">
      <w:start w:val="1"/>
      <w:numFmt w:val="decimal"/>
      <w:suff w:val="nothing"/>
      <w:lvlText w:val="%1.%2."/>
      <w:lvlJc w:val="left"/>
      <w:pPr>
        <w:ind w:left="567" w:hanging="567"/>
      </w:pPr>
      <w:rPr>
        <w:rFonts w:hint="eastAsia" w:asciiTheme="minorEastAsia" w:hAnsiTheme="minorEastAsia" w:eastAsiaTheme="minorEastAsia"/>
      </w:rPr>
    </w:lvl>
    <w:lvl w:ilvl="2" w:tentative="0">
      <w:start w:val="1"/>
      <w:numFmt w:val="decimal"/>
      <w:suff w:val="nothing"/>
      <w:lvlText w:val="%1.%2.%3."/>
      <w:lvlJc w:val="left"/>
      <w:pPr>
        <w:ind w:left="0" w:firstLine="0"/>
      </w:pPr>
      <w:rPr>
        <w:rFonts w:hint="eastAsia" w:ascii="宋体" w:hAnsi="宋体" w:eastAsia="宋体"/>
      </w:rPr>
    </w:lvl>
    <w:lvl w:ilvl="3" w:tentative="0">
      <w:start w:val="1"/>
      <w:numFmt w:val="decimal"/>
      <w:lvlText w:val="%1.%2.%3.%4."/>
      <w:lvlJc w:val="left"/>
      <w:pPr>
        <w:tabs>
          <w:tab w:val="left" w:pos="1561"/>
        </w:tabs>
        <w:ind w:left="156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zNmI1ODZlMTI4YTFmMTg5MmQ3ZGU5OWZkY2I1OWYifQ=="/>
  </w:docVars>
  <w:rsids>
    <w:rsidRoot w:val="00000000"/>
    <w:rsid w:val="011008DF"/>
    <w:rsid w:val="01DD605A"/>
    <w:rsid w:val="0201354E"/>
    <w:rsid w:val="032007D9"/>
    <w:rsid w:val="03C577D7"/>
    <w:rsid w:val="05453C94"/>
    <w:rsid w:val="0586071E"/>
    <w:rsid w:val="08A90D2D"/>
    <w:rsid w:val="0A9F2A9B"/>
    <w:rsid w:val="0B2E32E2"/>
    <w:rsid w:val="0BB16862"/>
    <w:rsid w:val="0D2941EA"/>
    <w:rsid w:val="0DE0404B"/>
    <w:rsid w:val="0E4312DC"/>
    <w:rsid w:val="0E9B1118"/>
    <w:rsid w:val="0FC442E4"/>
    <w:rsid w:val="105771FD"/>
    <w:rsid w:val="107C456E"/>
    <w:rsid w:val="113D0264"/>
    <w:rsid w:val="12653CC2"/>
    <w:rsid w:val="142F71C0"/>
    <w:rsid w:val="160760F1"/>
    <w:rsid w:val="164A01F6"/>
    <w:rsid w:val="16541115"/>
    <w:rsid w:val="16A06F2B"/>
    <w:rsid w:val="196565AA"/>
    <w:rsid w:val="1A0E2495"/>
    <w:rsid w:val="1B3F38BC"/>
    <w:rsid w:val="1CA91319"/>
    <w:rsid w:val="1CDC4A71"/>
    <w:rsid w:val="1E2C58E8"/>
    <w:rsid w:val="1F263077"/>
    <w:rsid w:val="1F606C16"/>
    <w:rsid w:val="21EA14F1"/>
    <w:rsid w:val="235558E1"/>
    <w:rsid w:val="246B4C91"/>
    <w:rsid w:val="24AD52A9"/>
    <w:rsid w:val="24D14463"/>
    <w:rsid w:val="25620D52"/>
    <w:rsid w:val="259557AD"/>
    <w:rsid w:val="25B64431"/>
    <w:rsid w:val="26B26E88"/>
    <w:rsid w:val="27201D62"/>
    <w:rsid w:val="272C0707"/>
    <w:rsid w:val="299A4FA5"/>
    <w:rsid w:val="2A274D28"/>
    <w:rsid w:val="2AC41C70"/>
    <w:rsid w:val="2AD91FA9"/>
    <w:rsid w:val="2BE47802"/>
    <w:rsid w:val="2CEE0844"/>
    <w:rsid w:val="2E58520B"/>
    <w:rsid w:val="302B3BE0"/>
    <w:rsid w:val="30850E88"/>
    <w:rsid w:val="310E0365"/>
    <w:rsid w:val="312E014F"/>
    <w:rsid w:val="32963820"/>
    <w:rsid w:val="33F33006"/>
    <w:rsid w:val="350902DA"/>
    <w:rsid w:val="353F44F2"/>
    <w:rsid w:val="37DE255E"/>
    <w:rsid w:val="3929719C"/>
    <w:rsid w:val="3C220ACE"/>
    <w:rsid w:val="3C3C5E53"/>
    <w:rsid w:val="3C8822BD"/>
    <w:rsid w:val="3CB064EE"/>
    <w:rsid w:val="3FAF7CCF"/>
    <w:rsid w:val="405759DA"/>
    <w:rsid w:val="40CF4306"/>
    <w:rsid w:val="41AF2209"/>
    <w:rsid w:val="42053F08"/>
    <w:rsid w:val="435766B4"/>
    <w:rsid w:val="440268EB"/>
    <w:rsid w:val="44AD4AEF"/>
    <w:rsid w:val="45633A36"/>
    <w:rsid w:val="46C479C2"/>
    <w:rsid w:val="4867383D"/>
    <w:rsid w:val="496652CD"/>
    <w:rsid w:val="4BD1631C"/>
    <w:rsid w:val="4C8A459A"/>
    <w:rsid w:val="4CB80C1A"/>
    <w:rsid w:val="4EBF2862"/>
    <w:rsid w:val="4F912E1A"/>
    <w:rsid w:val="4FF91A96"/>
    <w:rsid w:val="50C15A73"/>
    <w:rsid w:val="50E56402"/>
    <w:rsid w:val="51CF40DF"/>
    <w:rsid w:val="5305022C"/>
    <w:rsid w:val="578A30A4"/>
    <w:rsid w:val="58A50D34"/>
    <w:rsid w:val="59782611"/>
    <w:rsid w:val="5A835798"/>
    <w:rsid w:val="5AA122A8"/>
    <w:rsid w:val="5B761E9C"/>
    <w:rsid w:val="5BA031E0"/>
    <w:rsid w:val="5F301153"/>
    <w:rsid w:val="5F767D2F"/>
    <w:rsid w:val="60B47011"/>
    <w:rsid w:val="610F74B2"/>
    <w:rsid w:val="616B4EA1"/>
    <w:rsid w:val="620B6657"/>
    <w:rsid w:val="66854BCD"/>
    <w:rsid w:val="683170EE"/>
    <w:rsid w:val="68C61A62"/>
    <w:rsid w:val="69595508"/>
    <w:rsid w:val="695F5A73"/>
    <w:rsid w:val="69E1052C"/>
    <w:rsid w:val="6A4C4D11"/>
    <w:rsid w:val="6B024E7A"/>
    <w:rsid w:val="6BEE5558"/>
    <w:rsid w:val="6C69646A"/>
    <w:rsid w:val="6FBE3914"/>
    <w:rsid w:val="71F812A9"/>
    <w:rsid w:val="7316251F"/>
    <w:rsid w:val="73243C7B"/>
    <w:rsid w:val="73CB0268"/>
    <w:rsid w:val="73DE0A84"/>
    <w:rsid w:val="74647A26"/>
    <w:rsid w:val="74884CAB"/>
    <w:rsid w:val="74CD4672"/>
    <w:rsid w:val="75FA64BC"/>
    <w:rsid w:val="77B85277"/>
    <w:rsid w:val="77EA7E39"/>
    <w:rsid w:val="78F33204"/>
    <w:rsid w:val="7979580E"/>
    <w:rsid w:val="7C044781"/>
    <w:rsid w:val="7D2C0A42"/>
    <w:rsid w:val="7D8424F1"/>
    <w:rsid w:val="7E233FCA"/>
    <w:rsid w:val="7E893384"/>
    <w:rsid w:val="7F030C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numPr>
        <w:ilvl w:val="0"/>
        <w:numId w:val="1"/>
      </w:numPr>
      <w:spacing w:before="120" w:after="120" w:line="360" w:lineRule="auto"/>
      <w:jc w:val="left"/>
      <w:outlineLvl w:val="0"/>
    </w:pPr>
    <w:rPr>
      <w:rFonts w:ascii="Arial" w:hAnsi="Arial" w:eastAsia="幼圆"/>
      <w:b/>
      <w:bCs/>
      <w:kern w:val="44"/>
      <w:sz w:val="24"/>
      <w:szCs w:val="44"/>
    </w:rPr>
  </w:style>
  <w:style w:type="paragraph" w:styleId="4">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4"/>
    <w:basedOn w:val="1"/>
    <w:next w:val="1"/>
    <w:qFormat/>
    <w:uiPriority w:val="0"/>
    <w:pPr>
      <w:tabs>
        <w:tab w:val="left" w:pos="2518"/>
      </w:tabs>
      <w:adjustRightInd w:val="0"/>
      <w:spacing w:before="120" w:line="360" w:lineRule="auto"/>
      <w:ind w:left="2518" w:hanging="1078"/>
      <w:textAlignment w:val="baseline"/>
      <w:outlineLvl w:val="3"/>
    </w:pPr>
    <w:rPr>
      <w:rFonts w:ascii="Arial" w:hAnsi="Arial" w:eastAsia="黑体"/>
      <w:kern w:val="0"/>
      <w:sz w:val="28"/>
      <w:szCs w:val="20"/>
    </w:rPr>
  </w:style>
  <w:style w:type="paragraph" w:styleId="6">
    <w:name w:val="heading 5"/>
    <w:basedOn w:val="1"/>
    <w:next w:val="1"/>
    <w:qFormat/>
    <w:uiPriority w:val="0"/>
    <w:pPr>
      <w:keepNext/>
      <w:keepLines/>
      <w:spacing w:beforeLines="0" w:beforeAutospacing="0" w:afterLines="0" w:afterAutospacing="0" w:line="360" w:lineRule="auto"/>
      <w:jc w:val="left"/>
      <w:outlineLvl w:val="4"/>
    </w:pPr>
    <w:rPr>
      <w:rFonts w:ascii="宋体" w:hAnsi="宋体" w:eastAsia="宋体"/>
      <w:b/>
      <w:sz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11">
    <w:name w:val="font41"/>
    <w:basedOn w:val="10"/>
    <w:qFormat/>
    <w:uiPriority w:val="0"/>
    <w:rPr>
      <w:rFonts w:hint="eastAsia" w:ascii="宋体" w:hAnsi="宋体" w:eastAsia="宋体" w:cs="宋体"/>
      <w:color w:val="000000"/>
      <w:sz w:val="22"/>
      <w:szCs w:val="22"/>
      <w:u w:val="none"/>
    </w:rPr>
  </w:style>
  <w:style w:type="character" w:customStyle="1" w:styleId="12">
    <w:name w:val="font31"/>
    <w:basedOn w:val="10"/>
    <w:qFormat/>
    <w:uiPriority w:val="0"/>
    <w:rPr>
      <w:rFonts w:hint="default" w:ascii="Times New Roman" w:hAnsi="Times New Roman" w:cs="Times New Roman"/>
      <w:color w:val="000000"/>
      <w:sz w:val="22"/>
      <w:szCs w:val="22"/>
      <w:u w:val="none"/>
    </w:rPr>
  </w:style>
  <w:style w:type="character" w:customStyle="1" w:styleId="13">
    <w:name w:val="font21"/>
    <w:basedOn w:val="10"/>
    <w:qFormat/>
    <w:uiPriority w:val="0"/>
    <w:rPr>
      <w:rFonts w:hint="eastAsia" w:ascii="宋体" w:hAnsi="宋体" w:eastAsia="宋体" w:cs="宋体"/>
      <w:color w:val="000000"/>
      <w:sz w:val="22"/>
      <w:szCs w:val="22"/>
      <w:u w:val="none"/>
      <w:vertAlign w:val="subscript"/>
    </w:rPr>
  </w:style>
  <w:style w:type="character" w:customStyle="1" w:styleId="14">
    <w:name w:val="font11"/>
    <w:basedOn w:val="10"/>
    <w:uiPriority w:val="0"/>
    <w:rPr>
      <w:rFonts w:hint="eastAsia" w:ascii="宋体" w:hAnsi="宋体" w:eastAsia="宋体" w:cs="宋体"/>
      <w:color w:val="000000"/>
      <w:sz w:val="22"/>
      <w:szCs w:val="22"/>
      <w:u w:val="none"/>
      <w:vertAlign w:val="superscript"/>
    </w:rPr>
  </w:style>
  <w:style w:type="character" w:customStyle="1" w:styleId="15">
    <w:name w:val="font01"/>
    <w:basedOn w:val="10"/>
    <w:qFormat/>
    <w:uiPriority w:val="0"/>
    <w:rPr>
      <w:rFonts w:hint="default" w:ascii="Times New Roman" w:hAnsi="Times New Roman" w:cs="Times New Roman"/>
      <w:color w:val="000000"/>
      <w:sz w:val="22"/>
      <w:szCs w:val="22"/>
      <w:u w:val="none"/>
      <w:vertAlign w:val="subscript"/>
    </w:rPr>
  </w:style>
  <w:style w:type="character" w:customStyle="1" w:styleId="16">
    <w:name w:val="font51"/>
    <w:basedOn w:val="10"/>
    <w:qFormat/>
    <w:uiPriority w:val="0"/>
    <w:rPr>
      <w:rFonts w:hint="default" w:ascii="Times New Roman" w:hAnsi="Times New Roman" w:cs="Times New Roman"/>
      <w:color w:val="000000"/>
      <w:sz w:val="20"/>
      <w:szCs w:val="20"/>
      <w:u w:val="none"/>
      <w:vertAlign w:val="superscript"/>
    </w:rPr>
  </w:style>
  <w:style w:type="paragraph" w:styleId="17">
    <w:name w:val="List Paragraph"/>
    <w:basedOn w:val="1"/>
    <w:qFormat/>
    <w:uiPriority w:val="34"/>
    <w:pPr>
      <w:ind w:firstLine="42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2232</Words>
  <Characters>2988</Characters>
  <Lines>0</Lines>
  <Paragraphs>0</Paragraphs>
  <TotalTime>11</TotalTime>
  <ScaleCrop>false</ScaleCrop>
  <LinksUpToDate>false</LinksUpToDate>
  <CharactersWithSpaces>3085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2021-12-04T12:45:00Z</dcterms:created>
  <dc:creator>Administrator</dc:creator>
  <cp:lastModifiedBy>吴超</cp:lastModifiedBy>
  <dcterms:modified xsi:type="dcterms:W3CDTF">2024-08-05T09:31:52Z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7A6EDF13D7C94B2CB6AF13A9387ED3F8</vt:lpwstr>
  </property>
</Properties>
</file>