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b/>
          <w:bCs/>
          <w:sz w:val="48"/>
          <w:szCs w:val="48"/>
          <w:lang w:val="en-US" w:eastAsia="zh-CN"/>
        </w:rPr>
      </w:pPr>
      <w:r>
        <w:rPr>
          <w:rFonts w:ascii="宋体" w:hAnsi="宋体"/>
        </w:rPr>
        <w:drawing>
          <wp:anchor distT="0" distB="0" distL="114300" distR="114300" simplePos="0" relativeHeight="251659264" behindDoc="0" locked="0" layoutInCell="1" allowOverlap="1">
            <wp:simplePos x="0" y="0"/>
            <wp:positionH relativeFrom="page">
              <wp:posOffset>-91440</wp:posOffset>
            </wp:positionH>
            <wp:positionV relativeFrom="paragraph">
              <wp:posOffset>-904875</wp:posOffset>
            </wp:positionV>
            <wp:extent cx="7792085" cy="2683510"/>
            <wp:effectExtent l="0" t="0" r="8890" b="2540"/>
            <wp:wrapNone/>
            <wp:docPr id="14" name="图片 2"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2" descr="模板-3"/>
                    <pic:cNvPicPr>
                      <a:picLocks noChangeAspect="1" noChangeArrowheads="1"/>
                    </pic:cNvPicPr>
                  </pic:nvPicPr>
                  <pic:blipFill>
                    <a:blip r:embed="rId4" cstate="print"/>
                    <a:srcRect b="75984"/>
                    <a:stretch>
                      <a:fillRect/>
                    </a:stretch>
                  </pic:blipFill>
                  <pic:spPr>
                    <a:xfrm>
                      <a:off x="0" y="0"/>
                      <a:ext cx="7792085" cy="2683510"/>
                    </a:xfrm>
                    <a:prstGeom prst="rect">
                      <a:avLst/>
                    </a:prstGeom>
                    <a:noFill/>
                    <a:ln w="9525">
                      <a:noFill/>
                      <a:miter lim="800000"/>
                      <a:headEnd/>
                      <a:tailEnd/>
                    </a:ln>
                  </pic:spPr>
                </pic:pic>
              </a:graphicData>
            </a:graphic>
          </wp:anchor>
        </w:drawing>
      </w:r>
    </w:p>
    <w:p>
      <w:pPr>
        <w:jc w:val="center"/>
        <w:rPr>
          <w:rFonts w:hint="eastAsia"/>
          <w:b/>
          <w:bCs/>
          <w:sz w:val="48"/>
          <w:szCs w:val="48"/>
          <w:lang w:val="en-US" w:eastAsia="zh-CN"/>
        </w:rPr>
      </w:pPr>
    </w:p>
    <w:p>
      <w:pPr>
        <w:jc w:val="center"/>
        <w:rPr>
          <w:rFonts w:hint="eastAsia"/>
          <w:b/>
          <w:bCs/>
          <w:sz w:val="48"/>
          <w:szCs w:val="48"/>
          <w:lang w:val="en-US" w:eastAsia="zh-CN"/>
        </w:rPr>
      </w:pPr>
    </w:p>
    <w:p>
      <w:pPr>
        <w:jc w:val="center"/>
        <w:rPr>
          <w:rFonts w:hint="eastAsia"/>
          <w:b/>
          <w:bCs/>
          <w:sz w:val="48"/>
          <w:szCs w:val="48"/>
          <w:lang w:val="en-US" w:eastAsia="zh-CN"/>
        </w:rPr>
      </w:pPr>
    </w:p>
    <w:p>
      <w:pPr>
        <w:jc w:val="center"/>
        <w:rPr>
          <w:rFonts w:hint="eastAsia"/>
          <w:b/>
          <w:bCs/>
          <w:sz w:val="48"/>
          <w:szCs w:val="48"/>
          <w:lang w:val="en-US" w:eastAsia="zh-CN"/>
        </w:rPr>
      </w:pPr>
    </w:p>
    <w:p>
      <w:pPr>
        <w:spacing w:line="600" w:lineRule="auto"/>
        <w:ind w:firstLine="0" w:firstLineChars="0"/>
        <w:jc w:val="center"/>
        <w:rPr>
          <w:rFonts w:hint="eastAsia" w:ascii="宋体" w:hAnsi="宋体" w:cs="黑体"/>
          <w:b/>
          <w:bCs/>
          <w:sz w:val="52"/>
          <w:szCs w:val="52"/>
          <w:lang w:val="en-US" w:eastAsia="zh-CN"/>
        </w:rPr>
      </w:pPr>
    </w:p>
    <w:p>
      <w:pPr>
        <w:spacing w:line="600" w:lineRule="auto"/>
        <w:ind w:firstLine="0" w:firstLineChars="0"/>
        <w:jc w:val="center"/>
        <w:rPr>
          <w:rFonts w:hint="eastAsia" w:ascii="宋体" w:hAnsi="宋体" w:cs="黑体"/>
          <w:b/>
          <w:bCs/>
          <w:sz w:val="52"/>
          <w:szCs w:val="52"/>
          <w:lang w:val="en-US" w:eastAsia="zh-CN"/>
        </w:rPr>
      </w:pPr>
      <w:r>
        <w:rPr>
          <w:rFonts w:hint="eastAsia" w:ascii="宋体" w:hAnsi="宋体" w:cs="黑体"/>
          <w:b/>
          <w:bCs/>
          <w:sz w:val="52"/>
          <w:szCs w:val="52"/>
          <w:lang w:val="en-US" w:eastAsia="zh-CN"/>
        </w:rPr>
        <w:t>零星采购（天通卫星电话）</w:t>
      </w:r>
    </w:p>
    <w:p>
      <w:pPr>
        <w:spacing w:line="600" w:lineRule="auto"/>
        <w:ind w:firstLine="0" w:firstLineChars="0"/>
        <w:jc w:val="center"/>
        <w:rPr>
          <w:rFonts w:hint="eastAsia" w:ascii="宋体" w:hAnsi="宋体" w:cs="黑体"/>
          <w:b/>
          <w:bCs/>
          <w:sz w:val="52"/>
          <w:szCs w:val="52"/>
          <w:lang w:val="en-US" w:eastAsia="zh-CN"/>
        </w:rPr>
      </w:pPr>
      <w:r>
        <w:rPr>
          <w:rFonts w:hint="eastAsia" w:ascii="宋体" w:hAnsi="宋体" w:cs="黑体"/>
          <w:b/>
          <w:bCs/>
          <w:sz w:val="52"/>
          <w:szCs w:val="52"/>
          <w:lang w:val="en-US" w:eastAsia="zh-CN"/>
        </w:rPr>
        <w:t>技术规范书</w:t>
      </w:r>
    </w:p>
    <w:p>
      <w:pPr>
        <w:spacing w:line="600" w:lineRule="auto"/>
        <w:ind w:firstLine="0" w:firstLineChars="0"/>
        <w:jc w:val="center"/>
        <w:rPr>
          <w:rFonts w:hint="eastAsia" w:ascii="宋体" w:hAnsi="宋体" w:cs="黑体"/>
          <w:b/>
          <w:bCs/>
          <w:sz w:val="52"/>
          <w:szCs w:val="52"/>
          <w:lang w:val="en-US" w:eastAsia="zh-CN"/>
        </w:rPr>
      </w:pPr>
    </w:p>
    <w:p>
      <w:pPr>
        <w:spacing w:line="600" w:lineRule="auto"/>
        <w:ind w:firstLine="0" w:firstLineChars="0"/>
        <w:jc w:val="center"/>
        <w:rPr>
          <w:rFonts w:hint="eastAsia" w:ascii="宋体" w:hAnsi="宋体" w:cs="黑体"/>
          <w:b/>
          <w:bCs/>
          <w:sz w:val="52"/>
          <w:szCs w:val="52"/>
          <w:lang w:val="en-US" w:eastAsia="zh-CN"/>
        </w:rPr>
      </w:pPr>
    </w:p>
    <w:p>
      <w:pPr>
        <w:spacing w:line="600" w:lineRule="auto"/>
        <w:ind w:firstLine="0" w:firstLineChars="0"/>
        <w:jc w:val="center"/>
        <w:rPr>
          <w:rFonts w:hint="eastAsia" w:ascii="宋体" w:hAnsi="宋体" w:cs="黑体"/>
          <w:b/>
          <w:bCs/>
          <w:sz w:val="52"/>
          <w:szCs w:val="52"/>
          <w:lang w:val="en-US" w:eastAsia="zh-CN"/>
        </w:rPr>
      </w:pPr>
    </w:p>
    <w:p>
      <w:pPr>
        <w:spacing w:line="600" w:lineRule="auto"/>
        <w:ind w:firstLine="0" w:firstLineChars="0"/>
        <w:jc w:val="center"/>
        <w:rPr>
          <w:rFonts w:hint="eastAsia" w:ascii="宋体" w:hAnsi="宋体" w:cs="黑体"/>
          <w:b/>
          <w:bCs/>
          <w:sz w:val="52"/>
          <w:szCs w:val="52"/>
          <w:lang w:val="en-US" w:eastAsia="zh-CN"/>
        </w:rPr>
      </w:pPr>
    </w:p>
    <w:p>
      <w:pPr>
        <w:spacing w:after="156" w:afterLines="50"/>
        <w:ind w:left="0" w:leftChars="0" w:firstLine="0" w:firstLineChars="0"/>
        <w:jc w:val="center"/>
        <w:rPr>
          <w:rFonts w:hint="eastAsia" w:ascii="宋体" w:hAnsi="宋体"/>
          <w:b/>
          <w:bCs/>
          <w:sz w:val="36"/>
          <w:szCs w:val="36"/>
        </w:rPr>
      </w:pPr>
    </w:p>
    <w:p>
      <w:pPr>
        <w:spacing w:after="156" w:afterLines="50"/>
        <w:ind w:left="0" w:leftChars="0" w:firstLine="0" w:firstLineChars="0"/>
        <w:jc w:val="center"/>
        <w:rPr>
          <w:rFonts w:hint="eastAsia" w:ascii="宋体" w:hAnsi="宋体"/>
          <w:b/>
          <w:bCs/>
          <w:sz w:val="36"/>
          <w:szCs w:val="36"/>
        </w:rPr>
      </w:pPr>
    </w:p>
    <w:p>
      <w:pPr>
        <w:spacing w:after="156" w:afterLines="50"/>
        <w:ind w:left="0" w:leftChars="0" w:firstLine="0" w:firstLineChars="0"/>
        <w:jc w:val="center"/>
        <w:rPr>
          <w:rFonts w:hint="eastAsia" w:ascii="宋体" w:hAnsi="宋体"/>
          <w:b/>
          <w:bCs/>
          <w:sz w:val="36"/>
          <w:szCs w:val="36"/>
        </w:rPr>
      </w:pPr>
      <w:r>
        <w:rPr>
          <w:rFonts w:hint="eastAsia" w:ascii="宋体" w:hAnsi="宋体"/>
          <w:b/>
          <w:bCs/>
          <w:sz w:val="36"/>
          <w:szCs w:val="36"/>
        </w:rPr>
        <w:t>南方电网储能股份有限公司</w:t>
      </w:r>
    </w:p>
    <w:p>
      <w:pPr>
        <w:spacing w:after="156" w:afterLines="50"/>
        <w:ind w:left="0" w:leftChars="0" w:firstLine="0" w:firstLineChars="0"/>
        <w:jc w:val="center"/>
        <w:rPr>
          <w:rFonts w:hint="default" w:ascii="宋体" w:hAnsi="宋体" w:eastAsia="宋体"/>
          <w:b/>
          <w:bCs/>
          <w:sz w:val="36"/>
          <w:szCs w:val="36"/>
          <w:lang w:val="en-US" w:eastAsia="zh-CN"/>
        </w:rPr>
      </w:pPr>
      <w:r>
        <w:rPr>
          <w:rFonts w:hint="eastAsia" w:ascii="宋体" w:hAnsi="宋体"/>
          <w:b/>
          <w:bCs/>
          <w:sz w:val="36"/>
          <w:szCs w:val="36"/>
          <w:lang w:val="en-US" w:eastAsia="zh-CN"/>
        </w:rPr>
        <w:t>西部检修试验分公司</w:t>
      </w:r>
    </w:p>
    <w:p>
      <w:pPr>
        <w:spacing w:after="156" w:afterLines="50"/>
        <w:ind w:left="0" w:leftChars="0" w:firstLine="0" w:firstLineChars="0"/>
        <w:jc w:val="center"/>
        <w:rPr>
          <w:rFonts w:hint="eastAsia" w:ascii="宋体" w:hAnsi="宋体"/>
          <w:b/>
          <w:bCs/>
          <w:sz w:val="36"/>
          <w:szCs w:val="36"/>
          <w:lang w:val="en-US" w:eastAsia="zh-CN"/>
        </w:rPr>
      </w:pPr>
      <w:r>
        <w:rPr>
          <w:rFonts w:ascii="宋体" w:hAnsi="宋体"/>
          <w:b/>
          <w:bCs/>
          <w:sz w:val="36"/>
          <w:szCs w:val="36"/>
        </w:rPr>
        <w:t>202</w:t>
      </w:r>
      <w:r>
        <w:rPr>
          <w:rFonts w:hint="eastAsia" w:ascii="宋体" w:hAnsi="宋体"/>
          <w:b/>
          <w:bCs/>
          <w:sz w:val="36"/>
          <w:szCs w:val="36"/>
        </w:rPr>
        <w:t>4</w:t>
      </w:r>
      <w:r>
        <w:rPr>
          <w:rFonts w:ascii="宋体" w:hAnsi="宋体"/>
          <w:b/>
          <w:bCs/>
          <w:sz w:val="36"/>
          <w:szCs w:val="36"/>
        </w:rPr>
        <w:t>年0</w:t>
      </w:r>
      <w:r>
        <w:rPr>
          <w:rFonts w:hint="eastAsia" w:ascii="宋体" w:hAnsi="宋体"/>
          <w:b/>
          <w:bCs/>
          <w:sz w:val="36"/>
          <w:szCs w:val="36"/>
          <w:lang w:val="en-US" w:eastAsia="zh-CN"/>
        </w:rPr>
        <w:t>8</w:t>
      </w:r>
      <w:r>
        <w:rPr>
          <w:rFonts w:ascii="宋体" w:hAnsi="宋体"/>
          <w:b/>
          <w:bCs/>
          <w:sz w:val="36"/>
          <w:szCs w:val="36"/>
        </w:rPr>
        <w:t>月</w:t>
      </w:r>
      <w:r>
        <w:rPr>
          <w:rFonts w:hint="eastAsia" w:ascii="宋体" w:hAnsi="宋体"/>
          <w:b/>
          <w:bCs/>
          <w:sz w:val="36"/>
          <w:szCs w:val="36"/>
          <w:lang w:val="en-US" w:eastAsia="zh-CN"/>
        </w:rPr>
        <w:t>08日</w:t>
      </w:r>
    </w:p>
    <w:p>
      <w:pPr>
        <w:spacing w:after="156" w:afterLines="50"/>
        <w:ind w:left="0" w:leftChars="0" w:firstLine="0" w:firstLineChars="0"/>
        <w:jc w:val="both"/>
        <w:rPr>
          <w:rFonts w:hint="default" w:ascii="宋体" w:hAnsi="宋体"/>
          <w:b/>
          <w:bCs/>
          <w:sz w:val="44"/>
          <w:szCs w:val="44"/>
          <w:lang w:val="en-US" w:eastAsia="zh-CN"/>
        </w:rPr>
      </w:pPr>
      <w:r>
        <w:rPr>
          <w:rFonts w:hint="eastAsia" w:ascii="宋体" w:hAnsi="宋体"/>
          <w:b/>
          <w:bCs/>
          <w:sz w:val="44"/>
          <w:szCs w:val="44"/>
          <w:lang w:val="en-US" w:eastAsia="zh-CN"/>
        </w:rPr>
        <w:t>1 总则</w:t>
      </w:r>
    </w:p>
    <w:p>
      <w:pPr>
        <w:spacing w:after="156" w:afterLines="50"/>
        <w:ind w:left="0" w:leftChars="0" w:firstLine="420" w:firstLineChars="0"/>
        <w:jc w:val="both"/>
        <w:rPr>
          <w:rFonts w:hint="eastAsia" w:ascii="宋体" w:hAnsi="宋体"/>
          <w:b/>
          <w:bCs/>
          <w:sz w:val="36"/>
          <w:szCs w:val="36"/>
          <w:lang w:val="en-US" w:eastAsia="zh-CN"/>
        </w:rPr>
      </w:pPr>
      <w:r>
        <w:rPr>
          <w:rFonts w:hint="eastAsia" w:ascii="宋体" w:hAnsi="宋体"/>
          <w:b/>
          <w:bCs/>
          <w:sz w:val="36"/>
          <w:szCs w:val="36"/>
          <w:lang w:val="en-US" w:eastAsia="zh-CN"/>
        </w:rPr>
        <w:t>1.1 概述</w:t>
      </w:r>
    </w:p>
    <w:p>
      <w:pPr>
        <w:spacing w:after="156" w:afterLines="50"/>
        <w:ind w:left="420" w:leftChars="0" w:firstLine="420" w:firstLineChars="0"/>
        <w:jc w:val="both"/>
        <w:rPr>
          <w:rFonts w:hint="eastAsia" w:ascii="宋体" w:hAnsi="宋体"/>
          <w:b w:val="0"/>
          <w:bCs w:val="0"/>
          <w:sz w:val="28"/>
          <w:szCs w:val="28"/>
          <w:lang w:val="en-US" w:eastAsia="zh-CN"/>
        </w:rPr>
      </w:pPr>
      <w:r>
        <w:rPr>
          <w:rFonts w:hint="eastAsia" w:ascii="宋体" w:hAnsi="宋体"/>
          <w:b w:val="0"/>
          <w:bCs w:val="0"/>
          <w:sz w:val="28"/>
          <w:szCs w:val="28"/>
          <w:lang w:val="en-US" w:eastAsia="zh-CN"/>
        </w:rPr>
        <w:t>1）投标方需要明确响应产品型号，如投标单位为代理商，需要提供设备制造商出具的项目授权书及制造商出具的售后服务承诺函。</w:t>
      </w:r>
      <w:bookmarkStart w:id="0" w:name="_GoBack"/>
      <w:bookmarkEnd w:id="0"/>
    </w:p>
    <w:p>
      <w:pPr>
        <w:spacing w:after="156" w:afterLines="50"/>
        <w:ind w:left="420" w:leftChars="0" w:firstLine="420" w:firstLineChars="0"/>
        <w:jc w:val="both"/>
        <w:rPr>
          <w:rFonts w:hint="eastAsia" w:ascii="宋体" w:hAnsi="宋体"/>
          <w:b w:val="0"/>
          <w:bCs w:val="0"/>
          <w:sz w:val="28"/>
          <w:szCs w:val="28"/>
          <w:lang w:val="en-US" w:eastAsia="zh-CN"/>
        </w:rPr>
      </w:pPr>
      <w:r>
        <w:rPr>
          <w:rFonts w:hint="eastAsia" w:ascii="宋体" w:hAnsi="宋体"/>
          <w:b w:val="0"/>
          <w:bCs w:val="0"/>
          <w:sz w:val="28"/>
          <w:szCs w:val="28"/>
          <w:lang w:val="en-US" w:eastAsia="zh-CN"/>
        </w:rPr>
        <w:t>2）本招标文件适用于南方电网储能股份有限公司西部检修试验分公司（以下简称招标方）西部修试公司2024年鲁厂天通卫星电话购置项目（以下简称“本项目”），本招标文件的最终解释权归南方电网储能股份有限公司西部检修试验分公司。</w:t>
      </w:r>
    </w:p>
    <w:p>
      <w:pPr>
        <w:spacing w:after="156" w:afterLines="50"/>
        <w:ind w:left="420" w:leftChars="0" w:firstLine="420" w:firstLineChars="0"/>
        <w:jc w:val="both"/>
        <w:rPr>
          <w:rFonts w:hint="eastAsia" w:ascii="宋体" w:hAnsi="宋体"/>
          <w:b w:val="0"/>
          <w:bCs w:val="0"/>
          <w:sz w:val="28"/>
          <w:szCs w:val="28"/>
          <w:lang w:val="en-US" w:eastAsia="zh-CN"/>
        </w:rPr>
      </w:pPr>
      <w:r>
        <w:rPr>
          <w:rFonts w:hint="eastAsia" w:ascii="宋体" w:hAnsi="宋体"/>
          <w:b w:val="0"/>
          <w:bCs w:val="0"/>
          <w:sz w:val="28"/>
          <w:szCs w:val="28"/>
          <w:lang w:val="en-US" w:eastAsia="zh-CN"/>
        </w:rPr>
        <w:t>3）投标方应保证所提供的产品满足本技术规范书所列全部技术要求，否则招标方将有权取消投标方的中标资格，由此产生的一切后果由投标方承担。</w:t>
      </w:r>
    </w:p>
    <w:p>
      <w:pPr>
        <w:spacing w:after="156" w:afterLines="50"/>
        <w:ind w:left="0" w:leftChars="0" w:firstLine="420" w:firstLineChars="0"/>
        <w:jc w:val="both"/>
        <w:rPr>
          <w:rFonts w:hint="eastAsia" w:ascii="宋体" w:hAnsi="宋体"/>
          <w:b/>
          <w:bCs/>
          <w:sz w:val="36"/>
          <w:szCs w:val="36"/>
          <w:lang w:val="en-US" w:eastAsia="zh-CN"/>
        </w:rPr>
      </w:pPr>
      <w:r>
        <w:rPr>
          <w:rFonts w:hint="eastAsia" w:ascii="宋体" w:hAnsi="宋体"/>
          <w:b/>
          <w:bCs/>
          <w:sz w:val="36"/>
          <w:szCs w:val="36"/>
          <w:lang w:val="en-US" w:eastAsia="zh-CN"/>
        </w:rPr>
        <w:t>1.2 采购范围</w:t>
      </w:r>
    </w:p>
    <w:tbl>
      <w:tblPr>
        <w:tblStyle w:val="6"/>
        <w:tblW w:w="105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25"/>
        <w:gridCol w:w="1387"/>
        <w:gridCol w:w="1781"/>
        <w:gridCol w:w="2719"/>
        <w:gridCol w:w="722"/>
        <w:gridCol w:w="712"/>
        <w:gridCol w:w="1106"/>
        <w:gridCol w:w="163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25" w:type="dxa"/>
            <w:vAlign w:val="center"/>
          </w:tcPr>
          <w:p>
            <w:pPr>
              <w:ind w:left="0" w:leftChars="0" w:firstLine="0" w:firstLineChars="0"/>
              <w:jc w:val="center"/>
              <w:rPr>
                <w:rFonts w:hint="default"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序号</w:t>
            </w:r>
          </w:p>
        </w:tc>
        <w:tc>
          <w:tcPr>
            <w:tcW w:w="1387" w:type="dxa"/>
            <w:vAlign w:val="center"/>
          </w:tcPr>
          <w:p>
            <w:pPr>
              <w:ind w:left="0" w:leftChars="0" w:firstLine="0" w:firstLineChars="0"/>
              <w:jc w:val="center"/>
              <w:rPr>
                <w:rFonts w:hint="default"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设备名称</w:t>
            </w:r>
          </w:p>
        </w:tc>
        <w:tc>
          <w:tcPr>
            <w:tcW w:w="1781" w:type="dxa"/>
            <w:vAlign w:val="center"/>
          </w:tcPr>
          <w:p>
            <w:pPr>
              <w:ind w:left="0" w:leftChars="0" w:firstLine="0" w:firstLineChars="0"/>
              <w:jc w:val="center"/>
              <w:rPr>
                <w:rFonts w:hint="default"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规格型号</w:t>
            </w:r>
          </w:p>
        </w:tc>
        <w:tc>
          <w:tcPr>
            <w:tcW w:w="2719" w:type="dxa"/>
            <w:vAlign w:val="center"/>
          </w:tcPr>
          <w:p>
            <w:pPr>
              <w:ind w:left="0" w:leftChars="0" w:firstLine="0" w:firstLineChars="0"/>
              <w:jc w:val="center"/>
              <w:rPr>
                <w:rFonts w:hint="default"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技术要求</w:t>
            </w:r>
          </w:p>
        </w:tc>
        <w:tc>
          <w:tcPr>
            <w:tcW w:w="722" w:type="dxa"/>
            <w:vAlign w:val="center"/>
          </w:tcPr>
          <w:p>
            <w:pPr>
              <w:ind w:left="0" w:leftChars="0" w:firstLine="0" w:firstLineChars="0"/>
              <w:jc w:val="center"/>
              <w:rPr>
                <w:rFonts w:hint="default"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数量</w:t>
            </w:r>
          </w:p>
        </w:tc>
        <w:tc>
          <w:tcPr>
            <w:tcW w:w="712" w:type="dxa"/>
            <w:vAlign w:val="center"/>
          </w:tcPr>
          <w:p>
            <w:pPr>
              <w:ind w:left="0" w:leftChars="0" w:firstLine="0" w:firstLineChars="0"/>
              <w:jc w:val="center"/>
              <w:rPr>
                <w:rFonts w:hint="default"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计量单位</w:t>
            </w:r>
          </w:p>
        </w:tc>
        <w:tc>
          <w:tcPr>
            <w:tcW w:w="1106" w:type="dxa"/>
            <w:vAlign w:val="center"/>
          </w:tcPr>
          <w:p>
            <w:pPr>
              <w:ind w:left="0" w:leftChars="0" w:firstLine="0" w:firstLineChars="0"/>
              <w:jc w:val="center"/>
              <w:rPr>
                <w:rFonts w:hint="default"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供货时间要求</w:t>
            </w:r>
          </w:p>
        </w:tc>
        <w:tc>
          <w:tcPr>
            <w:tcW w:w="1637" w:type="dxa"/>
            <w:vAlign w:val="center"/>
          </w:tcPr>
          <w:p>
            <w:pPr>
              <w:ind w:left="0" w:leftChars="0" w:firstLine="0" w:firstLineChars="0"/>
              <w:jc w:val="center"/>
              <w:rPr>
                <w:rFonts w:hint="eastAsia" w:ascii="宋体" w:hAnsi="宋体" w:eastAsia="宋体" w:cs="宋体"/>
                <w:b w:val="0"/>
                <w:bCs w:val="0"/>
                <w:kern w:val="2"/>
                <w:sz w:val="24"/>
                <w:szCs w:val="24"/>
                <w:vertAlign w:val="baseline"/>
                <w:lang w:val="en-US" w:eastAsia="zh-CN" w:bidi="ar-SA"/>
              </w:rPr>
            </w:pPr>
            <w:r>
              <w:rPr>
                <w:rFonts w:hint="eastAsia" w:ascii="宋体" w:hAnsi="宋体" w:eastAsia="宋体" w:cs="宋体"/>
                <w:b w:val="0"/>
                <w:bCs w:val="0"/>
                <w:sz w:val="24"/>
                <w:szCs w:val="24"/>
                <w:vertAlign w:val="baseli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42" w:hRule="atLeast"/>
          <w:jc w:val="center"/>
        </w:trPr>
        <w:tc>
          <w:tcPr>
            <w:tcW w:w="525" w:type="dxa"/>
            <w:vAlign w:val="center"/>
          </w:tcPr>
          <w:p>
            <w:pPr>
              <w:ind w:left="0" w:leftChars="0" w:firstLine="0" w:firstLineChars="0"/>
              <w:jc w:val="center"/>
              <w:rPr>
                <w:rFonts w:hint="default"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1</w:t>
            </w:r>
          </w:p>
        </w:tc>
        <w:tc>
          <w:tcPr>
            <w:tcW w:w="1387" w:type="dxa"/>
            <w:vAlign w:val="center"/>
          </w:tcPr>
          <w:p>
            <w:pPr>
              <w:ind w:left="0" w:leftChars="0" w:firstLine="0" w:firstLineChars="0"/>
              <w:jc w:val="center"/>
              <w:rPr>
                <w:rFonts w:hint="default"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天通一号卫星电话</w:t>
            </w:r>
          </w:p>
        </w:tc>
        <w:tc>
          <w:tcPr>
            <w:tcW w:w="1781" w:type="dxa"/>
            <w:vAlign w:val="center"/>
          </w:tcPr>
          <w:p>
            <w:pPr>
              <w:ind w:left="0" w:leftChars="0" w:firstLine="0" w:firstLineChars="0"/>
              <w:jc w:val="center"/>
              <w:rPr>
                <w:rFonts w:hint="default" w:ascii="宋体" w:hAnsi="宋体" w:eastAsia="宋体" w:cs="宋体"/>
                <w:b w:val="0"/>
                <w:bCs w:val="0"/>
                <w:sz w:val="24"/>
                <w:szCs w:val="24"/>
                <w:vertAlign w:val="baseline"/>
                <w:lang w:val="en-US" w:eastAsia="zh-CN"/>
              </w:rPr>
            </w:pPr>
            <w:r>
              <w:rPr>
                <w:rFonts w:hint="default" w:ascii="宋体" w:hAnsi="宋体" w:eastAsia="宋体" w:cs="宋体"/>
                <w:b w:val="0"/>
                <w:bCs w:val="0"/>
                <w:sz w:val="24"/>
                <w:szCs w:val="24"/>
                <w:vertAlign w:val="baseline"/>
                <w:lang w:val="en-US" w:eastAsia="zh-CN"/>
              </w:rPr>
              <w:t>乐众Lesat P2</w:t>
            </w:r>
          </w:p>
        </w:tc>
        <w:tc>
          <w:tcPr>
            <w:tcW w:w="2719" w:type="dxa"/>
            <w:vAlign w:val="center"/>
          </w:tcPr>
          <w:p>
            <w:pPr>
              <w:ind w:left="0" w:leftChars="0" w:firstLine="0" w:firstLineChars="0"/>
              <w:jc w:val="both"/>
              <w:rPr>
                <w:rFonts w:hint="default" w:ascii="宋体" w:hAnsi="宋体" w:eastAsia="宋体" w:cs="宋体"/>
                <w:b w:val="0"/>
                <w:bCs w:val="0"/>
                <w:sz w:val="24"/>
                <w:szCs w:val="24"/>
                <w:vertAlign w:val="baseline"/>
                <w:lang w:val="en-US" w:eastAsia="zh-CN"/>
              </w:rPr>
            </w:pPr>
            <w:r>
              <w:rPr>
                <w:rFonts w:hint="default" w:ascii="宋体" w:hAnsi="宋体" w:eastAsia="宋体" w:cs="宋体"/>
                <w:b w:val="0"/>
                <w:bCs w:val="0"/>
                <w:sz w:val="24"/>
                <w:szCs w:val="24"/>
                <w:vertAlign w:val="baseline"/>
                <w:lang w:val="en-US" w:eastAsia="zh-CN"/>
              </w:rPr>
              <w:t>天通卫星电话终端（含1年通信资费）</w:t>
            </w:r>
            <w:r>
              <w:rPr>
                <w:rFonts w:hint="eastAsia" w:ascii="宋体" w:hAnsi="宋体" w:eastAsia="宋体" w:cs="宋体"/>
                <w:b w:val="0"/>
                <w:bCs w:val="0"/>
                <w:sz w:val="24"/>
                <w:szCs w:val="24"/>
                <w:vertAlign w:val="baseline"/>
                <w:lang w:val="en-US" w:eastAsia="zh-CN"/>
              </w:rPr>
              <w:t>，其余技术要求详见本技术规范书</w:t>
            </w:r>
          </w:p>
        </w:tc>
        <w:tc>
          <w:tcPr>
            <w:tcW w:w="722" w:type="dxa"/>
            <w:vAlign w:val="center"/>
          </w:tcPr>
          <w:p>
            <w:pPr>
              <w:ind w:left="0" w:leftChars="0" w:firstLine="0" w:firstLineChars="0"/>
              <w:jc w:val="center"/>
              <w:rPr>
                <w:rFonts w:hint="default"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3</w:t>
            </w:r>
          </w:p>
        </w:tc>
        <w:tc>
          <w:tcPr>
            <w:tcW w:w="712" w:type="dxa"/>
            <w:vAlign w:val="center"/>
          </w:tcPr>
          <w:p>
            <w:pPr>
              <w:ind w:left="0" w:leftChars="0" w:firstLine="0" w:firstLineChars="0"/>
              <w:jc w:val="center"/>
              <w:rPr>
                <w:rFonts w:hint="default"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部</w:t>
            </w:r>
          </w:p>
        </w:tc>
        <w:tc>
          <w:tcPr>
            <w:tcW w:w="1106" w:type="dxa"/>
            <w:vAlign w:val="center"/>
          </w:tcPr>
          <w:p>
            <w:pPr>
              <w:ind w:left="0" w:leftChars="0" w:firstLine="0" w:firstLineChars="0"/>
              <w:jc w:val="left"/>
              <w:rPr>
                <w:rFonts w:hint="default"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2024年8月30日前</w:t>
            </w:r>
          </w:p>
        </w:tc>
        <w:tc>
          <w:tcPr>
            <w:tcW w:w="1637" w:type="dxa"/>
            <w:vAlign w:val="center"/>
          </w:tcPr>
          <w:p>
            <w:pPr>
              <w:ind w:left="0" w:leftChars="0" w:firstLine="0" w:firstLineChars="0"/>
              <w:jc w:val="left"/>
              <w:rPr>
                <w:rFonts w:hint="eastAsia" w:ascii="宋体" w:hAnsi="宋体" w:eastAsia="宋体" w:cs="宋体"/>
                <w:b w:val="0"/>
                <w:bCs w:val="0"/>
                <w:kern w:val="2"/>
                <w:sz w:val="24"/>
                <w:szCs w:val="24"/>
                <w:vertAlign w:val="baseline"/>
                <w:lang w:val="en-US" w:eastAsia="zh-CN" w:bidi="ar-SA"/>
              </w:rPr>
            </w:pPr>
            <w:r>
              <w:rPr>
                <w:rFonts w:hint="eastAsia" w:ascii="宋体" w:hAnsi="宋体" w:eastAsia="宋体" w:cs="宋体"/>
                <w:b w:val="0"/>
                <w:bCs w:val="0"/>
                <w:sz w:val="24"/>
                <w:szCs w:val="24"/>
                <w:vertAlign w:val="baseline"/>
                <w:lang w:val="en-US" w:eastAsia="zh-CN"/>
              </w:rPr>
              <w:t>每部电话均包含1年天通卫星语音使用套餐费</w:t>
            </w:r>
          </w:p>
        </w:tc>
      </w:tr>
    </w:tbl>
    <w:p>
      <w:pPr>
        <w:spacing w:after="156" w:afterLines="50"/>
        <w:ind w:left="0" w:leftChars="0" w:firstLine="420" w:firstLineChars="0"/>
        <w:jc w:val="both"/>
        <w:rPr>
          <w:rFonts w:hint="default" w:ascii="宋体" w:hAnsi="宋体"/>
          <w:b w:val="0"/>
          <w:bCs w:val="0"/>
          <w:sz w:val="32"/>
          <w:szCs w:val="32"/>
          <w:lang w:val="en-US" w:eastAsia="zh-CN"/>
        </w:rPr>
      </w:pPr>
    </w:p>
    <w:p>
      <w:pPr>
        <w:spacing w:after="156" w:afterLines="50"/>
        <w:ind w:left="0" w:leftChars="0" w:firstLine="420" w:firstLineChars="0"/>
        <w:jc w:val="both"/>
        <w:rPr>
          <w:rFonts w:hint="eastAsia" w:ascii="宋体" w:hAnsi="宋体"/>
          <w:b/>
          <w:bCs/>
          <w:sz w:val="36"/>
          <w:szCs w:val="36"/>
          <w:lang w:val="en-US" w:eastAsia="zh-CN"/>
        </w:rPr>
      </w:pPr>
      <w:r>
        <w:rPr>
          <w:rFonts w:hint="eastAsia" w:ascii="宋体" w:hAnsi="宋体"/>
          <w:b/>
          <w:bCs/>
          <w:sz w:val="36"/>
          <w:szCs w:val="36"/>
          <w:lang w:val="en-US" w:eastAsia="zh-CN"/>
        </w:rPr>
        <w:t>1.3 应遵循的主要技术标准</w:t>
      </w:r>
    </w:p>
    <w:p>
      <w:pPr>
        <w:pStyle w:val="2"/>
        <w:ind w:left="420" w:leftChars="0" w:firstLine="420" w:firstLineChars="0"/>
        <w:rPr>
          <w:rFonts w:hint="default"/>
          <w:sz w:val="28"/>
          <w:szCs w:val="28"/>
          <w:lang w:val="en-US" w:eastAsia="zh-CN"/>
        </w:rPr>
      </w:pPr>
      <w:r>
        <w:rPr>
          <w:rFonts w:hint="eastAsia" w:ascii="Times New Roman" w:hAnsi="Times New Roman" w:eastAsia="宋体" w:cs="Times New Roman"/>
          <w:color w:val="auto"/>
          <w:sz w:val="28"/>
          <w:szCs w:val="28"/>
          <w:highlight w:val="none"/>
          <w:lang w:val="en-US" w:eastAsia="zh-CN"/>
        </w:rPr>
        <w:t>投标方所投产品</w:t>
      </w:r>
      <w:r>
        <w:rPr>
          <w:rFonts w:hint="default" w:ascii="Times New Roman" w:hAnsi="Times New Roman" w:eastAsia="宋体" w:cs="Times New Roman"/>
          <w:color w:val="auto"/>
          <w:sz w:val="28"/>
          <w:szCs w:val="28"/>
          <w:highlight w:val="none"/>
        </w:rPr>
        <w:t>至少应满足最新版本的以下规定、规范和标准的要求，但不限于以下规定、规范和标准。</w:t>
      </w:r>
    </w:p>
    <w:tbl>
      <w:tblPr>
        <w:tblStyle w:val="5"/>
        <w:tblW w:w="8730"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2714"/>
        <w:gridCol w:w="6016"/>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2714" w:type="dxa"/>
            <w:tcMar>
              <w:left w:w="0" w:type="dxa"/>
              <w:right w:w="0" w:type="dxa"/>
            </w:tcMar>
            <w:vAlign w:val="center"/>
          </w:tcPr>
          <w:p>
            <w:pPr>
              <w:snapToGrid w:val="0"/>
              <w:spacing w:before="60" w:after="60"/>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标  准  号</w:t>
            </w:r>
          </w:p>
        </w:tc>
        <w:tc>
          <w:tcPr>
            <w:tcW w:w="6016" w:type="dxa"/>
            <w:tcMar>
              <w:left w:w="0" w:type="dxa"/>
              <w:right w:w="0" w:type="dxa"/>
            </w:tcMar>
            <w:vAlign w:val="center"/>
          </w:tcPr>
          <w:p>
            <w:pPr>
              <w:snapToGrid w:val="0"/>
              <w:spacing w:before="60" w:after="60"/>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标  准  名  称</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19" w:hRule="atLeast"/>
          <w:jc w:val="center"/>
        </w:trPr>
        <w:tc>
          <w:tcPr>
            <w:tcW w:w="2714" w:type="dxa"/>
            <w:tcMar>
              <w:left w:w="0" w:type="dxa"/>
              <w:right w:w="0" w:type="dxa"/>
            </w:tcMar>
            <w:vAlign w:val="center"/>
          </w:tcPr>
          <w:p>
            <w:pPr>
              <w:snapToGrid w:val="0"/>
              <w:spacing w:before="60" w:after="60" w:line="240" w:lineRule="auto"/>
              <w:jc w:val="center"/>
              <w:rPr>
                <w:rFonts w:hint="default" w:ascii="Times New Roman" w:hAnsi="Times New Roman" w:eastAsia="宋体" w:cs="Times New Roman"/>
                <w:color w:val="auto"/>
                <w:sz w:val="24"/>
                <w:szCs w:val="24"/>
                <w:highlight w:val="none"/>
              </w:rPr>
            </w:pPr>
            <w:r>
              <w:rPr>
                <w:rFonts w:hint="eastAsia" w:ascii="宋体" w:hAnsi="宋体" w:cs="宋体"/>
                <w:sz w:val="24"/>
                <w:szCs w:val="24"/>
                <w:lang w:eastAsia="zh-CN"/>
              </w:rPr>
              <w:t>ISO9000-GB/T19000</w:t>
            </w:r>
          </w:p>
        </w:tc>
        <w:tc>
          <w:tcPr>
            <w:tcW w:w="6016" w:type="dxa"/>
            <w:tcMar>
              <w:left w:w="0" w:type="dxa"/>
              <w:right w:w="0" w:type="dxa"/>
            </w:tcMar>
            <w:vAlign w:val="center"/>
          </w:tcPr>
          <w:p>
            <w:pPr>
              <w:snapToGrid w:val="0"/>
              <w:spacing w:before="60" w:after="60" w:line="240" w:lineRule="auto"/>
              <w:ind w:right="42" w:rightChars="20"/>
              <w:jc w:val="center"/>
              <w:rPr>
                <w:rFonts w:hint="default" w:ascii="Times New Roman" w:hAnsi="Times New Roman" w:eastAsia="宋体" w:cs="Times New Roman"/>
                <w:color w:val="auto"/>
                <w:sz w:val="24"/>
                <w:szCs w:val="24"/>
                <w:highlight w:val="none"/>
              </w:rPr>
            </w:pPr>
            <w:r>
              <w:rPr>
                <w:rFonts w:hint="eastAsia" w:ascii="宋体" w:hAnsi="宋体" w:cs="宋体"/>
                <w:sz w:val="24"/>
                <w:szCs w:val="24"/>
                <w:lang w:eastAsia="zh-CN"/>
              </w:rPr>
              <w:t>国家认证</w:t>
            </w:r>
            <w:r>
              <w:rPr>
                <w:rFonts w:hint="eastAsia" w:ascii="宋体" w:hAnsi="宋体" w:cs="宋体"/>
                <w:sz w:val="24"/>
                <w:szCs w:val="24"/>
                <w:lang w:val="en-US" w:eastAsia="zh-CN"/>
              </w:rPr>
              <w:t>生产</w:t>
            </w:r>
            <w:r>
              <w:rPr>
                <w:rFonts w:hint="eastAsia" w:ascii="宋体" w:hAnsi="宋体" w:cs="宋体"/>
                <w:sz w:val="24"/>
                <w:szCs w:val="24"/>
                <w:lang w:eastAsia="zh-CN"/>
              </w:rPr>
              <w:t>质量保证体系</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2714" w:type="dxa"/>
            <w:tcMar>
              <w:left w:w="0" w:type="dxa"/>
              <w:right w:w="0" w:type="dxa"/>
            </w:tcMar>
            <w:vAlign w:val="center"/>
          </w:tcPr>
          <w:p>
            <w:pPr>
              <w:snapToGrid w:val="0"/>
              <w:spacing w:before="60" w:after="60" w:line="240" w:lineRule="auto"/>
              <w:jc w:val="center"/>
              <w:rPr>
                <w:rFonts w:hint="default" w:ascii="Times New Roman" w:hAnsi="Times New Roman" w:eastAsia="宋体" w:cs="Times New Roman"/>
                <w:color w:val="auto"/>
                <w:sz w:val="24"/>
                <w:szCs w:val="24"/>
                <w:highlight w:val="none"/>
                <w:lang w:val="en-US" w:eastAsia="zh-CN"/>
              </w:rPr>
            </w:pPr>
            <w:r>
              <w:rPr>
                <w:rFonts w:hint="eastAsia" w:ascii="宋体" w:hAnsi="宋体" w:eastAsia="宋体" w:cs="宋体"/>
                <w:sz w:val="24"/>
                <w:szCs w:val="24"/>
                <w:lang w:eastAsia="zh-CN"/>
              </w:rPr>
              <w:t>Q/CSG1203028-2017</w:t>
            </w:r>
          </w:p>
        </w:tc>
        <w:tc>
          <w:tcPr>
            <w:tcW w:w="6016" w:type="dxa"/>
            <w:tcMar>
              <w:left w:w="0" w:type="dxa"/>
              <w:right w:w="0" w:type="dxa"/>
            </w:tcMar>
            <w:vAlign w:val="center"/>
          </w:tcPr>
          <w:p>
            <w:pPr>
              <w:snapToGrid w:val="0"/>
              <w:spacing w:line="240" w:lineRule="auto"/>
              <w:jc w:val="center"/>
              <w:rPr>
                <w:rFonts w:hint="default" w:ascii="Times New Roman" w:hAnsi="Times New Roman" w:eastAsia="宋体" w:cs="Times New Roman"/>
                <w:color w:val="auto"/>
                <w:sz w:val="24"/>
                <w:szCs w:val="24"/>
                <w:highlight w:val="none"/>
              </w:rPr>
            </w:pPr>
            <w:r>
              <w:rPr>
                <w:sz w:val="24"/>
                <w:szCs w:val="24"/>
              </w:rPr>
              <w:fldChar w:fldCharType="begin"/>
            </w:r>
            <w:r>
              <w:rPr>
                <w:sz w:val="24"/>
                <w:szCs w:val="24"/>
                <w:lang w:eastAsia="zh-CN"/>
              </w:rPr>
              <w:instrText xml:space="preserve"> HYPERLINK "http://www.ptsn.net.cn/standard/std_query/show-yd-1220-1.htm" \t "_blank" </w:instrText>
            </w:r>
            <w:r>
              <w:rPr>
                <w:sz w:val="24"/>
                <w:szCs w:val="24"/>
              </w:rPr>
              <w:fldChar w:fldCharType="separate"/>
            </w:r>
            <w:r>
              <w:rPr>
                <w:rFonts w:hint="eastAsia" w:ascii="宋体" w:hAnsi="宋体"/>
                <w:sz w:val="24"/>
                <w:szCs w:val="24"/>
                <w:lang w:eastAsia="zh-CN"/>
              </w:rPr>
              <w:t>南方电网应急通信网络及装备技术规范</w:t>
            </w:r>
            <w:r>
              <w:rPr>
                <w:rFonts w:ascii="宋体" w:hAnsi="宋体"/>
                <w:sz w:val="24"/>
                <w:szCs w:val="24"/>
              </w:rPr>
              <w:fldChar w:fldCharType="end"/>
            </w:r>
          </w:p>
        </w:tc>
      </w:tr>
    </w:tbl>
    <w:p>
      <w:pPr>
        <w:spacing w:after="156" w:afterLines="50"/>
        <w:ind w:left="0" w:leftChars="0" w:firstLine="0" w:firstLineChars="0"/>
        <w:jc w:val="both"/>
        <w:rPr>
          <w:rFonts w:hint="eastAsia" w:ascii="宋体" w:hAnsi="宋体"/>
          <w:b/>
          <w:bCs/>
          <w:sz w:val="44"/>
          <w:szCs w:val="44"/>
          <w:lang w:val="en-US" w:eastAsia="zh-CN"/>
        </w:rPr>
      </w:pPr>
    </w:p>
    <w:p>
      <w:pPr>
        <w:spacing w:after="156" w:afterLines="50"/>
        <w:ind w:left="0" w:leftChars="0" w:firstLine="0" w:firstLineChars="0"/>
        <w:jc w:val="both"/>
        <w:rPr>
          <w:rFonts w:hint="default" w:ascii="宋体" w:hAnsi="宋体"/>
          <w:b/>
          <w:bCs/>
          <w:sz w:val="44"/>
          <w:szCs w:val="44"/>
          <w:lang w:val="en-US" w:eastAsia="zh-CN"/>
        </w:rPr>
      </w:pPr>
      <w:r>
        <w:rPr>
          <w:rFonts w:hint="eastAsia" w:ascii="宋体" w:hAnsi="宋体"/>
          <w:b/>
          <w:bCs/>
          <w:sz w:val="44"/>
          <w:szCs w:val="44"/>
          <w:lang w:val="en-US" w:eastAsia="zh-CN"/>
        </w:rPr>
        <w:t>2 技术规范</w:t>
      </w:r>
    </w:p>
    <w:p>
      <w:pPr>
        <w:spacing w:after="156" w:afterLines="50"/>
        <w:ind w:left="0" w:leftChars="0" w:firstLine="420" w:firstLineChars="0"/>
        <w:jc w:val="both"/>
        <w:rPr>
          <w:rFonts w:hint="default" w:ascii="宋体" w:hAnsi="宋体"/>
          <w:b/>
          <w:bCs/>
          <w:sz w:val="36"/>
          <w:szCs w:val="36"/>
          <w:lang w:val="en-US" w:eastAsia="zh-CN"/>
        </w:rPr>
      </w:pPr>
      <w:r>
        <w:rPr>
          <w:rFonts w:hint="eastAsia" w:ascii="宋体" w:hAnsi="宋体"/>
          <w:b/>
          <w:bCs/>
          <w:sz w:val="36"/>
          <w:szCs w:val="36"/>
          <w:lang w:val="en-US" w:eastAsia="zh-CN"/>
        </w:rPr>
        <w:t>2.1 产品技术参数要求</w:t>
      </w:r>
    </w:p>
    <w:tbl>
      <w:tblPr>
        <w:tblStyle w:val="5"/>
        <w:tblW w:w="9051" w:type="dxa"/>
        <w:tblInd w:w="0" w:type="dxa"/>
        <w:tblLayout w:type="autofit"/>
        <w:tblCellMar>
          <w:top w:w="0" w:type="dxa"/>
          <w:left w:w="108" w:type="dxa"/>
          <w:bottom w:w="0" w:type="dxa"/>
          <w:right w:w="108" w:type="dxa"/>
        </w:tblCellMar>
      </w:tblPr>
      <w:tblGrid>
        <w:gridCol w:w="1203"/>
        <w:gridCol w:w="7848"/>
      </w:tblGrid>
      <w:tr>
        <w:tblPrEx>
          <w:tblCellMar>
            <w:top w:w="0" w:type="dxa"/>
            <w:left w:w="108" w:type="dxa"/>
            <w:bottom w:w="0" w:type="dxa"/>
            <w:right w:w="108" w:type="dxa"/>
          </w:tblCellMar>
        </w:tblPrEx>
        <w:trPr>
          <w:trHeight w:val="379" w:hRule="atLeast"/>
        </w:trPr>
        <w:tc>
          <w:tcPr>
            <w:tcW w:w="1203"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名称</w:t>
            </w:r>
          </w:p>
        </w:tc>
        <w:tc>
          <w:tcPr>
            <w:tcW w:w="7848"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技术参数</w:t>
            </w:r>
          </w:p>
        </w:tc>
      </w:tr>
      <w:tr>
        <w:tblPrEx>
          <w:tblCellMar>
            <w:top w:w="0" w:type="dxa"/>
            <w:left w:w="108" w:type="dxa"/>
            <w:bottom w:w="0" w:type="dxa"/>
            <w:right w:w="108" w:type="dxa"/>
          </w:tblCellMar>
        </w:tblPrEx>
        <w:trPr>
          <w:trHeight w:val="379" w:hRule="atLeast"/>
        </w:trPr>
        <w:tc>
          <w:tcPr>
            <w:tcW w:w="1203"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天通一号卫星电话（乐众Lesat P2）</w:t>
            </w:r>
          </w:p>
        </w:tc>
        <w:tc>
          <w:tcPr>
            <w:tcW w:w="7848"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1、基本功能：天通卫星和全网通移动网络话音、短信和数据功能、 北斗和GPS定位功能。</w:t>
            </w:r>
          </w:p>
        </w:tc>
      </w:tr>
      <w:tr>
        <w:tblPrEx>
          <w:tblCellMar>
            <w:top w:w="0" w:type="dxa"/>
            <w:left w:w="108" w:type="dxa"/>
            <w:bottom w:w="0" w:type="dxa"/>
            <w:right w:w="108" w:type="dxa"/>
          </w:tblCellMar>
        </w:tblPrEx>
        <w:trPr>
          <w:trHeight w:val="379" w:hRule="atLeast"/>
        </w:trPr>
        <w:tc>
          <w:tcPr>
            <w:tcW w:w="1203" w:type="dxa"/>
            <w:vMerge w:val="continue"/>
            <w:tcBorders>
              <w:top w:val="single" w:color="auto" w:sz="4" w:space="0"/>
              <w:left w:val="single" w:color="auto" w:sz="4" w:space="0"/>
              <w:bottom w:val="single" w:color="auto" w:sz="4" w:space="0"/>
              <w:right w:val="single" w:color="auto" w:sz="4" w:space="0"/>
            </w:tcBorders>
            <w:vAlign w:val="center"/>
          </w:tcPr>
          <w:p>
            <w:pPr>
              <w:spacing w:line="360" w:lineRule="auto"/>
              <w:rPr>
                <w:rFonts w:hint="eastAsia" w:ascii="宋体" w:hAnsi="宋体" w:eastAsia="宋体" w:cs="宋体"/>
                <w:color w:val="auto"/>
                <w:sz w:val="24"/>
                <w:szCs w:val="24"/>
                <w:highlight w:val="none"/>
                <w:lang w:val="en-US" w:eastAsia="zh-CN"/>
              </w:rPr>
            </w:pPr>
          </w:p>
        </w:tc>
        <w:tc>
          <w:tcPr>
            <w:tcW w:w="7848"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2、卫星话音速率：话音1.2kbps/2.4kbps/4kbps； 卫星数据速率：1.2kbps-9.6kbps。</w:t>
            </w:r>
          </w:p>
        </w:tc>
      </w:tr>
      <w:tr>
        <w:tblPrEx>
          <w:tblCellMar>
            <w:top w:w="0" w:type="dxa"/>
            <w:left w:w="108" w:type="dxa"/>
            <w:bottom w:w="0" w:type="dxa"/>
            <w:right w:w="108" w:type="dxa"/>
          </w:tblCellMar>
        </w:tblPrEx>
        <w:trPr>
          <w:trHeight w:val="379" w:hRule="atLeast"/>
        </w:trPr>
        <w:tc>
          <w:tcPr>
            <w:tcW w:w="1203" w:type="dxa"/>
            <w:vMerge w:val="continue"/>
            <w:tcBorders>
              <w:top w:val="single" w:color="auto" w:sz="4" w:space="0"/>
              <w:left w:val="single" w:color="auto" w:sz="4" w:space="0"/>
              <w:bottom w:val="single" w:color="auto" w:sz="4" w:space="0"/>
              <w:right w:val="single" w:color="auto" w:sz="4" w:space="0"/>
            </w:tcBorders>
            <w:vAlign w:val="center"/>
          </w:tcPr>
          <w:p>
            <w:pPr>
              <w:spacing w:line="360" w:lineRule="auto"/>
              <w:rPr>
                <w:rFonts w:hint="eastAsia" w:ascii="宋体" w:hAnsi="宋体" w:eastAsia="宋体" w:cs="宋体"/>
                <w:color w:val="auto"/>
                <w:sz w:val="24"/>
                <w:szCs w:val="24"/>
                <w:highlight w:val="none"/>
                <w:lang w:val="en-US" w:eastAsia="zh-CN"/>
              </w:rPr>
            </w:pPr>
          </w:p>
        </w:tc>
        <w:tc>
          <w:tcPr>
            <w:tcW w:w="7848"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▲3、显示单元：≥5英寸显示屏，分辨率≥1920*1080，AMOLED显示屏，阳光下可见度好。</w:t>
            </w:r>
          </w:p>
        </w:tc>
      </w:tr>
      <w:tr>
        <w:tblPrEx>
          <w:tblCellMar>
            <w:top w:w="0" w:type="dxa"/>
            <w:left w:w="108" w:type="dxa"/>
            <w:bottom w:w="0" w:type="dxa"/>
            <w:right w:w="108" w:type="dxa"/>
          </w:tblCellMar>
        </w:tblPrEx>
        <w:trPr>
          <w:trHeight w:val="379" w:hRule="atLeast"/>
        </w:trPr>
        <w:tc>
          <w:tcPr>
            <w:tcW w:w="1203" w:type="dxa"/>
            <w:vMerge w:val="continue"/>
            <w:tcBorders>
              <w:top w:val="single" w:color="auto" w:sz="4" w:space="0"/>
              <w:left w:val="single" w:color="auto" w:sz="4" w:space="0"/>
              <w:bottom w:val="single" w:color="auto" w:sz="4" w:space="0"/>
              <w:right w:val="single" w:color="auto" w:sz="4" w:space="0"/>
            </w:tcBorders>
            <w:vAlign w:val="center"/>
          </w:tcPr>
          <w:p>
            <w:pPr>
              <w:spacing w:line="360" w:lineRule="auto"/>
              <w:rPr>
                <w:rFonts w:hint="eastAsia" w:ascii="宋体" w:hAnsi="宋体" w:eastAsia="宋体" w:cs="宋体"/>
                <w:color w:val="auto"/>
                <w:sz w:val="24"/>
                <w:szCs w:val="24"/>
                <w:highlight w:val="none"/>
                <w:lang w:val="en-US" w:eastAsia="zh-CN"/>
              </w:rPr>
            </w:pPr>
          </w:p>
        </w:tc>
        <w:tc>
          <w:tcPr>
            <w:tcW w:w="7848"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4、系统性能：2.0 GHz 八核处理器，Android 7.1.2智能操作系统。</w:t>
            </w:r>
          </w:p>
        </w:tc>
      </w:tr>
      <w:tr>
        <w:tblPrEx>
          <w:tblCellMar>
            <w:top w:w="0" w:type="dxa"/>
            <w:left w:w="108" w:type="dxa"/>
            <w:bottom w:w="0" w:type="dxa"/>
            <w:right w:w="108" w:type="dxa"/>
          </w:tblCellMar>
        </w:tblPrEx>
        <w:trPr>
          <w:trHeight w:val="379" w:hRule="atLeast"/>
        </w:trPr>
        <w:tc>
          <w:tcPr>
            <w:tcW w:w="1203" w:type="dxa"/>
            <w:vMerge w:val="continue"/>
            <w:tcBorders>
              <w:top w:val="single" w:color="auto" w:sz="4" w:space="0"/>
              <w:left w:val="single" w:color="auto" w:sz="4" w:space="0"/>
              <w:bottom w:val="single" w:color="auto" w:sz="4" w:space="0"/>
              <w:right w:val="single" w:color="auto" w:sz="4" w:space="0"/>
            </w:tcBorders>
            <w:vAlign w:val="center"/>
          </w:tcPr>
          <w:p>
            <w:pPr>
              <w:spacing w:line="360" w:lineRule="auto"/>
              <w:rPr>
                <w:rFonts w:hint="eastAsia" w:ascii="宋体" w:hAnsi="宋体" w:eastAsia="宋体" w:cs="宋体"/>
                <w:color w:val="auto"/>
                <w:sz w:val="24"/>
                <w:szCs w:val="24"/>
                <w:highlight w:val="none"/>
                <w:lang w:val="en-US" w:eastAsia="zh-CN"/>
              </w:rPr>
            </w:pPr>
          </w:p>
        </w:tc>
        <w:tc>
          <w:tcPr>
            <w:tcW w:w="7848"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▲5、存储单元：运行内存≥4GB RAM,机身存储：≥64GB ROM（可支持64G TF卡扩展）。</w:t>
            </w:r>
          </w:p>
        </w:tc>
      </w:tr>
      <w:tr>
        <w:tblPrEx>
          <w:tblCellMar>
            <w:top w:w="0" w:type="dxa"/>
            <w:left w:w="108" w:type="dxa"/>
            <w:bottom w:w="0" w:type="dxa"/>
            <w:right w:w="108" w:type="dxa"/>
          </w:tblCellMar>
        </w:tblPrEx>
        <w:trPr>
          <w:trHeight w:val="379" w:hRule="atLeast"/>
        </w:trPr>
        <w:tc>
          <w:tcPr>
            <w:tcW w:w="1203" w:type="dxa"/>
            <w:vMerge w:val="continue"/>
            <w:tcBorders>
              <w:top w:val="single" w:color="auto" w:sz="4" w:space="0"/>
              <w:left w:val="single" w:color="auto" w:sz="4" w:space="0"/>
              <w:bottom w:val="single" w:color="auto" w:sz="4" w:space="0"/>
              <w:right w:val="single" w:color="auto" w:sz="4" w:space="0"/>
            </w:tcBorders>
            <w:vAlign w:val="center"/>
          </w:tcPr>
          <w:p>
            <w:pPr>
              <w:spacing w:line="360" w:lineRule="auto"/>
              <w:rPr>
                <w:rFonts w:hint="eastAsia" w:ascii="宋体" w:hAnsi="宋体" w:eastAsia="宋体" w:cs="宋体"/>
                <w:color w:val="auto"/>
                <w:sz w:val="24"/>
                <w:szCs w:val="24"/>
                <w:highlight w:val="none"/>
                <w:lang w:val="en-US" w:eastAsia="zh-CN"/>
              </w:rPr>
            </w:pPr>
          </w:p>
        </w:tc>
        <w:tc>
          <w:tcPr>
            <w:tcW w:w="7848"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▲6、外部接口： 防水TYPE-C 模拟耳机接口、充电接口。      </w:t>
            </w:r>
          </w:p>
        </w:tc>
      </w:tr>
      <w:tr>
        <w:tblPrEx>
          <w:tblCellMar>
            <w:top w:w="0" w:type="dxa"/>
            <w:left w:w="108" w:type="dxa"/>
            <w:bottom w:w="0" w:type="dxa"/>
            <w:right w:w="108" w:type="dxa"/>
          </w:tblCellMar>
        </w:tblPrEx>
        <w:trPr>
          <w:trHeight w:val="353" w:hRule="atLeast"/>
        </w:trPr>
        <w:tc>
          <w:tcPr>
            <w:tcW w:w="1203" w:type="dxa"/>
            <w:vMerge w:val="continue"/>
            <w:tcBorders>
              <w:top w:val="single" w:color="auto" w:sz="4" w:space="0"/>
              <w:left w:val="single" w:color="auto" w:sz="4" w:space="0"/>
              <w:bottom w:val="single" w:color="auto" w:sz="4" w:space="0"/>
              <w:right w:val="single" w:color="auto" w:sz="4" w:space="0"/>
            </w:tcBorders>
            <w:vAlign w:val="center"/>
          </w:tcPr>
          <w:p>
            <w:pPr>
              <w:spacing w:line="360" w:lineRule="auto"/>
              <w:rPr>
                <w:rFonts w:hint="eastAsia" w:ascii="宋体" w:hAnsi="宋体" w:eastAsia="宋体" w:cs="宋体"/>
                <w:color w:val="auto"/>
                <w:sz w:val="24"/>
                <w:szCs w:val="24"/>
                <w:highlight w:val="none"/>
                <w:lang w:val="en-US" w:eastAsia="zh-CN"/>
              </w:rPr>
            </w:pPr>
          </w:p>
        </w:tc>
        <w:tc>
          <w:tcPr>
            <w:tcW w:w="7848"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▲7、电池≥5000mAh，待机≥160小时，通话≥10小时；可拆卸电池，方便快速跟换备用电池。（提供技术参数确认函加盖制造商和供应商鲜章）</w:t>
            </w:r>
          </w:p>
        </w:tc>
      </w:tr>
      <w:tr>
        <w:tblPrEx>
          <w:tblCellMar>
            <w:top w:w="0" w:type="dxa"/>
            <w:left w:w="108" w:type="dxa"/>
            <w:bottom w:w="0" w:type="dxa"/>
            <w:right w:w="108" w:type="dxa"/>
          </w:tblCellMar>
        </w:tblPrEx>
        <w:trPr>
          <w:trHeight w:val="291" w:hRule="atLeast"/>
        </w:trPr>
        <w:tc>
          <w:tcPr>
            <w:tcW w:w="1203" w:type="dxa"/>
            <w:vMerge w:val="continue"/>
            <w:tcBorders>
              <w:top w:val="single" w:color="auto" w:sz="4" w:space="0"/>
              <w:left w:val="single" w:color="auto" w:sz="4" w:space="0"/>
              <w:bottom w:val="single" w:color="auto" w:sz="4" w:space="0"/>
              <w:right w:val="single" w:color="auto" w:sz="4" w:space="0"/>
            </w:tcBorders>
            <w:vAlign w:val="center"/>
          </w:tcPr>
          <w:p>
            <w:pPr>
              <w:spacing w:line="360" w:lineRule="auto"/>
              <w:rPr>
                <w:rFonts w:hint="eastAsia" w:ascii="宋体" w:hAnsi="宋体" w:eastAsia="宋体" w:cs="宋体"/>
                <w:color w:val="auto"/>
                <w:sz w:val="24"/>
                <w:szCs w:val="24"/>
                <w:highlight w:val="none"/>
                <w:lang w:val="en-US" w:eastAsia="zh-CN"/>
              </w:rPr>
            </w:pPr>
          </w:p>
        </w:tc>
        <w:tc>
          <w:tcPr>
            <w:tcW w:w="7848"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8、摄像头：前置≥800万，后置≥1300万。</w:t>
            </w:r>
          </w:p>
        </w:tc>
      </w:tr>
      <w:tr>
        <w:tblPrEx>
          <w:tblCellMar>
            <w:top w:w="0" w:type="dxa"/>
            <w:left w:w="108" w:type="dxa"/>
            <w:bottom w:w="0" w:type="dxa"/>
            <w:right w:w="108" w:type="dxa"/>
          </w:tblCellMar>
        </w:tblPrEx>
        <w:trPr>
          <w:trHeight w:val="379" w:hRule="atLeast"/>
        </w:trPr>
        <w:tc>
          <w:tcPr>
            <w:tcW w:w="1203" w:type="dxa"/>
            <w:vMerge w:val="continue"/>
            <w:tcBorders>
              <w:top w:val="single" w:color="auto" w:sz="4" w:space="0"/>
              <w:left w:val="single" w:color="auto" w:sz="4" w:space="0"/>
              <w:bottom w:val="single" w:color="auto" w:sz="4" w:space="0"/>
              <w:right w:val="single" w:color="auto" w:sz="4" w:space="0"/>
            </w:tcBorders>
            <w:vAlign w:val="center"/>
          </w:tcPr>
          <w:p>
            <w:pPr>
              <w:spacing w:line="360" w:lineRule="auto"/>
              <w:rPr>
                <w:rFonts w:hint="eastAsia" w:ascii="宋体" w:hAnsi="宋体" w:eastAsia="宋体" w:cs="宋体"/>
                <w:color w:val="auto"/>
                <w:sz w:val="24"/>
                <w:szCs w:val="24"/>
                <w:highlight w:val="none"/>
                <w:lang w:val="en-US" w:eastAsia="zh-CN"/>
              </w:rPr>
            </w:pPr>
          </w:p>
        </w:tc>
        <w:tc>
          <w:tcPr>
            <w:tcW w:w="7848"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9、传感器：重力、距离、光线感应、电子罗盘、加速度传感器、地磁传感器、气压传感器、温度传感器等。</w:t>
            </w:r>
          </w:p>
        </w:tc>
      </w:tr>
      <w:tr>
        <w:tblPrEx>
          <w:tblCellMar>
            <w:top w:w="0" w:type="dxa"/>
            <w:left w:w="108" w:type="dxa"/>
            <w:bottom w:w="0" w:type="dxa"/>
            <w:right w:w="108" w:type="dxa"/>
          </w:tblCellMar>
        </w:tblPrEx>
        <w:trPr>
          <w:trHeight w:val="379" w:hRule="atLeast"/>
        </w:trPr>
        <w:tc>
          <w:tcPr>
            <w:tcW w:w="1203" w:type="dxa"/>
            <w:vMerge w:val="continue"/>
            <w:tcBorders>
              <w:top w:val="single" w:color="auto" w:sz="4" w:space="0"/>
              <w:left w:val="single" w:color="auto" w:sz="4" w:space="0"/>
              <w:bottom w:val="single" w:color="auto" w:sz="4" w:space="0"/>
              <w:right w:val="single" w:color="auto" w:sz="4" w:space="0"/>
            </w:tcBorders>
            <w:vAlign w:val="center"/>
          </w:tcPr>
          <w:p>
            <w:pPr>
              <w:spacing w:line="360" w:lineRule="auto"/>
              <w:rPr>
                <w:rFonts w:hint="eastAsia" w:ascii="宋体" w:hAnsi="宋体" w:eastAsia="宋体" w:cs="宋体"/>
                <w:color w:val="auto"/>
                <w:sz w:val="24"/>
                <w:szCs w:val="24"/>
                <w:highlight w:val="none"/>
                <w:lang w:val="en-US" w:eastAsia="zh-CN"/>
              </w:rPr>
            </w:pPr>
          </w:p>
        </w:tc>
        <w:tc>
          <w:tcPr>
            <w:tcW w:w="7848"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10、重量：≤ 360克(含电池）， 天线尺寸：φ15mm*100mm(±0.5mm)。</w:t>
            </w:r>
          </w:p>
        </w:tc>
      </w:tr>
      <w:tr>
        <w:tblPrEx>
          <w:tblCellMar>
            <w:top w:w="0" w:type="dxa"/>
            <w:left w:w="108" w:type="dxa"/>
            <w:bottom w:w="0" w:type="dxa"/>
            <w:right w:w="108" w:type="dxa"/>
          </w:tblCellMar>
        </w:tblPrEx>
        <w:trPr>
          <w:trHeight w:val="379" w:hRule="atLeast"/>
        </w:trPr>
        <w:tc>
          <w:tcPr>
            <w:tcW w:w="1203" w:type="dxa"/>
            <w:vMerge w:val="continue"/>
            <w:tcBorders>
              <w:top w:val="single" w:color="auto" w:sz="4" w:space="0"/>
              <w:left w:val="single" w:color="auto" w:sz="4" w:space="0"/>
              <w:bottom w:val="single" w:color="auto" w:sz="4" w:space="0"/>
              <w:right w:val="single" w:color="auto" w:sz="4" w:space="0"/>
            </w:tcBorders>
            <w:vAlign w:val="center"/>
          </w:tcPr>
          <w:p>
            <w:pPr>
              <w:spacing w:line="360" w:lineRule="auto"/>
              <w:rPr>
                <w:rFonts w:hint="eastAsia" w:ascii="宋体" w:hAnsi="宋体" w:eastAsia="宋体" w:cs="宋体"/>
                <w:color w:val="auto"/>
                <w:sz w:val="24"/>
                <w:szCs w:val="24"/>
                <w:highlight w:val="none"/>
                <w:lang w:val="en-US" w:eastAsia="zh-CN"/>
              </w:rPr>
            </w:pPr>
          </w:p>
        </w:tc>
        <w:tc>
          <w:tcPr>
            <w:tcW w:w="7848"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11、防 跌 落 ： 不低于1米防跌落。（提供第三方认证报告）</w:t>
            </w:r>
          </w:p>
        </w:tc>
      </w:tr>
      <w:tr>
        <w:tblPrEx>
          <w:tblCellMar>
            <w:top w:w="0" w:type="dxa"/>
            <w:left w:w="108" w:type="dxa"/>
            <w:bottom w:w="0" w:type="dxa"/>
            <w:right w:w="108" w:type="dxa"/>
          </w:tblCellMar>
        </w:tblPrEx>
        <w:trPr>
          <w:trHeight w:val="379" w:hRule="atLeast"/>
        </w:trPr>
        <w:tc>
          <w:tcPr>
            <w:tcW w:w="1203" w:type="dxa"/>
            <w:vMerge w:val="continue"/>
            <w:tcBorders>
              <w:top w:val="single" w:color="auto" w:sz="4" w:space="0"/>
              <w:left w:val="single" w:color="auto" w:sz="4" w:space="0"/>
              <w:bottom w:val="single" w:color="auto" w:sz="4" w:space="0"/>
              <w:right w:val="single" w:color="auto" w:sz="4" w:space="0"/>
            </w:tcBorders>
            <w:vAlign w:val="center"/>
          </w:tcPr>
          <w:p>
            <w:pPr>
              <w:spacing w:line="360" w:lineRule="auto"/>
              <w:rPr>
                <w:rFonts w:hint="eastAsia" w:ascii="宋体" w:hAnsi="宋体" w:eastAsia="宋体" w:cs="宋体"/>
                <w:color w:val="auto"/>
                <w:sz w:val="24"/>
                <w:szCs w:val="24"/>
                <w:highlight w:val="none"/>
                <w:lang w:val="en-US" w:eastAsia="zh-CN"/>
              </w:rPr>
            </w:pPr>
          </w:p>
        </w:tc>
        <w:tc>
          <w:tcPr>
            <w:tcW w:w="7848"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▲12、防护等级：IP68。（提供第三方认证报告）</w:t>
            </w:r>
          </w:p>
        </w:tc>
      </w:tr>
      <w:tr>
        <w:tblPrEx>
          <w:tblCellMar>
            <w:top w:w="0" w:type="dxa"/>
            <w:left w:w="108" w:type="dxa"/>
            <w:bottom w:w="0" w:type="dxa"/>
            <w:right w:w="108" w:type="dxa"/>
          </w:tblCellMar>
        </w:tblPrEx>
        <w:trPr>
          <w:trHeight w:val="379" w:hRule="atLeast"/>
        </w:trPr>
        <w:tc>
          <w:tcPr>
            <w:tcW w:w="1203" w:type="dxa"/>
            <w:vMerge w:val="continue"/>
            <w:tcBorders>
              <w:top w:val="single" w:color="auto" w:sz="4" w:space="0"/>
              <w:left w:val="single" w:color="auto" w:sz="4" w:space="0"/>
              <w:bottom w:val="single" w:color="auto" w:sz="4" w:space="0"/>
              <w:right w:val="single" w:color="auto" w:sz="4" w:space="0"/>
            </w:tcBorders>
            <w:vAlign w:val="center"/>
          </w:tcPr>
          <w:p>
            <w:pPr>
              <w:spacing w:line="360" w:lineRule="auto"/>
              <w:rPr>
                <w:rFonts w:hint="eastAsia" w:ascii="宋体" w:hAnsi="宋体" w:eastAsia="宋体" w:cs="宋体"/>
                <w:color w:val="auto"/>
                <w:sz w:val="24"/>
                <w:szCs w:val="24"/>
                <w:highlight w:val="none"/>
                <w:lang w:val="en-US" w:eastAsia="zh-CN"/>
              </w:rPr>
            </w:pPr>
          </w:p>
        </w:tc>
        <w:tc>
          <w:tcPr>
            <w:tcW w:w="7848"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▲13、工作温度：可支持-40℃ ~+ 55℃ 。（提供第三方认证报告）</w:t>
            </w:r>
          </w:p>
        </w:tc>
      </w:tr>
      <w:tr>
        <w:tblPrEx>
          <w:tblCellMar>
            <w:top w:w="0" w:type="dxa"/>
            <w:left w:w="108" w:type="dxa"/>
            <w:bottom w:w="0" w:type="dxa"/>
            <w:right w:w="108" w:type="dxa"/>
          </w:tblCellMar>
        </w:tblPrEx>
        <w:trPr>
          <w:trHeight w:val="379" w:hRule="atLeast"/>
        </w:trPr>
        <w:tc>
          <w:tcPr>
            <w:tcW w:w="1203" w:type="dxa"/>
            <w:vMerge w:val="continue"/>
            <w:tcBorders>
              <w:top w:val="single" w:color="auto" w:sz="4" w:space="0"/>
              <w:left w:val="single" w:color="auto" w:sz="4" w:space="0"/>
              <w:bottom w:val="single" w:color="auto" w:sz="4" w:space="0"/>
              <w:right w:val="single" w:color="auto" w:sz="4" w:space="0"/>
            </w:tcBorders>
            <w:vAlign w:val="center"/>
          </w:tcPr>
          <w:p>
            <w:pPr>
              <w:spacing w:line="360" w:lineRule="auto"/>
              <w:rPr>
                <w:rFonts w:hint="eastAsia" w:ascii="宋体" w:hAnsi="宋体" w:eastAsia="宋体" w:cs="宋体"/>
                <w:color w:val="auto"/>
                <w:sz w:val="24"/>
                <w:szCs w:val="24"/>
                <w:highlight w:val="none"/>
                <w:lang w:val="en-US" w:eastAsia="zh-CN"/>
              </w:rPr>
            </w:pPr>
          </w:p>
        </w:tc>
        <w:tc>
          <w:tcPr>
            <w:tcW w:w="7848"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14、天线：支持可拆卸天线，支持扩展小型车载吸顶天线和手持全向天线。</w:t>
            </w:r>
          </w:p>
        </w:tc>
      </w:tr>
      <w:tr>
        <w:tblPrEx>
          <w:tblCellMar>
            <w:top w:w="0" w:type="dxa"/>
            <w:left w:w="108" w:type="dxa"/>
            <w:bottom w:w="0" w:type="dxa"/>
            <w:right w:w="108" w:type="dxa"/>
          </w:tblCellMar>
        </w:tblPrEx>
        <w:trPr>
          <w:trHeight w:val="379" w:hRule="atLeast"/>
        </w:trPr>
        <w:tc>
          <w:tcPr>
            <w:tcW w:w="1203" w:type="dxa"/>
            <w:vMerge w:val="continue"/>
            <w:tcBorders>
              <w:top w:val="single" w:color="auto" w:sz="4" w:space="0"/>
              <w:left w:val="single" w:color="auto" w:sz="4" w:space="0"/>
              <w:bottom w:val="single" w:color="auto" w:sz="4" w:space="0"/>
              <w:right w:val="single" w:color="auto" w:sz="4" w:space="0"/>
            </w:tcBorders>
            <w:vAlign w:val="center"/>
          </w:tcPr>
          <w:p>
            <w:pPr>
              <w:spacing w:line="360" w:lineRule="auto"/>
              <w:rPr>
                <w:rFonts w:hint="eastAsia" w:ascii="宋体" w:hAnsi="宋体" w:eastAsia="宋体" w:cs="宋体"/>
                <w:color w:val="auto"/>
                <w:sz w:val="24"/>
                <w:szCs w:val="24"/>
                <w:highlight w:val="none"/>
                <w:lang w:val="en-US" w:eastAsia="zh-CN"/>
              </w:rPr>
            </w:pPr>
          </w:p>
        </w:tc>
        <w:tc>
          <w:tcPr>
            <w:tcW w:w="7848"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▲15、可支持扩展成室内座机形态，一机多用，支持最远50米延长线。（提供技术参数确认函加盖制造商和供应商鲜章）</w:t>
            </w:r>
          </w:p>
        </w:tc>
      </w:tr>
      <w:tr>
        <w:tblPrEx>
          <w:tblCellMar>
            <w:top w:w="0" w:type="dxa"/>
            <w:left w:w="108" w:type="dxa"/>
            <w:bottom w:w="0" w:type="dxa"/>
            <w:right w:w="108" w:type="dxa"/>
          </w:tblCellMar>
        </w:tblPrEx>
        <w:trPr>
          <w:trHeight w:val="379" w:hRule="atLeast"/>
        </w:trPr>
        <w:tc>
          <w:tcPr>
            <w:tcW w:w="1203" w:type="dxa"/>
            <w:vMerge w:val="continue"/>
            <w:tcBorders>
              <w:top w:val="single" w:color="auto" w:sz="4" w:space="0"/>
              <w:left w:val="single" w:color="auto" w:sz="4" w:space="0"/>
              <w:bottom w:val="single" w:color="auto" w:sz="4" w:space="0"/>
              <w:right w:val="single" w:color="auto" w:sz="4" w:space="0"/>
            </w:tcBorders>
            <w:vAlign w:val="center"/>
          </w:tcPr>
          <w:p>
            <w:pPr>
              <w:spacing w:line="360" w:lineRule="auto"/>
              <w:rPr>
                <w:rFonts w:hint="eastAsia" w:ascii="宋体" w:hAnsi="宋体" w:eastAsia="宋体" w:cs="宋体"/>
                <w:color w:val="auto"/>
                <w:sz w:val="24"/>
                <w:szCs w:val="24"/>
                <w:highlight w:val="none"/>
                <w:lang w:val="en-US" w:eastAsia="zh-CN"/>
              </w:rPr>
            </w:pPr>
          </w:p>
        </w:tc>
        <w:tc>
          <w:tcPr>
            <w:tcW w:w="7848"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16、支持SOS一键报警功能；支持P0C公网对讲一键启动；</w:t>
            </w:r>
          </w:p>
        </w:tc>
      </w:tr>
      <w:tr>
        <w:tblPrEx>
          <w:tblCellMar>
            <w:top w:w="0" w:type="dxa"/>
            <w:left w:w="108" w:type="dxa"/>
            <w:bottom w:w="0" w:type="dxa"/>
            <w:right w:w="108" w:type="dxa"/>
          </w:tblCellMar>
        </w:tblPrEx>
        <w:trPr>
          <w:trHeight w:val="379" w:hRule="atLeast"/>
        </w:trPr>
        <w:tc>
          <w:tcPr>
            <w:tcW w:w="1203" w:type="dxa"/>
            <w:vMerge w:val="continue"/>
            <w:tcBorders>
              <w:top w:val="single" w:color="auto" w:sz="4" w:space="0"/>
              <w:left w:val="single" w:color="auto" w:sz="4" w:space="0"/>
              <w:bottom w:val="single" w:color="auto" w:sz="4" w:space="0"/>
              <w:right w:val="single" w:color="auto" w:sz="4" w:space="0"/>
            </w:tcBorders>
            <w:vAlign w:val="center"/>
          </w:tcPr>
          <w:p>
            <w:pPr>
              <w:pStyle w:val="2"/>
              <w:outlineLvl w:val="0"/>
              <w:rPr>
                <w:rFonts w:hint="eastAsia" w:ascii="宋体" w:hAnsi="宋体" w:eastAsia="宋体" w:cs="宋体"/>
                <w:kern w:val="21"/>
                <w:sz w:val="24"/>
                <w:szCs w:val="24"/>
                <w:lang w:val="en-US" w:eastAsia="zh-CN" w:bidi="ar-SA"/>
              </w:rPr>
            </w:pPr>
          </w:p>
        </w:tc>
        <w:tc>
          <w:tcPr>
            <w:tcW w:w="7848"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17、扩展底座配件产品尺寸≤241×231×46 (mm) 。</w:t>
            </w:r>
          </w:p>
        </w:tc>
      </w:tr>
      <w:tr>
        <w:tblPrEx>
          <w:tblCellMar>
            <w:top w:w="0" w:type="dxa"/>
            <w:left w:w="108" w:type="dxa"/>
            <w:bottom w:w="0" w:type="dxa"/>
            <w:right w:w="108" w:type="dxa"/>
          </w:tblCellMar>
        </w:tblPrEx>
        <w:trPr>
          <w:trHeight w:val="379" w:hRule="atLeast"/>
        </w:trPr>
        <w:tc>
          <w:tcPr>
            <w:tcW w:w="1203" w:type="dxa"/>
            <w:vMerge w:val="continue"/>
            <w:tcBorders>
              <w:top w:val="single" w:color="auto" w:sz="4" w:space="0"/>
              <w:left w:val="single" w:color="auto" w:sz="4" w:space="0"/>
              <w:bottom w:val="single" w:color="auto" w:sz="4" w:space="0"/>
              <w:right w:val="single" w:color="auto" w:sz="4" w:space="0"/>
            </w:tcBorders>
            <w:vAlign w:val="center"/>
          </w:tcPr>
          <w:p>
            <w:pPr>
              <w:pStyle w:val="2"/>
              <w:outlineLvl w:val="0"/>
              <w:rPr>
                <w:rFonts w:hint="eastAsia" w:ascii="宋体" w:hAnsi="宋体" w:eastAsia="宋体" w:cs="宋体"/>
                <w:kern w:val="21"/>
                <w:sz w:val="24"/>
                <w:szCs w:val="24"/>
                <w:lang w:val="en-US" w:eastAsia="zh-CN" w:bidi="ar-SA"/>
              </w:rPr>
            </w:pPr>
          </w:p>
        </w:tc>
        <w:tc>
          <w:tcPr>
            <w:tcW w:w="7848"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18、适配座机形态支持简易UI操控，设备自带插入自适应软件。</w:t>
            </w:r>
          </w:p>
        </w:tc>
      </w:tr>
      <w:tr>
        <w:tblPrEx>
          <w:tblCellMar>
            <w:top w:w="0" w:type="dxa"/>
            <w:left w:w="108" w:type="dxa"/>
            <w:bottom w:w="0" w:type="dxa"/>
            <w:right w:w="108" w:type="dxa"/>
          </w:tblCellMar>
        </w:tblPrEx>
        <w:trPr>
          <w:trHeight w:val="379" w:hRule="atLeast"/>
        </w:trPr>
        <w:tc>
          <w:tcPr>
            <w:tcW w:w="1203" w:type="dxa"/>
            <w:vMerge w:val="continue"/>
            <w:tcBorders>
              <w:top w:val="single" w:color="auto" w:sz="4" w:space="0"/>
              <w:left w:val="single" w:color="auto" w:sz="4" w:space="0"/>
              <w:bottom w:val="single" w:color="auto" w:sz="4" w:space="0"/>
              <w:right w:val="single" w:color="auto" w:sz="4" w:space="0"/>
            </w:tcBorders>
            <w:vAlign w:val="center"/>
          </w:tcPr>
          <w:p>
            <w:pPr>
              <w:pStyle w:val="2"/>
              <w:outlineLvl w:val="0"/>
              <w:rPr>
                <w:rFonts w:hint="eastAsia" w:ascii="宋体" w:hAnsi="宋体" w:eastAsia="宋体" w:cs="宋体"/>
                <w:kern w:val="21"/>
                <w:sz w:val="24"/>
                <w:szCs w:val="24"/>
                <w:lang w:val="en-US" w:eastAsia="zh-CN" w:bidi="ar-SA"/>
              </w:rPr>
            </w:pPr>
          </w:p>
        </w:tc>
        <w:tc>
          <w:tcPr>
            <w:tcW w:w="7848"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19、提供产品型号核准证书、产品CCC证书、产品入网证书。</w:t>
            </w:r>
          </w:p>
        </w:tc>
      </w:tr>
    </w:tbl>
    <w:p>
      <w:pPr>
        <w:spacing w:after="156" w:afterLines="50"/>
        <w:ind w:left="0" w:leftChars="0" w:firstLine="420" w:firstLineChars="0"/>
        <w:jc w:val="both"/>
        <w:rPr>
          <w:rFonts w:hint="eastAsia" w:ascii="宋体" w:hAnsi="宋体"/>
          <w:b/>
          <w:bCs/>
          <w:sz w:val="36"/>
          <w:szCs w:val="36"/>
          <w:lang w:val="en-US" w:eastAsia="zh-CN"/>
        </w:rPr>
      </w:pPr>
    </w:p>
    <w:p>
      <w:pPr>
        <w:spacing w:after="156" w:afterLines="50"/>
        <w:ind w:left="0" w:leftChars="0" w:firstLine="420" w:firstLineChars="0"/>
        <w:jc w:val="both"/>
        <w:rPr>
          <w:rFonts w:hint="default" w:ascii="宋体" w:hAnsi="宋体"/>
          <w:b/>
          <w:bCs/>
          <w:sz w:val="36"/>
          <w:szCs w:val="36"/>
          <w:lang w:val="en-US" w:eastAsia="zh-CN"/>
        </w:rPr>
      </w:pPr>
      <w:r>
        <w:rPr>
          <w:rFonts w:hint="eastAsia" w:ascii="宋体" w:hAnsi="宋体"/>
          <w:b/>
          <w:bCs/>
          <w:sz w:val="36"/>
          <w:szCs w:val="36"/>
          <w:lang w:val="en-US" w:eastAsia="zh-CN"/>
        </w:rPr>
        <w:t>2.2 使用条件</w:t>
      </w:r>
    </w:p>
    <w:p>
      <w:pPr>
        <w:spacing w:after="156" w:afterLines="50"/>
        <w:ind w:left="420" w:leftChars="0" w:firstLine="420" w:firstLineChars="0"/>
        <w:jc w:val="both"/>
        <w:rPr>
          <w:rFonts w:hint="eastAsia" w:ascii="宋体" w:hAnsi="宋体" w:eastAsia="宋体" w:cs="宋体"/>
          <w:color w:val="auto"/>
          <w:sz w:val="28"/>
          <w:szCs w:val="28"/>
          <w:highlight w:val="none"/>
        </w:rPr>
      </w:pPr>
      <w:r>
        <w:rPr>
          <w:rFonts w:hint="eastAsia" w:ascii="宋体" w:hAnsi="宋体" w:eastAsia="宋体" w:cs="宋体"/>
          <w:b w:val="0"/>
          <w:bCs w:val="0"/>
          <w:sz w:val="28"/>
          <w:szCs w:val="28"/>
          <w:lang w:val="en-US" w:eastAsia="zh-CN"/>
        </w:rPr>
        <w:t>1）</w:t>
      </w:r>
      <w:r>
        <w:rPr>
          <w:rFonts w:hint="eastAsia" w:ascii="宋体" w:hAnsi="宋体" w:eastAsia="宋体" w:cs="宋体"/>
          <w:color w:val="auto"/>
          <w:sz w:val="28"/>
          <w:szCs w:val="28"/>
          <w:highlight w:val="none"/>
        </w:rPr>
        <w:t>环境温度：-</w:t>
      </w:r>
      <w:r>
        <w:rPr>
          <w:rFonts w:hint="eastAsia" w:ascii="宋体" w:hAnsi="宋体" w:eastAsia="宋体" w:cs="宋体"/>
          <w:color w:val="auto"/>
          <w:sz w:val="28"/>
          <w:szCs w:val="28"/>
          <w:highlight w:val="none"/>
          <w:lang w:val="en-US" w:eastAsia="zh-CN"/>
        </w:rPr>
        <w:t>20</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val="en-US" w:eastAsia="zh-CN"/>
        </w:rPr>
        <w:t>55</w:t>
      </w:r>
      <w:r>
        <w:rPr>
          <w:rFonts w:hint="eastAsia" w:ascii="宋体" w:hAnsi="宋体" w:eastAsia="宋体" w:cs="宋体"/>
          <w:color w:val="auto"/>
          <w:sz w:val="28"/>
          <w:szCs w:val="28"/>
          <w:highlight w:val="none"/>
        </w:rPr>
        <w:t>℃</w:t>
      </w:r>
    </w:p>
    <w:p>
      <w:pPr>
        <w:spacing w:after="156" w:afterLines="50"/>
        <w:ind w:left="420" w:leftChars="0" w:firstLine="420" w:firstLineChars="0"/>
        <w:jc w:val="both"/>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2）</w:t>
      </w:r>
      <w:r>
        <w:rPr>
          <w:rFonts w:hint="eastAsia" w:ascii="宋体" w:hAnsi="宋体" w:eastAsia="宋体" w:cs="宋体"/>
          <w:color w:val="auto"/>
          <w:sz w:val="28"/>
          <w:szCs w:val="28"/>
          <w:highlight w:val="none"/>
        </w:rPr>
        <w:t>相对湿度：5%---95%</w:t>
      </w:r>
    </w:p>
    <w:p>
      <w:pPr>
        <w:spacing w:after="156" w:afterLines="50"/>
        <w:ind w:left="420" w:leftChars="0" w:firstLine="420" w:firstLineChars="0"/>
        <w:jc w:val="both"/>
        <w:rPr>
          <w:rFonts w:hint="default" w:ascii="宋体" w:hAnsi="宋体" w:cs="黑体"/>
          <w:b/>
          <w:bCs/>
          <w:sz w:val="52"/>
          <w:szCs w:val="52"/>
          <w:lang w:val="en-US" w:eastAsia="zh-CN"/>
        </w:rPr>
      </w:pPr>
      <w:r>
        <w:rPr>
          <w:rFonts w:hint="eastAsia" w:ascii="宋体" w:hAnsi="宋体" w:eastAsia="宋体" w:cs="宋体"/>
          <w:b w:val="0"/>
          <w:bCs w:val="0"/>
          <w:sz w:val="28"/>
          <w:szCs w:val="28"/>
          <w:lang w:val="en-US" w:eastAsia="zh-CN"/>
        </w:rPr>
        <w:t>3）</w:t>
      </w:r>
      <w:r>
        <w:rPr>
          <w:rFonts w:hint="eastAsia" w:ascii="宋体" w:hAnsi="宋体" w:eastAsia="宋体" w:cs="宋体"/>
          <w:color w:val="auto"/>
          <w:sz w:val="28"/>
          <w:szCs w:val="28"/>
          <w:highlight w:val="none"/>
          <w:lang w:val="en-US" w:eastAsia="zh-CN"/>
        </w:rPr>
        <w:t>防护等级：IP68</w:t>
      </w:r>
    </w:p>
    <w:p>
      <w:pPr>
        <w:spacing w:after="156" w:afterLines="50"/>
        <w:ind w:left="0" w:leftChars="0" w:firstLine="0" w:firstLineChars="0"/>
        <w:jc w:val="both"/>
        <w:rPr>
          <w:rFonts w:hint="default" w:ascii="宋体" w:hAnsi="宋体"/>
          <w:b/>
          <w:bCs/>
          <w:sz w:val="44"/>
          <w:szCs w:val="44"/>
          <w:lang w:val="en-US" w:eastAsia="zh-CN"/>
        </w:rPr>
      </w:pPr>
      <w:r>
        <w:rPr>
          <w:rFonts w:hint="eastAsia" w:ascii="宋体" w:hAnsi="宋体"/>
          <w:b/>
          <w:bCs/>
          <w:sz w:val="44"/>
          <w:szCs w:val="44"/>
          <w:lang w:val="en-US" w:eastAsia="zh-CN"/>
        </w:rPr>
        <w:t>3 质量保证</w:t>
      </w:r>
    </w:p>
    <w:p>
      <w:pPr>
        <w:spacing w:after="156" w:afterLines="50"/>
        <w:ind w:left="0" w:leftChars="0" w:firstLine="420" w:firstLineChars="0"/>
        <w:jc w:val="both"/>
        <w:rPr>
          <w:rFonts w:hint="eastAsia" w:ascii="宋体" w:hAnsi="宋体"/>
          <w:b/>
          <w:bCs/>
          <w:sz w:val="36"/>
          <w:szCs w:val="36"/>
          <w:lang w:val="en-US" w:eastAsia="zh-CN"/>
        </w:rPr>
      </w:pPr>
      <w:r>
        <w:rPr>
          <w:rFonts w:hint="eastAsia" w:ascii="宋体" w:hAnsi="宋体"/>
          <w:b/>
          <w:bCs/>
          <w:sz w:val="36"/>
          <w:szCs w:val="36"/>
          <w:lang w:val="en-US" w:eastAsia="zh-CN"/>
        </w:rPr>
        <w:t>3.1质量保质期</w:t>
      </w:r>
    </w:p>
    <w:p>
      <w:pPr>
        <w:spacing w:after="156" w:afterLines="50"/>
        <w:ind w:left="420" w:leftChars="0" w:firstLine="420" w:firstLineChars="0"/>
        <w:jc w:val="both"/>
        <w:rPr>
          <w:rFonts w:hint="eastAsia" w:ascii="宋体" w:hAnsi="宋体"/>
          <w:b w:val="0"/>
          <w:bCs w:val="0"/>
          <w:sz w:val="28"/>
          <w:szCs w:val="28"/>
          <w:lang w:val="en-US" w:eastAsia="zh-CN"/>
        </w:rPr>
      </w:pPr>
      <w:r>
        <w:rPr>
          <w:rFonts w:hint="eastAsia" w:ascii="宋体" w:hAnsi="宋体"/>
          <w:b w:val="0"/>
          <w:bCs w:val="0"/>
          <w:sz w:val="28"/>
          <w:szCs w:val="28"/>
          <w:lang w:val="en-US" w:eastAsia="zh-CN"/>
        </w:rPr>
        <w:t>1）投标方提供的产品质量保证期为1年，从设备验收合格之日起计算，在质量保质期内，若设备出现非人为原因导致的故障，投标方应负责免费更换或修理。</w:t>
      </w:r>
    </w:p>
    <w:p>
      <w:pPr>
        <w:spacing w:after="156" w:afterLines="50"/>
        <w:ind w:left="420" w:leftChars="0" w:firstLine="420" w:firstLineChars="0"/>
        <w:jc w:val="both"/>
        <w:rPr>
          <w:rFonts w:hint="eastAsia" w:ascii="宋体" w:hAnsi="宋体"/>
          <w:b w:val="0"/>
          <w:bCs w:val="0"/>
          <w:sz w:val="28"/>
          <w:szCs w:val="28"/>
          <w:lang w:val="en-US" w:eastAsia="zh-CN"/>
        </w:rPr>
      </w:pPr>
      <w:r>
        <w:rPr>
          <w:rFonts w:hint="eastAsia" w:ascii="宋体" w:hAnsi="宋体"/>
          <w:b w:val="0"/>
          <w:bCs w:val="0"/>
          <w:sz w:val="28"/>
          <w:szCs w:val="28"/>
          <w:lang w:val="en-US" w:eastAsia="zh-CN"/>
        </w:rPr>
        <w:t>2）在质量保证期内，如发现投标方提供的设备没有达到本技术规范书的要求或存在缺陷，招标方有权要求赔偿。</w:t>
      </w:r>
    </w:p>
    <w:p>
      <w:pPr>
        <w:pStyle w:val="2"/>
        <w:rPr>
          <w:rFonts w:hint="eastAsia"/>
          <w:lang w:val="en-US" w:eastAsia="zh-CN"/>
        </w:rPr>
      </w:pPr>
    </w:p>
    <w:p>
      <w:pPr>
        <w:spacing w:after="156" w:afterLines="50"/>
        <w:ind w:left="0" w:leftChars="0" w:firstLine="0" w:firstLineChars="0"/>
        <w:jc w:val="both"/>
        <w:rPr>
          <w:rFonts w:hint="default" w:ascii="宋体" w:hAnsi="宋体"/>
          <w:b/>
          <w:bCs/>
          <w:sz w:val="44"/>
          <w:szCs w:val="44"/>
          <w:lang w:val="en-US" w:eastAsia="zh-CN"/>
        </w:rPr>
      </w:pPr>
      <w:r>
        <w:rPr>
          <w:rFonts w:hint="eastAsia" w:ascii="宋体" w:hAnsi="宋体"/>
          <w:b/>
          <w:bCs/>
          <w:sz w:val="44"/>
          <w:szCs w:val="44"/>
          <w:lang w:val="en-US" w:eastAsia="zh-CN"/>
        </w:rPr>
        <w:t>4 技术支持</w:t>
      </w:r>
    </w:p>
    <w:p>
      <w:pPr>
        <w:spacing w:after="156" w:afterLines="50"/>
        <w:ind w:left="0" w:leftChars="0" w:firstLine="420" w:firstLineChars="0"/>
        <w:jc w:val="both"/>
        <w:rPr>
          <w:rFonts w:hint="eastAsia" w:ascii="宋体" w:hAnsi="宋体"/>
          <w:b w:val="0"/>
          <w:bCs w:val="0"/>
          <w:sz w:val="28"/>
          <w:szCs w:val="28"/>
          <w:lang w:val="en-US" w:eastAsia="zh-CN"/>
        </w:rPr>
      </w:pPr>
      <w:r>
        <w:rPr>
          <w:rFonts w:hint="eastAsia" w:ascii="宋体" w:hAnsi="宋体"/>
          <w:b w:val="0"/>
          <w:bCs w:val="0"/>
          <w:sz w:val="28"/>
          <w:szCs w:val="28"/>
          <w:lang w:val="en-US" w:eastAsia="zh-CN"/>
        </w:rPr>
        <w:t>1）投标方负责提供本项目所投产品的开卡及套餐办理服务。</w:t>
      </w:r>
    </w:p>
    <w:p>
      <w:pPr>
        <w:spacing w:after="156" w:afterLines="50"/>
        <w:ind w:left="0" w:leftChars="0" w:firstLine="420" w:firstLineChars="0"/>
        <w:jc w:val="both"/>
        <w:rPr>
          <w:rFonts w:hint="default" w:ascii="宋体" w:hAnsi="宋体"/>
          <w:b w:val="0"/>
          <w:bCs w:val="0"/>
          <w:sz w:val="28"/>
          <w:szCs w:val="28"/>
          <w:lang w:val="en-US" w:eastAsia="zh-CN"/>
        </w:rPr>
      </w:pPr>
      <w:r>
        <w:rPr>
          <w:rFonts w:hint="eastAsia" w:ascii="宋体" w:hAnsi="宋体"/>
          <w:b w:val="0"/>
          <w:bCs w:val="0"/>
          <w:sz w:val="28"/>
          <w:szCs w:val="28"/>
          <w:lang w:val="en-US" w:eastAsia="zh-CN"/>
        </w:rPr>
        <w:t>2）由于设备引起的技术故障，可通过服务电话向投标方提出服务请求，投标方应在2小时内协助与指导招标方排除故障，如果不能通过电话支持服务解决产品发生的技术故障，经双方商议确认需要进行现场支持，投标方需派专业售后服务人员在3天范围赴现场协助我公司排除故障。</w:t>
      </w:r>
    </w:p>
    <w:p>
      <w:pPr>
        <w:spacing w:after="156" w:afterLines="50"/>
        <w:ind w:left="0" w:leftChars="0" w:firstLine="420" w:firstLineChars="0"/>
        <w:jc w:val="both"/>
        <w:rPr>
          <w:rFonts w:hint="default"/>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F2C532F"/>
    <w:rsid w:val="07D9741B"/>
    <w:rsid w:val="18BE55FE"/>
    <w:rsid w:val="23F31ED2"/>
    <w:rsid w:val="2ED96D30"/>
    <w:rsid w:val="4F2C532F"/>
    <w:rsid w:val="698708A7"/>
    <w:rsid w:val="76B34AB6"/>
    <w:rsid w:val="7E235FB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2">
    <w:name w:val="Body Text"/>
    <w:basedOn w:val="1"/>
    <w:next w:val="3"/>
    <w:unhideWhenUsed/>
    <w:qFormat/>
    <w:uiPriority w:val="0"/>
    <w:pPr>
      <w:autoSpaceDE w:val="0"/>
      <w:autoSpaceDN w:val="0"/>
      <w:adjustRightInd w:val="0"/>
      <w:spacing w:after="120" w:line="240" w:lineRule="auto"/>
      <w:ind w:firstLine="0" w:firstLineChars="0"/>
      <w:jc w:val="left"/>
    </w:pPr>
    <w:rPr>
      <w:rFonts w:ascii="Times New Roman" w:hAnsi="Times New Roman" w:cs="Times New Roman"/>
      <w:kern w:val="0"/>
      <w:szCs w:val="20"/>
    </w:rPr>
  </w:style>
  <w:style w:type="paragraph" w:styleId="3">
    <w:name w:val="Title"/>
    <w:basedOn w:val="1"/>
    <w:next w:val="1"/>
    <w:qFormat/>
    <w:uiPriority w:val="0"/>
    <w:pPr>
      <w:autoSpaceDE w:val="0"/>
      <w:autoSpaceDN w:val="0"/>
      <w:snapToGrid w:val="0"/>
      <w:spacing w:line="500" w:lineRule="atLeast"/>
      <w:ind w:left="160" w:hanging="160"/>
      <w:jc w:val="center"/>
    </w:pPr>
    <w:rPr>
      <w:rFonts w:ascii="黑体" w:eastAsia="黑体"/>
      <w:bCs/>
      <w:snapToGrid w:val="0"/>
      <w:color w:val="FF0000"/>
      <w:kern w:val="0"/>
      <w:sz w:val="30"/>
      <w:szCs w:val="30"/>
    </w:r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9</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2024-08-08T10:57:00Z</dcterms:created>
  <dc:creator>刘立同</dc:creator>
  <cp:lastModifiedBy>刘立同</cp:lastModifiedBy>
  <dcterms:modified xsi:type="dcterms:W3CDTF">2024-08-09T02:45:05Z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B505C3D68D1C48259B7A1F556BD1CDF7</vt:lpwstr>
  </property>
</Properties>
</file>