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bidi w:val="0"/>
        <w:snapToGrid/>
        <w:spacing w:before="191" w:beforeLines="50" w:after="191" w:afterLines="50" w:line="360" w:lineRule="auto"/>
        <w:ind w:right="0" w:rightChars="0" w:firstLine="640"/>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anchor distT="0" distB="0" distL="114300" distR="114300" simplePos="0" relativeHeight="251659264" behindDoc="0" locked="0" layoutInCell="1" allowOverlap="1">
            <wp:simplePos x="0" y="0"/>
            <wp:positionH relativeFrom="page">
              <wp:posOffset>-268605</wp:posOffset>
            </wp:positionH>
            <wp:positionV relativeFrom="page">
              <wp:posOffset>-11430</wp:posOffset>
            </wp:positionV>
            <wp:extent cx="7919720" cy="6276975"/>
            <wp:effectExtent l="0" t="0" r="5080" b="9525"/>
            <wp:wrapNone/>
            <wp:docPr id="1" name="图片 87"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 descr="D02-L [Converted]"/>
                    <pic:cNvPicPr>
                      <a:picLocks noChangeAspect="1"/>
                    </pic:cNvPicPr>
                  </pic:nvPicPr>
                  <pic:blipFill>
                    <a:blip r:embed="rId6"/>
                    <a:stretch>
                      <a:fillRect/>
                    </a:stretch>
                  </pic:blipFill>
                  <pic:spPr>
                    <a:xfrm>
                      <a:off x="0" y="0"/>
                      <a:ext cx="7919720" cy="6276975"/>
                    </a:xfrm>
                    <a:prstGeom prst="rect">
                      <a:avLst/>
                    </a:prstGeom>
                    <a:noFill/>
                    <a:ln>
                      <a:noFill/>
                    </a:ln>
                  </pic:spPr>
                </pic:pic>
              </a:graphicData>
            </a:graphic>
          </wp:anchor>
        </w:drawing>
      </w:r>
    </w:p>
    <w:p>
      <w:pPr>
        <w:pStyle w:val="16"/>
        <w:keepNext w:val="0"/>
        <w:keepLines w:val="0"/>
        <w:pageBreakBefore w:val="0"/>
        <w:widowControl w:val="0"/>
        <w:kinsoku/>
        <w:wordWrap/>
        <w:overflowPunct/>
        <w:topLinePunct w:val="0"/>
        <w:bidi w:val="0"/>
        <w:snapToGrid/>
        <w:spacing w:before="191" w:beforeLines="50" w:after="191" w:afterLines="50" w:line="360" w:lineRule="auto"/>
        <w:ind w:right="0" w:rightChars="0" w:firstLine="640"/>
        <w:outlineLvl w:val="9"/>
        <w:rPr>
          <w:rFonts w:hint="eastAsia" w:ascii="仿宋_GB2312" w:hAnsi="仿宋_GB2312" w:eastAsia="仿宋_GB2312" w:cs="仿宋_GB2312"/>
          <w:sz w:val="32"/>
          <w:szCs w:val="32"/>
        </w:rPr>
      </w:pPr>
    </w:p>
    <w:p>
      <w:pPr>
        <w:pStyle w:val="16"/>
        <w:keepNext w:val="0"/>
        <w:keepLines w:val="0"/>
        <w:pageBreakBefore w:val="0"/>
        <w:widowControl w:val="0"/>
        <w:kinsoku/>
        <w:wordWrap/>
        <w:overflowPunct/>
        <w:topLinePunct w:val="0"/>
        <w:bidi w:val="0"/>
        <w:snapToGrid/>
        <w:spacing w:before="191" w:beforeLines="50" w:after="191" w:afterLines="50" w:line="360" w:lineRule="auto"/>
        <w:ind w:left="0" w:leftChars="0" w:right="0" w:rightChars="0" w:firstLine="0" w:firstLineChars="0"/>
        <w:jc w:val="center"/>
        <w:outlineLvl w:val="9"/>
        <w:rPr>
          <w:rFonts w:hint="eastAsia" w:ascii="黑体" w:hAnsi="黑体" w:eastAsia="黑体" w:cs="黑体"/>
          <w:b/>
          <w:bCs/>
          <w:sz w:val="32"/>
          <w:szCs w:val="32"/>
        </w:rPr>
      </w:pPr>
      <w:r>
        <w:rPr>
          <w:rFonts w:hint="eastAsia" w:ascii="仿宋_GB2312" w:hAnsi="仿宋_GB2312" w:eastAsia="仿宋_GB2312" w:cs="仿宋_GB2312"/>
          <w:sz w:val="32"/>
          <w:szCs w:val="32"/>
        </w:rPr>
        <mc:AlternateContent>
          <mc:Choice Requires="wps">
            <w:drawing>
              <wp:anchor distT="0" distB="0" distL="114300" distR="114300" simplePos="0" relativeHeight="251660288" behindDoc="0" locked="0" layoutInCell="1" allowOverlap="1">
                <wp:simplePos x="0" y="0"/>
                <wp:positionH relativeFrom="column">
                  <wp:posOffset>-668020</wp:posOffset>
                </wp:positionH>
                <wp:positionV relativeFrom="paragraph">
                  <wp:posOffset>1461135</wp:posOffset>
                </wp:positionV>
                <wp:extent cx="5905500" cy="1991995"/>
                <wp:effectExtent l="0" t="0" r="0" b="0"/>
                <wp:wrapNone/>
                <wp:docPr id="2" name="Text Box 88"/>
                <wp:cNvGraphicFramePr/>
                <a:graphic xmlns:a="http://schemas.openxmlformats.org/drawingml/2006/main">
                  <a:graphicData uri="http://schemas.microsoft.com/office/word/2010/wordprocessingShape">
                    <wps:wsp>
                      <wps:cNvSpPr txBox="1">
                        <a:spLocks noChangeArrowheads="1"/>
                      </wps:cNvSpPr>
                      <wps:spPr bwMode="auto">
                        <a:xfrm>
                          <a:off x="0" y="0"/>
                          <a:ext cx="6057900" cy="1991995"/>
                        </a:xfrm>
                        <a:prstGeom prst="rect">
                          <a:avLst/>
                        </a:prstGeom>
                        <a:noFill/>
                        <a:ln>
                          <a:noFill/>
                        </a:ln>
                        <a:effectLst/>
                      </wps:spPr>
                      <wps:txbx>
                        <w:txbxContent>
                          <w:p>
                            <w:pPr>
                              <w:pStyle w:val="42"/>
                              <w:kinsoku/>
                              <w:autoSpaceDE/>
                              <w:autoSpaceDN/>
                              <w:bidi w:val="0"/>
                              <w:adjustRightInd/>
                              <w:snapToGrid/>
                              <w:spacing w:line="240" w:lineRule="auto"/>
                              <w:ind w:left="0" w:leftChars="0" w:firstLine="0" w:firstLineChars="0"/>
                              <w:textAlignment w:val="auto"/>
                              <w:rPr>
                                <w:rFonts w:hint="eastAsia" w:cs="Times New Roman" w:asciiTheme="minorEastAsia" w:hAnsiTheme="minorEastAsia" w:eastAsiaTheme="minorEastAsia"/>
                                <w:b/>
                                <w:kern w:val="2"/>
                                <w:sz w:val="36"/>
                                <w:szCs w:val="32"/>
                                <w:highlight w:val="none"/>
                                <w:lang w:val="en-US" w:eastAsia="zh-CN" w:bidi="ar-SA"/>
                              </w:rPr>
                            </w:pPr>
                            <w:r>
                              <w:rPr>
                                <w:rFonts w:hint="eastAsia" w:cs="Times New Roman" w:asciiTheme="minorEastAsia" w:hAnsiTheme="minorEastAsia" w:eastAsiaTheme="minorEastAsia"/>
                                <w:b/>
                                <w:kern w:val="2"/>
                                <w:sz w:val="36"/>
                                <w:szCs w:val="32"/>
                                <w:highlight w:val="none"/>
                                <w:lang w:val="en-US" w:eastAsia="zh-CN" w:bidi="ar-SA"/>
                              </w:rPr>
                              <w:t>2024年南方电网数字平台科技（广东）有限公司CNAS鉴定认证零星采购</w:t>
                            </w:r>
                          </w:p>
                          <w:p>
                            <w:pPr>
                              <w:pStyle w:val="42"/>
                              <w:kinsoku/>
                              <w:autoSpaceDE/>
                              <w:autoSpaceDN/>
                              <w:bidi w:val="0"/>
                              <w:adjustRightInd/>
                              <w:snapToGrid/>
                              <w:spacing w:line="240" w:lineRule="auto"/>
                              <w:ind w:left="0" w:leftChars="0" w:firstLine="0" w:firstLineChars="0"/>
                              <w:textAlignment w:val="auto"/>
                              <w:rPr>
                                <w:rFonts w:hint="eastAsia" w:cs="Times New Roman" w:asciiTheme="minorEastAsia" w:hAnsiTheme="minorEastAsia" w:eastAsiaTheme="minorEastAsia"/>
                                <w:b/>
                                <w:kern w:val="2"/>
                                <w:sz w:val="36"/>
                                <w:szCs w:val="32"/>
                                <w:highlight w:val="none"/>
                                <w:lang w:val="en-US" w:eastAsia="zh-CN" w:bidi="ar-SA"/>
                              </w:rPr>
                            </w:pPr>
                          </w:p>
                          <w:p>
                            <w:pPr>
                              <w:pStyle w:val="42"/>
                              <w:kinsoku/>
                              <w:autoSpaceDE/>
                              <w:autoSpaceDN/>
                              <w:bidi w:val="0"/>
                              <w:adjustRightInd/>
                              <w:snapToGrid/>
                              <w:spacing w:line="240" w:lineRule="auto"/>
                              <w:ind w:left="0" w:leftChars="0" w:firstLine="0" w:firstLineChars="0"/>
                              <w:jc w:val="right"/>
                              <w:textAlignment w:val="auto"/>
                              <w:rPr>
                                <w:rFonts w:hint="eastAsia" w:cs="Times New Roman" w:asciiTheme="minorEastAsia" w:hAnsiTheme="minorEastAsia" w:eastAsiaTheme="minorEastAsia"/>
                                <w:b/>
                                <w:kern w:val="2"/>
                                <w:sz w:val="52"/>
                                <w:szCs w:val="52"/>
                                <w:highlight w:val="none"/>
                                <w:lang w:val="en-US" w:eastAsia="zh-CN" w:bidi="ar-SA"/>
                              </w:rPr>
                            </w:pPr>
                            <w:r>
                              <w:rPr>
                                <w:rFonts w:hint="eastAsia" w:cs="Times New Roman" w:asciiTheme="minorEastAsia" w:hAnsiTheme="minorEastAsia" w:eastAsiaTheme="minorEastAsia"/>
                                <w:b/>
                                <w:kern w:val="2"/>
                                <w:sz w:val="52"/>
                                <w:szCs w:val="52"/>
                                <w:highlight w:val="none"/>
                                <w:lang w:val="en-US" w:eastAsia="zh-CN" w:bidi="ar-SA"/>
                              </w:rPr>
                              <w:t>技术协议书</w:t>
                            </w:r>
                          </w:p>
                          <w:p>
                            <w:pPr>
                              <w:jc w:val="right"/>
                              <w:rPr>
                                <w:rFonts w:hint="eastAsia" w:ascii="黑体" w:hAnsi="宋体" w:eastAsia="黑体"/>
                                <w:b/>
                                <w:bCs/>
                                <w:sz w:val="48"/>
                                <w:szCs w:val="48"/>
                              </w:rPr>
                            </w:pPr>
                          </w:p>
                        </w:txbxContent>
                      </wps:txbx>
                      <wps:bodyPr rot="0" vert="horz" wrap="square" lIns="91440" tIns="45720" rIns="91440" bIns="45720" anchor="t" anchorCtr="0" upright="1">
                        <a:noAutofit/>
                      </wps:bodyPr>
                    </wps:wsp>
                  </a:graphicData>
                </a:graphic>
              </wp:anchor>
            </w:drawing>
          </mc:Choice>
          <mc:Fallback>
            <w:pict>
              <v:shape id="Text Box 88" o:spid="_x0000_s1026" o:spt="202" type="#_x0000_t202" style="position:absolute;left:0pt;margin-left:-52.6pt;margin-top:115.05pt;height:156.85pt;width:465pt;z-index:251660288;mso-width-relative:page;mso-height-relative:page;" filled="f" stroked="f" coordsize="21600,21600" o:gfxdata="UEsDBAoAAAAAAIdO4kAAAAAAAAAAAAAAAAAEAAAAZHJzL1BLAwQUAAAACACHTuJAROAxgNkAAAAM&#10;AQAADwAAAGRycy9kb3ducmV2LnhtbE2Py07DMBBF90j8gzVI7Fo7aYLSNJMuQGxBlIfEzo3dJCIe&#10;R7HbhL9nWMFyNEf3nlvtFzeIi51C7wkhWSsQlhpvemoR3l4fVwWIEDUZPXiyCN82wL6+vqp0afxM&#10;L/ZyiK3gEAqlRuhiHEspQ9NZp8Paj5b4d/KT05HPqZVm0jOHu0GmSt1Jp3vihk6P9r6zzdfh7BDe&#10;n06fH5l6bh9cPs5+UZLcViLe3iRqByLaJf7B8KvP6lCz09GfyQQxIKwSlafMIqQblYBgpEgzXnNE&#10;yLNNAbKu5P8R9Q9QSwMEFAAAAAgAh07iQBmc2DkNAgAAJAQAAA4AAABkcnMvZTJvRG9jLnhtbK1T&#10;227bMAx9H7B/EPS+2AmSNjHiFF2DDgO6dUC7D1BkORZmiRqlxM6+fpTsZln30ocBhiFedMhzSK1v&#10;etOyo0KvwZZ8Osk5U1ZCpe2+5N+f7z8sOfNB2Eq0YFXJT8rzm837d+vOFWoGDbSVQkYg1hedK3kT&#10;giuyzMtGGeEn4JSlYA1oRCAT91mFoiN002azPL/KOsDKIUjlPXm3Q5CPiPgWQKhrLdUW5MEoGwZU&#10;VK0IRMk32nm+Sd3WtZLhsa69CqwtOTEN6U9F6LyL/2yzFsUehWu0HFsQb2nhFScjtKWiZ6itCIId&#10;UP8DZbRE8FCHiQSTDUSSIsRimr/S5qkRTiUuJLV3Z9H9/4OVX4/fkOmq5DPOrDA08GfVB/YRerZc&#10;Rnk65wvKenKUF3ry09Ikqt49gPzhmYW7Rti9ukWErlGiovam8WZ2cXXA8RFk132BiuqIQ4AE1Ndo&#10;onakBiN0Gs3pPJrYiyTnVb64XuUUkhSbrlb0LVINUbxcd+jDJwWGxUPJkWaf4MXxwYfYjiheUmI1&#10;C/e6bdP8W/uXgxIHj0oLNN6OZGL/A5PQ7/pRnB1UJ6KFMCwXPS06NIC/OOtosUrufx4EKs7az5ak&#10;WU3n87iJyZgvrmdk4GVkdxkRVhJUyQNnw/EuDNt7cKj3DVUahmHhluSsdSIaWx26GodAy5P4j4se&#10;t/PSTll/Hvfm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TgMYDZAAAADAEAAA8AAAAAAAAAAQAg&#10;AAAAIgAAAGRycy9kb3ducmV2LnhtbFBLAQIUABQAAAAIAIdO4kAZnNg5DQIAACQEAAAOAAAAAAAA&#10;AAEAIAAAACgBAABkcnMvZTJvRG9jLnhtbFBLBQYAAAAABgAGAFkBAACnBQAAAAA=&#10;">
                <v:fill on="f" focussize="0,0"/>
                <v:stroke on="f"/>
                <v:imagedata o:title=""/>
                <o:lock v:ext="edit" aspectratio="f"/>
                <v:textbox>
                  <w:txbxContent>
                    <w:p>
                      <w:pPr>
                        <w:pStyle w:val="42"/>
                        <w:kinsoku/>
                        <w:autoSpaceDE/>
                        <w:autoSpaceDN/>
                        <w:bidi w:val="0"/>
                        <w:adjustRightInd/>
                        <w:snapToGrid/>
                        <w:spacing w:line="240" w:lineRule="auto"/>
                        <w:ind w:left="0" w:leftChars="0" w:firstLine="0" w:firstLineChars="0"/>
                        <w:textAlignment w:val="auto"/>
                        <w:rPr>
                          <w:rFonts w:hint="eastAsia" w:cs="Times New Roman" w:asciiTheme="minorEastAsia" w:hAnsiTheme="minorEastAsia" w:eastAsiaTheme="minorEastAsia"/>
                          <w:b/>
                          <w:kern w:val="2"/>
                          <w:sz w:val="36"/>
                          <w:szCs w:val="32"/>
                          <w:highlight w:val="none"/>
                          <w:lang w:val="en-US" w:eastAsia="zh-CN" w:bidi="ar-SA"/>
                        </w:rPr>
                      </w:pPr>
                      <w:r>
                        <w:rPr>
                          <w:rFonts w:hint="eastAsia" w:cs="Times New Roman" w:asciiTheme="minorEastAsia" w:hAnsiTheme="minorEastAsia" w:eastAsiaTheme="minorEastAsia"/>
                          <w:b/>
                          <w:kern w:val="2"/>
                          <w:sz w:val="36"/>
                          <w:szCs w:val="32"/>
                          <w:highlight w:val="none"/>
                          <w:lang w:val="en-US" w:eastAsia="zh-CN" w:bidi="ar-SA"/>
                        </w:rPr>
                        <w:t>2024年南方电网数字平台科技（广东）有限公司CNAS鉴定认证零星采购</w:t>
                      </w:r>
                    </w:p>
                    <w:p>
                      <w:pPr>
                        <w:pStyle w:val="42"/>
                        <w:kinsoku/>
                        <w:autoSpaceDE/>
                        <w:autoSpaceDN/>
                        <w:bidi w:val="0"/>
                        <w:adjustRightInd/>
                        <w:snapToGrid/>
                        <w:spacing w:line="240" w:lineRule="auto"/>
                        <w:ind w:left="0" w:leftChars="0" w:firstLine="0" w:firstLineChars="0"/>
                        <w:textAlignment w:val="auto"/>
                        <w:rPr>
                          <w:rFonts w:hint="eastAsia" w:cs="Times New Roman" w:asciiTheme="minorEastAsia" w:hAnsiTheme="minorEastAsia" w:eastAsiaTheme="minorEastAsia"/>
                          <w:b/>
                          <w:kern w:val="2"/>
                          <w:sz w:val="36"/>
                          <w:szCs w:val="32"/>
                          <w:highlight w:val="none"/>
                          <w:lang w:val="en-US" w:eastAsia="zh-CN" w:bidi="ar-SA"/>
                        </w:rPr>
                      </w:pPr>
                    </w:p>
                    <w:p>
                      <w:pPr>
                        <w:pStyle w:val="42"/>
                        <w:kinsoku/>
                        <w:autoSpaceDE/>
                        <w:autoSpaceDN/>
                        <w:bidi w:val="0"/>
                        <w:adjustRightInd/>
                        <w:snapToGrid/>
                        <w:spacing w:line="240" w:lineRule="auto"/>
                        <w:ind w:left="0" w:leftChars="0" w:firstLine="0" w:firstLineChars="0"/>
                        <w:jc w:val="right"/>
                        <w:textAlignment w:val="auto"/>
                        <w:rPr>
                          <w:rFonts w:hint="eastAsia" w:cs="Times New Roman" w:asciiTheme="minorEastAsia" w:hAnsiTheme="minorEastAsia" w:eastAsiaTheme="minorEastAsia"/>
                          <w:b/>
                          <w:kern w:val="2"/>
                          <w:sz w:val="52"/>
                          <w:szCs w:val="52"/>
                          <w:highlight w:val="none"/>
                          <w:lang w:val="en-US" w:eastAsia="zh-CN" w:bidi="ar-SA"/>
                        </w:rPr>
                      </w:pPr>
                      <w:r>
                        <w:rPr>
                          <w:rFonts w:hint="eastAsia" w:cs="Times New Roman" w:asciiTheme="minorEastAsia" w:hAnsiTheme="minorEastAsia" w:eastAsiaTheme="minorEastAsia"/>
                          <w:b/>
                          <w:kern w:val="2"/>
                          <w:sz w:val="52"/>
                          <w:szCs w:val="52"/>
                          <w:highlight w:val="none"/>
                          <w:lang w:val="en-US" w:eastAsia="zh-CN" w:bidi="ar-SA"/>
                        </w:rPr>
                        <w:t>技术协议书</w:t>
                      </w:r>
                    </w:p>
                    <w:p>
                      <w:pPr>
                        <w:jc w:val="right"/>
                        <w:rPr>
                          <w:rFonts w:hint="eastAsia" w:ascii="黑体" w:hAnsi="宋体" w:eastAsia="黑体"/>
                          <w:b/>
                          <w:bCs/>
                          <w:sz w:val="48"/>
                          <w:szCs w:val="48"/>
                        </w:rPr>
                      </w:pPr>
                    </w:p>
                  </w:txbxContent>
                </v:textbox>
              </v:shape>
            </w:pict>
          </mc:Fallback>
        </mc:AlternateContent>
      </w:r>
      <w:r>
        <w:rPr>
          <w:rFonts w:hint="eastAsia" w:ascii="仿宋_GB2312" w:hAnsi="仿宋_GB2312" w:eastAsia="仿宋_GB2312" w:cs="仿宋_GB2312"/>
          <w:sz w:val="32"/>
          <w:szCs w:val="32"/>
        </w:rPr>
        <mc:AlternateContent>
          <mc:Choice Requires="wps">
            <w:drawing>
              <wp:anchor distT="0" distB="0" distL="114300" distR="114300" simplePos="0" relativeHeight="251661312" behindDoc="0" locked="0" layoutInCell="1" allowOverlap="1">
                <wp:simplePos x="0" y="0"/>
                <wp:positionH relativeFrom="column">
                  <wp:posOffset>-217805</wp:posOffset>
                </wp:positionH>
                <wp:positionV relativeFrom="paragraph">
                  <wp:posOffset>4356100</wp:posOffset>
                </wp:positionV>
                <wp:extent cx="5905500" cy="3305175"/>
                <wp:effectExtent l="0" t="0" r="0" b="0"/>
                <wp:wrapNone/>
                <wp:docPr id="3" name="Text Box 88"/>
                <wp:cNvGraphicFramePr/>
                <a:graphic xmlns:a="http://schemas.openxmlformats.org/drawingml/2006/main">
                  <a:graphicData uri="http://schemas.microsoft.com/office/word/2010/wordprocessingShape">
                    <wps:wsp>
                      <wps:cNvSpPr txBox="1">
                        <a:spLocks noChangeArrowheads="1"/>
                      </wps:cNvSpPr>
                      <wps:spPr bwMode="auto">
                        <a:xfrm>
                          <a:off x="0" y="0"/>
                          <a:ext cx="6057900" cy="3305175"/>
                        </a:xfrm>
                        <a:prstGeom prst="rect">
                          <a:avLst/>
                        </a:prstGeom>
                        <a:noFill/>
                        <a:ln>
                          <a:noFill/>
                        </a:ln>
                        <a:effectLst/>
                      </wps:spPr>
                      <wps:txbx>
                        <w:txbxContent>
                          <w:p>
                            <w:pPr>
                              <w:spacing w:before="624" w:beforeLines="200" w:line="0" w:lineRule="atLeast"/>
                              <w:ind w:firstLine="2168" w:firstLineChars="600"/>
                              <w:jc w:val="both"/>
                              <w:rPr>
                                <w:rFonts w:hint="eastAsia" w:ascii="黑体" w:hAnsi="黑体" w:eastAsia="黑体"/>
                                <w:b/>
                                <w:sz w:val="36"/>
                                <w:szCs w:val="24"/>
                              </w:rPr>
                            </w:pPr>
                            <w:r>
                              <w:rPr>
                                <w:rFonts w:hint="eastAsia" w:ascii="黑体" w:hAnsi="黑体" w:eastAsia="黑体"/>
                                <w:b/>
                                <w:sz w:val="36"/>
                                <w:szCs w:val="24"/>
                                <w:lang w:eastAsia="zh-CN"/>
                              </w:rPr>
                              <w:t>批准</w:t>
                            </w:r>
                            <w:r>
                              <w:rPr>
                                <w:rFonts w:hint="eastAsia" w:ascii="黑体" w:hAnsi="黑体" w:eastAsia="黑体"/>
                                <w:b/>
                                <w:sz w:val="36"/>
                                <w:szCs w:val="24"/>
                              </w:rPr>
                              <w:t>：</w:t>
                            </w:r>
                          </w:p>
                          <w:p>
                            <w:pPr>
                              <w:pStyle w:val="2"/>
                              <w:rPr>
                                <w:rFonts w:hint="eastAsia"/>
                              </w:rPr>
                            </w:pPr>
                          </w:p>
                          <w:p>
                            <w:pPr>
                              <w:spacing w:before="624" w:beforeLines="200" w:line="0" w:lineRule="atLeast"/>
                              <w:ind w:firstLine="2168" w:firstLineChars="600"/>
                              <w:jc w:val="left"/>
                              <w:rPr>
                                <w:rFonts w:hint="eastAsia" w:ascii="黑体" w:hAnsi="黑体" w:eastAsia="黑体"/>
                                <w:b/>
                                <w:sz w:val="36"/>
                                <w:szCs w:val="24"/>
                              </w:rPr>
                            </w:pPr>
                            <w:r>
                              <w:rPr>
                                <w:rFonts w:hint="eastAsia" w:ascii="黑体" w:hAnsi="黑体" w:eastAsia="黑体"/>
                                <w:b/>
                                <w:sz w:val="36"/>
                                <w:szCs w:val="24"/>
                                <w:lang w:eastAsia="zh-CN"/>
                              </w:rPr>
                              <w:t>审核</w:t>
                            </w:r>
                            <w:r>
                              <w:rPr>
                                <w:rFonts w:hint="eastAsia" w:ascii="黑体" w:hAnsi="黑体" w:eastAsia="黑体"/>
                                <w:b/>
                                <w:sz w:val="36"/>
                                <w:szCs w:val="24"/>
                              </w:rPr>
                              <w:t>：</w:t>
                            </w:r>
                          </w:p>
                          <w:p>
                            <w:pPr>
                              <w:pStyle w:val="2"/>
                              <w:rPr>
                                <w:rFonts w:hint="eastAsia"/>
                              </w:rPr>
                            </w:pPr>
                          </w:p>
                          <w:p>
                            <w:pPr>
                              <w:spacing w:before="624" w:beforeLines="200" w:line="0" w:lineRule="atLeast"/>
                              <w:ind w:firstLine="2168" w:firstLineChars="600"/>
                              <w:jc w:val="left"/>
                              <w:rPr>
                                <w:rFonts w:hint="default" w:asciiTheme="minorEastAsia" w:hAnsiTheme="minorEastAsia" w:eastAsiaTheme="minorEastAsia"/>
                                <w:b/>
                                <w:bCs/>
                                <w:sz w:val="30"/>
                                <w:szCs w:val="30"/>
                                <w:lang w:val="en-US" w:eastAsia="zh-CN"/>
                              </w:rPr>
                            </w:pPr>
                            <w:r>
                              <w:rPr>
                                <w:rFonts w:hint="eastAsia" w:ascii="黑体" w:hAnsi="黑体" w:eastAsia="黑体"/>
                                <w:b/>
                                <w:sz w:val="36"/>
                                <w:szCs w:val="24"/>
                                <w:lang w:eastAsia="zh-CN"/>
                              </w:rPr>
                              <w:t>编制：</w:t>
                            </w:r>
                          </w:p>
                          <w:p>
                            <w:pPr>
                              <w:adjustRightInd w:val="0"/>
                              <w:snapToGrid w:val="0"/>
                              <w:jc w:val="both"/>
                              <w:rPr>
                                <w:rFonts w:hint="eastAsia" w:ascii="黑体" w:hAnsi="宋体" w:eastAsia="黑体"/>
                                <w:b/>
                                <w:sz w:val="36"/>
                                <w:szCs w:val="36"/>
                              </w:rPr>
                            </w:pPr>
                          </w:p>
                          <w:p>
                            <w:pPr>
                              <w:adjustRightInd w:val="0"/>
                              <w:snapToGrid w:val="0"/>
                              <w:jc w:val="center"/>
                              <w:rPr>
                                <w:rFonts w:hint="default" w:ascii="黑体" w:hAnsi="宋体" w:eastAsia="黑体"/>
                                <w:b/>
                                <w:sz w:val="36"/>
                                <w:szCs w:val="36"/>
                                <w:lang w:val="en-US" w:eastAsia="zh-CN"/>
                              </w:rPr>
                            </w:pPr>
                            <w:r>
                              <w:rPr>
                                <w:rFonts w:hint="eastAsia" w:ascii="黑体" w:hAnsi="宋体" w:eastAsia="黑体"/>
                                <w:b/>
                                <w:sz w:val="36"/>
                                <w:szCs w:val="36"/>
                              </w:rPr>
                              <w:t>南方电网</w:t>
                            </w:r>
                            <w:r>
                              <w:rPr>
                                <w:rFonts w:hint="eastAsia" w:ascii="黑体" w:hAnsi="宋体" w:eastAsia="黑体"/>
                                <w:b/>
                                <w:sz w:val="36"/>
                                <w:szCs w:val="36"/>
                                <w:lang w:val="en-US" w:eastAsia="zh-CN"/>
                              </w:rPr>
                              <w:t>数字平台科技（广东）有限公司</w:t>
                            </w:r>
                          </w:p>
                          <w:p>
                            <w:pPr>
                              <w:adjustRightInd w:val="0"/>
                              <w:snapToGrid w:val="0"/>
                              <w:jc w:val="center"/>
                              <w:rPr>
                                <w:rFonts w:ascii="黑体" w:hAnsi="宋体" w:eastAsia="黑体"/>
                                <w:sz w:val="44"/>
                                <w:szCs w:val="44"/>
                              </w:rPr>
                            </w:pPr>
                            <w:r>
                              <w:rPr>
                                <w:rFonts w:hint="eastAsia" w:ascii="黑体" w:hAnsi="宋体" w:eastAsia="黑体"/>
                                <w:b/>
                                <w:sz w:val="36"/>
                                <w:szCs w:val="36"/>
                              </w:rPr>
                              <w:t>二</w:t>
                            </w:r>
                            <w:r>
                              <w:rPr>
                                <w:rFonts w:hint="eastAsia" w:ascii="黑体" w:hAnsi="宋体" w:eastAsia="黑体"/>
                                <w:b/>
                                <w:sz w:val="32"/>
                                <w:szCs w:val="32"/>
                              </w:rPr>
                              <w:t>○</w:t>
                            </w:r>
                            <w:r>
                              <w:rPr>
                                <w:rFonts w:hint="eastAsia" w:ascii="黑体" w:hAnsi="宋体" w:eastAsia="黑体"/>
                                <w:b/>
                                <w:sz w:val="36"/>
                                <w:szCs w:val="36"/>
                                <w:lang w:val="en-US" w:eastAsia="zh-CN"/>
                              </w:rPr>
                              <w:t>二四</w:t>
                            </w:r>
                            <w:r>
                              <w:rPr>
                                <w:rFonts w:hint="eastAsia" w:ascii="黑体" w:hAnsi="宋体" w:eastAsia="黑体"/>
                                <w:b/>
                                <w:sz w:val="36"/>
                                <w:szCs w:val="36"/>
                              </w:rPr>
                              <w:t>年</w:t>
                            </w:r>
                            <w:r>
                              <w:rPr>
                                <w:rFonts w:hint="eastAsia" w:ascii="黑体" w:hAnsi="宋体" w:eastAsia="黑体"/>
                                <w:b/>
                                <w:sz w:val="36"/>
                                <w:szCs w:val="36"/>
                                <w:lang w:val="en-US" w:eastAsia="zh-CN"/>
                              </w:rPr>
                              <w:t>七</w:t>
                            </w:r>
                            <w:r>
                              <w:rPr>
                                <w:rFonts w:hint="eastAsia" w:ascii="黑体" w:hAnsi="宋体" w:eastAsia="黑体"/>
                                <w:b/>
                                <w:sz w:val="36"/>
                                <w:szCs w:val="36"/>
                              </w:rPr>
                              <w:t>月</w:t>
                            </w:r>
                          </w:p>
                          <w:p>
                            <w:pPr>
                              <w:jc w:val="right"/>
                              <w:rPr>
                                <w:b/>
                                <w:bCs/>
                                <w:sz w:val="20"/>
                                <w:szCs w:val="22"/>
                              </w:rPr>
                            </w:pPr>
                          </w:p>
                        </w:txbxContent>
                      </wps:txbx>
                      <wps:bodyPr rot="0" vert="horz" wrap="square" lIns="91440" tIns="45720" rIns="91440" bIns="45720" anchor="t" anchorCtr="0" upright="1">
                        <a:noAutofit/>
                      </wps:bodyPr>
                    </wps:wsp>
                  </a:graphicData>
                </a:graphic>
              </wp:anchor>
            </w:drawing>
          </mc:Choice>
          <mc:Fallback>
            <w:pict>
              <v:shape id="Text Box 88" o:spid="_x0000_s1026" o:spt="202" type="#_x0000_t202" style="position:absolute;left:0pt;margin-left:-17.15pt;margin-top:343pt;height:260.25pt;width:465pt;z-index:251661312;mso-width-relative:page;mso-height-relative:page;" filled="f" stroked="f" coordsize="21600,21600" o:gfxdata="UEsDBAoAAAAAAIdO4kAAAAAAAAAAAAAAAAAEAAAAZHJzL1BLAwQUAAAACACHTuJAt1wqOtkAAAAM&#10;AQAADwAAAGRycy9kb3ducmV2LnhtbE2Py07DMBBF90j8gzVI7Fq7j4Q0xOkCxBZEgUrdufE0iYjH&#10;Uew24e8ZVnQ5mqN7zy22k+vEBYfQetKwmCsQSJW3LdUaPj9eZhmIEA1Z03lCDT8YYFve3hQmt36k&#10;d7zsYi04hEJuNDQx9rmUoWrQmTD3PRL/Tn5wJvI51NIOZuRw18mlUql0piVuaEyPTw1W37uz0/D1&#10;ejrs1+qtfnZJP/pJSXIbqfX93UI9gog4xX8Y/vRZHUp2Ovoz2SA6DbPVesWohjRLeRQT2SZ5AHFk&#10;dKnSBGRZyOsR5S9QSwMEFAAAAAgAh07iQAsrEjcOAgAAJAQAAA4AAABkcnMvZTJvRG9jLnhtbK1T&#10;TW/bMAy9D9h/EHRf7Hw1qRGn6Bp0GNB1A9r9AFmWY2G2qFFK7OzXj5LdLOsuPexiSCT1+N4jvbnp&#10;24YdFToNJufTScqZMhJKbfY5//58/2HNmfPClKIBo3J+Uo7fbN+/23Q2UzOooSkVMgIxLutszmvv&#10;bZYkTtaqFW4CVhlKVoCt8HTFfVKi6Ai9bZJZml4lHWBpEaRyjqK7IclHRHwLIFSVlmoH8tAq4wdU&#10;VI3wJMnV2jq+jWyrSkn/taqc8qzJOSn18UtN6FyEb7LdiGyPwtZajhTEWyi80tQKbajpGWonvGAH&#10;1P9AtVoiOKj8REKbDEKiI6Rimr7y5qkWVkUtZLWzZ9Pd/4OVj8dvyHSZ8zlnRrQ08GfVe/YRerZe&#10;B3s66zKqerJU53uK09JEqc4+gPzhmIG7Wpi9ukWErlaiJHrT8DK5eDrguABSdF+gpD7i4CEC9RW2&#10;wTtygxE6jeZ0Hk3gIil4lS5X1ymlJOXm83Q5XS1jD5G9PLfo/CcFLQuHnCPNPsKL44PzgY7IXkpC&#10;NwP3umni/BvzV4AKh4iKCzS+DmIC/0GJ74t+NKeA8kSyEIblol+LDjXgL846Wqycu58HgYqz5rMh&#10;a66ni0XYxHhZLFczuuBlprjMCCMJKuees+F454ftPVjU+5o6DcMwcEt2VjoKDVQHVuMQaHmi/nHR&#10;w3Ze3mPVn597+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3XCo62QAAAAwBAAAPAAAAAAAAAAEA&#10;IAAAACIAAABkcnMvZG93bnJldi54bWxQSwECFAAUAAAACACHTuJACysSNw4CAAAkBAAADgAAAAAA&#10;AAABACAAAAAoAQAAZHJzL2Uyb0RvYy54bWxQSwUGAAAAAAYABgBZAQAAqAUAAAAA&#10;">
                <v:fill on="f" focussize="0,0"/>
                <v:stroke on="f"/>
                <v:imagedata o:title=""/>
                <o:lock v:ext="edit" aspectratio="f"/>
                <v:textbox>
                  <w:txbxContent>
                    <w:p>
                      <w:pPr>
                        <w:spacing w:before="624" w:beforeLines="200" w:line="0" w:lineRule="atLeast"/>
                        <w:ind w:firstLine="2168" w:firstLineChars="600"/>
                        <w:jc w:val="both"/>
                        <w:rPr>
                          <w:rFonts w:hint="eastAsia" w:ascii="黑体" w:hAnsi="黑体" w:eastAsia="黑体"/>
                          <w:b/>
                          <w:sz w:val="36"/>
                          <w:szCs w:val="24"/>
                        </w:rPr>
                      </w:pPr>
                      <w:r>
                        <w:rPr>
                          <w:rFonts w:hint="eastAsia" w:ascii="黑体" w:hAnsi="黑体" w:eastAsia="黑体"/>
                          <w:b/>
                          <w:sz w:val="36"/>
                          <w:szCs w:val="24"/>
                          <w:lang w:eastAsia="zh-CN"/>
                        </w:rPr>
                        <w:t>批准</w:t>
                      </w:r>
                      <w:r>
                        <w:rPr>
                          <w:rFonts w:hint="eastAsia" w:ascii="黑体" w:hAnsi="黑体" w:eastAsia="黑体"/>
                          <w:b/>
                          <w:sz w:val="36"/>
                          <w:szCs w:val="24"/>
                        </w:rPr>
                        <w:t>：</w:t>
                      </w:r>
                    </w:p>
                    <w:p>
                      <w:pPr>
                        <w:pStyle w:val="2"/>
                        <w:rPr>
                          <w:rFonts w:hint="eastAsia"/>
                        </w:rPr>
                      </w:pPr>
                    </w:p>
                    <w:p>
                      <w:pPr>
                        <w:spacing w:before="624" w:beforeLines="200" w:line="0" w:lineRule="atLeast"/>
                        <w:ind w:firstLine="2168" w:firstLineChars="600"/>
                        <w:jc w:val="left"/>
                        <w:rPr>
                          <w:rFonts w:hint="eastAsia" w:ascii="黑体" w:hAnsi="黑体" w:eastAsia="黑体"/>
                          <w:b/>
                          <w:sz w:val="36"/>
                          <w:szCs w:val="24"/>
                        </w:rPr>
                      </w:pPr>
                      <w:r>
                        <w:rPr>
                          <w:rFonts w:hint="eastAsia" w:ascii="黑体" w:hAnsi="黑体" w:eastAsia="黑体"/>
                          <w:b/>
                          <w:sz w:val="36"/>
                          <w:szCs w:val="24"/>
                          <w:lang w:eastAsia="zh-CN"/>
                        </w:rPr>
                        <w:t>审核</w:t>
                      </w:r>
                      <w:r>
                        <w:rPr>
                          <w:rFonts w:hint="eastAsia" w:ascii="黑体" w:hAnsi="黑体" w:eastAsia="黑体"/>
                          <w:b/>
                          <w:sz w:val="36"/>
                          <w:szCs w:val="24"/>
                        </w:rPr>
                        <w:t>：</w:t>
                      </w:r>
                    </w:p>
                    <w:p>
                      <w:pPr>
                        <w:pStyle w:val="2"/>
                        <w:rPr>
                          <w:rFonts w:hint="eastAsia"/>
                        </w:rPr>
                      </w:pPr>
                    </w:p>
                    <w:p>
                      <w:pPr>
                        <w:spacing w:before="624" w:beforeLines="200" w:line="0" w:lineRule="atLeast"/>
                        <w:ind w:firstLine="2168" w:firstLineChars="600"/>
                        <w:jc w:val="left"/>
                        <w:rPr>
                          <w:rFonts w:hint="default" w:asciiTheme="minorEastAsia" w:hAnsiTheme="minorEastAsia" w:eastAsiaTheme="minorEastAsia"/>
                          <w:b/>
                          <w:bCs/>
                          <w:sz w:val="30"/>
                          <w:szCs w:val="30"/>
                          <w:lang w:val="en-US" w:eastAsia="zh-CN"/>
                        </w:rPr>
                      </w:pPr>
                      <w:r>
                        <w:rPr>
                          <w:rFonts w:hint="eastAsia" w:ascii="黑体" w:hAnsi="黑体" w:eastAsia="黑体"/>
                          <w:b/>
                          <w:sz w:val="36"/>
                          <w:szCs w:val="24"/>
                          <w:lang w:eastAsia="zh-CN"/>
                        </w:rPr>
                        <w:t>编制：</w:t>
                      </w:r>
                    </w:p>
                    <w:p>
                      <w:pPr>
                        <w:adjustRightInd w:val="0"/>
                        <w:snapToGrid w:val="0"/>
                        <w:jc w:val="both"/>
                        <w:rPr>
                          <w:rFonts w:hint="eastAsia" w:ascii="黑体" w:hAnsi="宋体" w:eastAsia="黑体"/>
                          <w:b/>
                          <w:sz w:val="36"/>
                          <w:szCs w:val="36"/>
                        </w:rPr>
                      </w:pPr>
                    </w:p>
                    <w:p>
                      <w:pPr>
                        <w:adjustRightInd w:val="0"/>
                        <w:snapToGrid w:val="0"/>
                        <w:jc w:val="center"/>
                        <w:rPr>
                          <w:rFonts w:hint="default" w:ascii="黑体" w:hAnsi="宋体" w:eastAsia="黑体"/>
                          <w:b/>
                          <w:sz w:val="36"/>
                          <w:szCs w:val="36"/>
                          <w:lang w:val="en-US" w:eastAsia="zh-CN"/>
                        </w:rPr>
                      </w:pPr>
                      <w:r>
                        <w:rPr>
                          <w:rFonts w:hint="eastAsia" w:ascii="黑体" w:hAnsi="宋体" w:eastAsia="黑体"/>
                          <w:b/>
                          <w:sz w:val="36"/>
                          <w:szCs w:val="36"/>
                        </w:rPr>
                        <w:t>南方电网</w:t>
                      </w:r>
                      <w:r>
                        <w:rPr>
                          <w:rFonts w:hint="eastAsia" w:ascii="黑体" w:hAnsi="宋体" w:eastAsia="黑体"/>
                          <w:b/>
                          <w:sz w:val="36"/>
                          <w:szCs w:val="36"/>
                          <w:lang w:val="en-US" w:eastAsia="zh-CN"/>
                        </w:rPr>
                        <w:t>数字平台科技（广东）有限公司</w:t>
                      </w:r>
                    </w:p>
                    <w:p>
                      <w:pPr>
                        <w:adjustRightInd w:val="0"/>
                        <w:snapToGrid w:val="0"/>
                        <w:jc w:val="center"/>
                        <w:rPr>
                          <w:rFonts w:ascii="黑体" w:hAnsi="宋体" w:eastAsia="黑体"/>
                          <w:sz w:val="44"/>
                          <w:szCs w:val="44"/>
                        </w:rPr>
                      </w:pPr>
                      <w:r>
                        <w:rPr>
                          <w:rFonts w:hint="eastAsia" w:ascii="黑体" w:hAnsi="宋体" w:eastAsia="黑体"/>
                          <w:b/>
                          <w:sz w:val="36"/>
                          <w:szCs w:val="36"/>
                        </w:rPr>
                        <w:t>二</w:t>
                      </w:r>
                      <w:r>
                        <w:rPr>
                          <w:rFonts w:hint="eastAsia" w:ascii="黑体" w:hAnsi="宋体" w:eastAsia="黑体"/>
                          <w:b/>
                          <w:sz w:val="32"/>
                          <w:szCs w:val="32"/>
                        </w:rPr>
                        <w:t>○</w:t>
                      </w:r>
                      <w:r>
                        <w:rPr>
                          <w:rFonts w:hint="eastAsia" w:ascii="黑体" w:hAnsi="宋体" w:eastAsia="黑体"/>
                          <w:b/>
                          <w:sz w:val="36"/>
                          <w:szCs w:val="36"/>
                          <w:lang w:val="en-US" w:eastAsia="zh-CN"/>
                        </w:rPr>
                        <w:t>二四</w:t>
                      </w:r>
                      <w:r>
                        <w:rPr>
                          <w:rFonts w:hint="eastAsia" w:ascii="黑体" w:hAnsi="宋体" w:eastAsia="黑体"/>
                          <w:b/>
                          <w:sz w:val="36"/>
                          <w:szCs w:val="36"/>
                        </w:rPr>
                        <w:t>年</w:t>
                      </w:r>
                      <w:r>
                        <w:rPr>
                          <w:rFonts w:hint="eastAsia" w:ascii="黑体" w:hAnsi="宋体" w:eastAsia="黑体"/>
                          <w:b/>
                          <w:sz w:val="36"/>
                          <w:szCs w:val="36"/>
                          <w:lang w:val="en-US" w:eastAsia="zh-CN"/>
                        </w:rPr>
                        <w:t>七</w:t>
                      </w:r>
                      <w:r>
                        <w:rPr>
                          <w:rFonts w:hint="eastAsia" w:ascii="黑体" w:hAnsi="宋体" w:eastAsia="黑体"/>
                          <w:b/>
                          <w:sz w:val="36"/>
                          <w:szCs w:val="36"/>
                        </w:rPr>
                        <w:t>月</w:t>
                      </w:r>
                    </w:p>
                    <w:p>
                      <w:pPr>
                        <w:jc w:val="right"/>
                        <w:rPr>
                          <w:b/>
                          <w:bCs/>
                          <w:sz w:val="20"/>
                          <w:szCs w:val="22"/>
                        </w:rPr>
                      </w:pPr>
                    </w:p>
                  </w:txbxContent>
                </v:textbox>
              </v:shape>
            </w:pict>
          </mc:Fallback>
        </mc:AlternateContent>
      </w:r>
      <w:r>
        <w:rPr>
          <w:rFonts w:hint="eastAsia" w:ascii="仿宋_GB2312" w:hAnsi="仿宋_GB2312" w:eastAsia="仿宋_GB2312" w:cs="仿宋_GB2312"/>
          <w:sz w:val="32"/>
          <w:szCs w:val="32"/>
        </w:rPr>
        <w:br w:type="page"/>
      </w:r>
      <w:r>
        <w:rPr>
          <w:rFonts w:hint="eastAsia" w:ascii="黑体" w:hAnsi="黑体" w:eastAsia="黑体" w:cs="黑体"/>
          <w:b/>
          <w:bCs/>
          <w:sz w:val="32"/>
          <w:szCs w:val="32"/>
          <w:lang w:eastAsia="zh-CN"/>
        </w:rPr>
        <w:t>目录</w:t>
      </w:r>
    </w:p>
    <w:p>
      <w:pPr>
        <w:pStyle w:val="15"/>
        <w:tabs>
          <w:tab w:val="right" w:leader="dot" w:pos="8539"/>
        </w:tabs>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TOC \o "1-3" \h \u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_Toc13183 </w:instrText>
      </w:r>
      <w:r>
        <w:rPr>
          <w:rFonts w:hint="eastAsia" w:ascii="仿宋_GB2312" w:hAnsi="仿宋_GB2312" w:eastAsia="仿宋_GB2312" w:cs="仿宋_GB2312"/>
          <w:szCs w:val="28"/>
        </w:rPr>
        <w:fldChar w:fldCharType="separate"/>
      </w:r>
      <w:r>
        <w:rPr>
          <w:rFonts w:hint="eastAsia"/>
        </w:rPr>
        <w:t>1.总则</w:t>
      </w:r>
      <w:r>
        <w:tab/>
      </w:r>
      <w:r>
        <w:fldChar w:fldCharType="begin"/>
      </w:r>
      <w:r>
        <w:instrText xml:space="preserve"> PAGEREF _Toc13183 \h </w:instrText>
      </w:r>
      <w:r>
        <w:fldChar w:fldCharType="separate"/>
      </w:r>
      <w:r>
        <w:t>3</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_Toc26729 </w:instrText>
      </w:r>
      <w:r>
        <w:rPr>
          <w:rFonts w:hint="eastAsia" w:ascii="仿宋_GB2312" w:hAnsi="仿宋_GB2312" w:eastAsia="仿宋_GB2312" w:cs="仿宋_GB2312"/>
          <w:szCs w:val="28"/>
        </w:rPr>
        <w:fldChar w:fldCharType="separate"/>
      </w:r>
      <w:r>
        <w:rPr>
          <w:rFonts w:hint="eastAsia"/>
        </w:rPr>
        <w:t>1.1.概述</w:t>
      </w:r>
      <w:r>
        <w:tab/>
      </w:r>
      <w:r>
        <w:fldChar w:fldCharType="begin"/>
      </w:r>
      <w:r>
        <w:instrText xml:space="preserve"> PAGEREF _Toc26729 \h </w:instrText>
      </w:r>
      <w:r>
        <w:fldChar w:fldCharType="separate"/>
      </w:r>
      <w:r>
        <w:t>3</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_Toc13177 </w:instrText>
      </w:r>
      <w:r>
        <w:rPr>
          <w:rFonts w:hint="eastAsia" w:ascii="仿宋_GB2312" w:hAnsi="仿宋_GB2312" w:eastAsia="仿宋_GB2312" w:cs="仿宋_GB2312"/>
          <w:szCs w:val="28"/>
        </w:rPr>
        <w:fldChar w:fldCharType="separate"/>
      </w:r>
      <w:r>
        <w:rPr>
          <w:rFonts w:hint="eastAsia"/>
        </w:rPr>
        <w:t>2.项目内容</w:t>
      </w:r>
      <w:r>
        <w:tab/>
      </w:r>
      <w:r>
        <w:fldChar w:fldCharType="begin"/>
      </w:r>
      <w:r>
        <w:instrText xml:space="preserve"> PAGEREF _Toc13177 \h </w:instrText>
      </w:r>
      <w:r>
        <w:fldChar w:fldCharType="separate"/>
      </w:r>
      <w:r>
        <w:t>3</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_Toc9618 </w:instrText>
      </w:r>
      <w:r>
        <w:rPr>
          <w:rFonts w:hint="eastAsia" w:ascii="仿宋_GB2312" w:hAnsi="仿宋_GB2312" w:eastAsia="仿宋_GB2312" w:cs="仿宋_GB2312"/>
          <w:szCs w:val="28"/>
        </w:rPr>
        <w:fldChar w:fldCharType="separate"/>
      </w:r>
      <w:r>
        <w:rPr>
          <w:rFonts w:hint="eastAsia"/>
        </w:rPr>
        <w:t>2.1.项目背景</w:t>
      </w:r>
      <w:r>
        <w:tab/>
      </w:r>
      <w:r>
        <w:fldChar w:fldCharType="begin"/>
      </w:r>
      <w:r>
        <w:instrText xml:space="preserve"> PAGEREF _Toc9618 \h </w:instrText>
      </w:r>
      <w:r>
        <w:fldChar w:fldCharType="separate"/>
      </w:r>
      <w:r>
        <w:t>3</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_Toc25430 </w:instrText>
      </w:r>
      <w:r>
        <w:rPr>
          <w:rFonts w:hint="eastAsia" w:ascii="仿宋_GB2312" w:hAnsi="仿宋_GB2312" w:eastAsia="仿宋_GB2312" w:cs="仿宋_GB2312"/>
          <w:szCs w:val="28"/>
        </w:rPr>
        <w:fldChar w:fldCharType="separate"/>
      </w:r>
      <w:r>
        <w:rPr>
          <w:rFonts w:hint="eastAsia"/>
        </w:rPr>
        <w:t>2.2.项目目标</w:t>
      </w:r>
      <w:r>
        <w:tab/>
      </w:r>
      <w:r>
        <w:fldChar w:fldCharType="begin"/>
      </w:r>
      <w:r>
        <w:instrText xml:space="preserve"> PAGEREF _Toc25430 \h </w:instrText>
      </w:r>
      <w:r>
        <w:fldChar w:fldCharType="separate"/>
      </w:r>
      <w:r>
        <w:t>4</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_Toc1035 </w:instrText>
      </w:r>
      <w:r>
        <w:rPr>
          <w:rFonts w:hint="eastAsia" w:ascii="仿宋_GB2312" w:hAnsi="仿宋_GB2312" w:eastAsia="仿宋_GB2312" w:cs="仿宋_GB2312"/>
          <w:szCs w:val="28"/>
        </w:rPr>
        <w:fldChar w:fldCharType="separate"/>
      </w:r>
      <w:r>
        <w:rPr>
          <w:rFonts w:hint="eastAsia"/>
        </w:rPr>
        <w:t>2.3.应遵循的标准</w:t>
      </w:r>
      <w:r>
        <w:tab/>
      </w:r>
      <w:r>
        <w:fldChar w:fldCharType="begin"/>
      </w:r>
      <w:r>
        <w:instrText xml:space="preserve"> PAGEREF _Toc1035 \h </w:instrText>
      </w:r>
      <w:r>
        <w:fldChar w:fldCharType="separate"/>
      </w:r>
      <w:r>
        <w:t>4</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_Toc4443 </w:instrText>
      </w:r>
      <w:r>
        <w:rPr>
          <w:rFonts w:hint="eastAsia" w:ascii="仿宋_GB2312" w:hAnsi="仿宋_GB2312" w:eastAsia="仿宋_GB2312" w:cs="仿宋_GB2312"/>
          <w:szCs w:val="28"/>
        </w:rPr>
        <w:fldChar w:fldCharType="separate"/>
      </w:r>
      <w:r>
        <w:rPr>
          <w:rFonts w:hint="eastAsia"/>
        </w:rPr>
        <w:t>2.4.项目内容</w:t>
      </w:r>
      <w:r>
        <w:tab/>
      </w:r>
      <w:r>
        <w:fldChar w:fldCharType="begin"/>
      </w:r>
      <w:r>
        <w:instrText xml:space="preserve"> PAGEREF _Toc4443 \h </w:instrText>
      </w:r>
      <w:r>
        <w:fldChar w:fldCharType="separate"/>
      </w:r>
      <w:r>
        <w:t>4</w:t>
      </w:r>
      <w:r>
        <w:fldChar w:fldCharType="end"/>
      </w:r>
      <w:r>
        <w:rPr>
          <w:rFonts w:hint="eastAsia" w:ascii="仿宋_GB2312" w:hAnsi="仿宋_GB2312" w:eastAsia="仿宋_GB2312" w:cs="仿宋_GB2312"/>
          <w:szCs w:val="28"/>
        </w:rPr>
        <w:fldChar w:fldCharType="end"/>
      </w:r>
    </w:p>
    <w:p>
      <w:pPr>
        <w:pStyle w:val="10"/>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_Toc25297 </w:instrText>
      </w:r>
      <w:r>
        <w:rPr>
          <w:rFonts w:hint="eastAsia" w:ascii="仿宋_GB2312" w:hAnsi="仿宋_GB2312" w:eastAsia="仿宋_GB2312" w:cs="仿宋_GB2312"/>
          <w:szCs w:val="28"/>
        </w:rPr>
        <w:fldChar w:fldCharType="separate"/>
      </w:r>
      <w:r>
        <w:rPr>
          <w:rFonts w:hint="eastAsia"/>
        </w:rPr>
        <w:t>2.4.1.技术要求</w:t>
      </w:r>
      <w:r>
        <w:tab/>
      </w:r>
      <w:r>
        <w:fldChar w:fldCharType="begin"/>
      </w:r>
      <w:r>
        <w:instrText xml:space="preserve"> PAGEREF _Toc25297 \h </w:instrText>
      </w:r>
      <w:r>
        <w:fldChar w:fldCharType="separate"/>
      </w:r>
      <w:r>
        <w:t>4</w:t>
      </w:r>
      <w:r>
        <w:fldChar w:fldCharType="end"/>
      </w:r>
      <w:r>
        <w:rPr>
          <w:rFonts w:hint="eastAsia" w:ascii="仿宋_GB2312" w:hAnsi="仿宋_GB2312" w:eastAsia="仿宋_GB2312" w:cs="仿宋_GB2312"/>
          <w:szCs w:val="28"/>
        </w:rPr>
        <w:fldChar w:fldCharType="end"/>
      </w:r>
    </w:p>
    <w:p>
      <w:pPr>
        <w:pStyle w:val="10"/>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_Toc27438 </w:instrText>
      </w:r>
      <w:r>
        <w:rPr>
          <w:rFonts w:hint="eastAsia" w:ascii="仿宋_GB2312" w:hAnsi="仿宋_GB2312" w:eastAsia="仿宋_GB2312" w:cs="仿宋_GB2312"/>
          <w:szCs w:val="28"/>
        </w:rPr>
        <w:fldChar w:fldCharType="separate"/>
      </w:r>
      <w:r>
        <w:rPr>
          <w:rFonts w:hint="eastAsia"/>
        </w:rPr>
        <w:t>2.4.1.</w:t>
      </w:r>
      <w:r>
        <w:rPr>
          <w:rFonts w:hint="eastAsia"/>
          <w:lang w:val="en-US" w:eastAsia="zh-CN"/>
        </w:rPr>
        <w:t>服务</w:t>
      </w:r>
      <w:r>
        <w:rPr>
          <w:rFonts w:hint="eastAsia"/>
        </w:rPr>
        <w:t>要求</w:t>
      </w:r>
      <w:r>
        <w:tab/>
      </w:r>
      <w:r>
        <w:fldChar w:fldCharType="begin"/>
      </w:r>
      <w:r>
        <w:instrText xml:space="preserve"> PAGEREF _Toc27438 \h </w:instrText>
      </w:r>
      <w:r>
        <w:fldChar w:fldCharType="separate"/>
      </w:r>
      <w:r>
        <w:t>6</w:t>
      </w:r>
      <w:r>
        <w:fldChar w:fldCharType="end"/>
      </w:r>
      <w:r>
        <w:rPr>
          <w:rFonts w:hint="eastAsia" w:ascii="仿宋_GB2312" w:hAnsi="仿宋_GB2312" w:eastAsia="仿宋_GB2312" w:cs="仿宋_GB2312"/>
          <w:szCs w:val="28"/>
        </w:rPr>
        <w:fldChar w:fldCharType="end"/>
      </w:r>
    </w:p>
    <w:p>
      <w:pPr>
        <w:pStyle w:val="10"/>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_Toc24841 </w:instrText>
      </w:r>
      <w:r>
        <w:rPr>
          <w:rFonts w:hint="eastAsia" w:ascii="仿宋_GB2312" w:hAnsi="仿宋_GB2312" w:eastAsia="仿宋_GB2312" w:cs="仿宋_GB2312"/>
          <w:szCs w:val="28"/>
        </w:rPr>
        <w:fldChar w:fldCharType="separate"/>
      </w:r>
      <w:r>
        <w:rPr>
          <w:rFonts w:hint="eastAsia" w:ascii="宋体" w:hAnsi="宋体" w:eastAsia="宋体"/>
        </w:rPr>
        <w:t>2.4.2.应用功能要求</w:t>
      </w:r>
      <w:r>
        <w:tab/>
      </w:r>
      <w:r>
        <w:fldChar w:fldCharType="begin"/>
      </w:r>
      <w:r>
        <w:instrText xml:space="preserve"> PAGEREF _Toc24841 \h </w:instrText>
      </w:r>
      <w:r>
        <w:fldChar w:fldCharType="separate"/>
      </w:r>
      <w:r>
        <w:t>7</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_Toc789 </w:instrText>
      </w:r>
      <w:r>
        <w:rPr>
          <w:rFonts w:hint="eastAsia" w:ascii="仿宋_GB2312" w:hAnsi="仿宋_GB2312" w:eastAsia="仿宋_GB2312" w:cs="仿宋_GB2312"/>
          <w:szCs w:val="28"/>
        </w:rPr>
        <w:fldChar w:fldCharType="separate"/>
      </w:r>
      <w:r>
        <w:rPr>
          <w:rFonts w:hint="eastAsia"/>
        </w:rPr>
        <w:t>2.5.项目进度要求</w:t>
      </w:r>
      <w:r>
        <w:tab/>
      </w:r>
      <w:r>
        <w:fldChar w:fldCharType="begin"/>
      </w:r>
      <w:r>
        <w:instrText xml:space="preserve"> PAGEREF _Toc789 \h </w:instrText>
      </w:r>
      <w:r>
        <w:fldChar w:fldCharType="separate"/>
      </w:r>
      <w:r>
        <w:t>7</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_Toc16588 </w:instrText>
      </w:r>
      <w:r>
        <w:rPr>
          <w:rFonts w:hint="eastAsia" w:ascii="仿宋_GB2312" w:hAnsi="仿宋_GB2312" w:eastAsia="仿宋_GB2312" w:cs="仿宋_GB2312"/>
          <w:szCs w:val="28"/>
        </w:rPr>
        <w:fldChar w:fldCharType="separate"/>
      </w:r>
      <w:r>
        <w:rPr>
          <w:rFonts w:hint="eastAsia"/>
        </w:rPr>
        <w:t>2.6.项目售后要求</w:t>
      </w:r>
      <w:r>
        <w:tab/>
      </w:r>
      <w:r>
        <w:fldChar w:fldCharType="begin"/>
      </w:r>
      <w:r>
        <w:instrText xml:space="preserve"> PAGEREF _Toc16588 \h </w:instrText>
      </w:r>
      <w:r>
        <w:fldChar w:fldCharType="separate"/>
      </w:r>
      <w:r>
        <w:t>7</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_Toc20483 </w:instrText>
      </w:r>
      <w:r>
        <w:rPr>
          <w:rFonts w:hint="eastAsia" w:ascii="仿宋_GB2312" w:hAnsi="仿宋_GB2312" w:eastAsia="仿宋_GB2312" w:cs="仿宋_GB2312"/>
          <w:szCs w:val="28"/>
        </w:rPr>
        <w:fldChar w:fldCharType="separate"/>
      </w:r>
      <w:r>
        <w:rPr>
          <w:rFonts w:hint="eastAsia"/>
        </w:rPr>
        <w:t>2.7.质量要求</w:t>
      </w:r>
      <w:r>
        <w:tab/>
      </w:r>
      <w:r>
        <w:fldChar w:fldCharType="begin"/>
      </w:r>
      <w:r>
        <w:instrText xml:space="preserve"> PAGEREF _Toc20483 \h </w:instrText>
      </w:r>
      <w:r>
        <w:fldChar w:fldCharType="separate"/>
      </w:r>
      <w:r>
        <w:t>9</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_Toc28029 </w:instrText>
      </w:r>
      <w:r>
        <w:rPr>
          <w:rFonts w:hint="eastAsia" w:ascii="仿宋_GB2312" w:hAnsi="仿宋_GB2312" w:eastAsia="仿宋_GB2312" w:cs="仿宋_GB2312"/>
          <w:szCs w:val="28"/>
        </w:rPr>
        <w:fldChar w:fldCharType="separate"/>
      </w:r>
      <w:r>
        <w:rPr>
          <w:rFonts w:hint="eastAsia"/>
        </w:rPr>
        <w:t>2.8.项目交付成果</w:t>
      </w:r>
      <w:r>
        <w:tab/>
      </w:r>
      <w:r>
        <w:fldChar w:fldCharType="begin"/>
      </w:r>
      <w:r>
        <w:instrText xml:space="preserve"> PAGEREF _Toc28029 \h </w:instrText>
      </w:r>
      <w:r>
        <w:fldChar w:fldCharType="separate"/>
      </w:r>
      <w:r>
        <w:t>10</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_Toc1828 </w:instrText>
      </w:r>
      <w:r>
        <w:rPr>
          <w:rFonts w:hint="eastAsia" w:ascii="仿宋_GB2312" w:hAnsi="仿宋_GB2312" w:eastAsia="仿宋_GB2312" w:cs="仿宋_GB2312"/>
          <w:szCs w:val="28"/>
        </w:rPr>
        <w:fldChar w:fldCharType="separate"/>
      </w:r>
      <w:r>
        <w:rPr>
          <w:rFonts w:hint="eastAsia"/>
        </w:rPr>
        <w:t>2.9.安全保密要求</w:t>
      </w:r>
      <w:r>
        <w:tab/>
      </w:r>
      <w:r>
        <w:fldChar w:fldCharType="begin"/>
      </w:r>
      <w:r>
        <w:instrText xml:space="preserve"> PAGEREF _Toc1828 \h </w:instrText>
      </w:r>
      <w:r>
        <w:fldChar w:fldCharType="separate"/>
      </w:r>
      <w:r>
        <w:t>10</w:t>
      </w:r>
      <w:r>
        <w:fldChar w:fldCharType="end"/>
      </w:r>
      <w:r>
        <w:rPr>
          <w:rFonts w:hint="eastAsia" w:ascii="仿宋_GB2312" w:hAnsi="仿宋_GB2312" w:eastAsia="仿宋_GB2312" w:cs="仿宋_GB2312"/>
          <w:szCs w:val="28"/>
        </w:rPr>
        <w:fldChar w:fldCharType="end"/>
      </w:r>
    </w:p>
    <w:p>
      <w:pPr>
        <w:pStyle w:val="15"/>
        <w:tabs>
          <w:tab w:val="right" w:leader="dot" w:pos="8539"/>
        </w:tabs>
      </w:pPr>
      <w:r>
        <w:rPr>
          <w:rFonts w:hint="eastAsia" w:ascii="仿宋_GB2312" w:hAnsi="仿宋_GB2312" w:eastAsia="仿宋_GB2312" w:cs="仿宋_GB2312"/>
          <w:szCs w:val="28"/>
        </w:rPr>
        <w:fldChar w:fldCharType="begin"/>
      </w:r>
      <w:r>
        <w:rPr>
          <w:rFonts w:hint="eastAsia" w:ascii="仿宋_GB2312" w:hAnsi="仿宋_GB2312" w:eastAsia="仿宋_GB2312" w:cs="仿宋_GB2312"/>
          <w:szCs w:val="28"/>
        </w:rPr>
        <w:instrText xml:space="preserve"> HYPERLINK \l _Toc10654 </w:instrText>
      </w:r>
      <w:r>
        <w:rPr>
          <w:rFonts w:hint="eastAsia" w:ascii="仿宋_GB2312" w:hAnsi="仿宋_GB2312" w:eastAsia="仿宋_GB2312" w:cs="仿宋_GB2312"/>
          <w:szCs w:val="28"/>
        </w:rPr>
        <w:fldChar w:fldCharType="separate"/>
      </w:r>
      <w:r>
        <w:rPr>
          <w:rFonts w:hint="eastAsia"/>
        </w:rPr>
        <w:t>2.10.项目验收要求</w:t>
      </w:r>
      <w:r>
        <w:tab/>
      </w:r>
      <w:r>
        <w:fldChar w:fldCharType="begin"/>
      </w:r>
      <w:r>
        <w:instrText xml:space="preserve"> PAGEREF _Toc10654 \h </w:instrText>
      </w:r>
      <w:r>
        <w:fldChar w:fldCharType="separate"/>
      </w:r>
      <w:r>
        <w:t>11</w:t>
      </w:r>
      <w:r>
        <w:fldChar w:fldCharType="end"/>
      </w:r>
      <w:r>
        <w:rPr>
          <w:rFonts w:hint="eastAsia" w:ascii="仿宋_GB2312" w:hAnsi="仿宋_GB2312" w:eastAsia="仿宋_GB2312" w:cs="仿宋_GB2312"/>
          <w:szCs w:val="28"/>
        </w:rPr>
        <w:fldChar w:fldCharType="end"/>
      </w:r>
    </w:p>
    <w:p>
      <w:pPr>
        <w:pStyle w:val="16"/>
        <w:keepNext w:val="0"/>
        <w:keepLines w:val="0"/>
        <w:pageBreakBefore w:val="0"/>
        <w:widowControl w:val="0"/>
        <w:kinsoku/>
        <w:wordWrap/>
        <w:overflowPunct/>
        <w:topLinePunct w:val="0"/>
        <w:autoSpaceDE/>
        <w:autoSpaceDN/>
        <w:bidi w:val="0"/>
        <w:adjustRightInd/>
        <w:snapToGrid/>
        <w:spacing w:before="191" w:beforeLines="50" w:after="191" w:afterLines="50" w:line="360" w:lineRule="auto"/>
        <w:ind w:left="0" w:leftChars="0" w:right="0" w:rightChars="0" w:firstLine="0" w:firstLineChars="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Cs w:val="28"/>
        </w:rPr>
        <w:fldChar w:fldCharType="end"/>
      </w:r>
    </w:p>
    <w:p>
      <w:pPr>
        <w:pStyle w:val="16"/>
        <w:keepNext w:val="0"/>
        <w:keepLines w:val="0"/>
        <w:pageBreakBefore w:val="0"/>
        <w:widowControl w:val="0"/>
        <w:kinsoku/>
        <w:wordWrap/>
        <w:overflowPunct/>
        <w:topLinePunct w:val="0"/>
        <w:bidi w:val="0"/>
        <w:snapToGrid/>
        <w:spacing w:before="191" w:beforeLines="50" w:after="191" w:afterLines="50" w:line="360" w:lineRule="auto"/>
        <w:ind w:right="0" w:rightChars="0" w:firstLine="640"/>
        <w:outlineLvl w:val="9"/>
        <w:rPr>
          <w:rFonts w:hint="eastAsia" w:ascii="仿宋_GB2312" w:hAnsi="仿宋_GB2312" w:eastAsia="仿宋_GB2312" w:cs="仿宋_GB2312"/>
          <w:sz w:val="28"/>
          <w:szCs w:val="28"/>
        </w:rPr>
      </w:pPr>
      <w:r>
        <w:rPr>
          <w:rFonts w:hint="eastAsia" w:ascii="仿宋_GB2312" w:hAnsi="仿宋_GB2312" w:eastAsia="仿宋_GB2312" w:cs="仿宋_GB2312"/>
          <w:sz w:val="32"/>
          <w:szCs w:val="32"/>
        </w:rPr>
        <w:br w:type="page"/>
      </w:r>
    </w:p>
    <w:p>
      <w:pPr>
        <w:pStyle w:val="5"/>
        <w:bidi w:val="0"/>
        <w:rPr>
          <w:rFonts w:hint="eastAsia" w:ascii="仿宋_GB2312" w:hAnsi="仿宋_GB2312" w:eastAsia="仿宋_GB2312" w:cs="仿宋_GB2312"/>
          <w:sz w:val="28"/>
          <w:szCs w:val="28"/>
        </w:rPr>
      </w:pPr>
      <w:bookmarkStart w:id="0" w:name="_Toc13183"/>
      <w:r>
        <w:rPr>
          <w:rFonts w:hint="eastAsia"/>
        </w:rPr>
        <w:t>1.总则</w:t>
      </w:r>
      <w:bookmarkEnd w:id="0"/>
    </w:p>
    <w:p>
      <w:pPr>
        <w:pStyle w:val="5"/>
        <w:bidi w:val="0"/>
        <w:rPr>
          <w:rFonts w:hint="eastAsia" w:ascii="仿宋_GB2312" w:hAnsi="仿宋_GB2312" w:eastAsia="仿宋_GB2312" w:cs="仿宋_GB2312"/>
          <w:sz w:val="28"/>
          <w:szCs w:val="28"/>
        </w:rPr>
      </w:pPr>
      <w:bookmarkStart w:id="1" w:name="_Toc26729"/>
      <w:r>
        <w:rPr>
          <w:rFonts w:hint="eastAsia"/>
        </w:rPr>
        <w:t>1.1.概述</w:t>
      </w:r>
      <w:bookmarkEnd w:id="1"/>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1）本文件适用于</w:t>
      </w:r>
      <w:r>
        <w:rPr>
          <w:rFonts w:hint="eastAsia" w:hAnsi="仿宋_GB2312" w:cs="仿宋_GB2312"/>
          <w:sz w:val="28"/>
          <w:szCs w:val="28"/>
          <w:lang w:val="en-US" w:eastAsia="zh-CN"/>
        </w:rPr>
        <w:t>本</w:t>
      </w:r>
      <w:r>
        <w:rPr>
          <w:rFonts w:hint="eastAsia" w:ascii="仿宋_GB2312" w:hAnsi="仿宋_GB2312" w:eastAsia="仿宋_GB2312" w:cs="仿宋_GB2312"/>
          <w:sz w:val="28"/>
          <w:szCs w:val="28"/>
        </w:rPr>
        <w:t>项目采购，本文件的最终解释权归招标方。</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2）投标人可以就招标人认为的遗漏项目提请招标人注意，并详</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细说明理由。招标人将就此进行澄清。</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对于本技术规范书未规定的有关系统性能和功能，投标人应提出补充要求或建议，并陈述其理由。</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4）招标人在任何时候保留和拥有对本技术规范书的解释权。</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5）本项目不得转让或分包。</w:t>
      </w:r>
    </w:p>
    <w:p>
      <w:pPr>
        <w:pStyle w:val="5"/>
        <w:bidi w:val="0"/>
        <w:rPr>
          <w:rFonts w:hint="eastAsia" w:ascii="仿宋_GB2312" w:hAnsi="仿宋_GB2312" w:eastAsia="仿宋_GB2312" w:cs="仿宋_GB2312"/>
          <w:sz w:val="28"/>
          <w:szCs w:val="28"/>
        </w:rPr>
      </w:pPr>
      <w:bookmarkStart w:id="2" w:name="_Toc13177"/>
      <w:r>
        <w:rPr>
          <w:rFonts w:hint="eastAsia"/>
        </w:rPr>
        <w:t>2.项目内容</w:t>
      </w:r>
      <w:bookmarkEnd w:id="2"/>
    </w:p>
    <w:p>
      <w:pPr>
        <w:pStyle w:val="5"/>
        <w:bidi w:val="0"/>
        <w:rPr>
          <w:rFonts w:hint="eastAsia"/>
        </w:rPr>
      </w:pPr>
      <w:bookmarkStart w:id="3" w:name="_Toc9618"/>
      <w:r>
        <w:rPr>
          <w:rFonts w:hint="eastAsia"/>
        </w:rPr>
        <w:t>2.1.项目背景</w:t>
      </w:r>
      <w:bookmarkEnd w:id="3"/>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项目以建成现代数字供应链体系，实现数字化支撑、智能化协作、体系化防控。通过在区域仓和周转仓建设规划的基础上，配套建设检储配集成检测能力，统筹考虑仓储、检测功能区设置，形成就地、就近检测，“先检后储、按需配送”的业务模式。因此在对该项目中的科技成果进行验证时需CNAS鉴定认证，确保提供的测试、校准和认证服务的可靠性和准确性。</w:t>
      </w:r>
    </w:p>
    <w:p>
      <w:pPr>
        <w:pStyle w:val="5"/>
        <w:bidi w:val="0"/>
        <w:rPr>
          <w:rFonts w:hint="eastAsia" w:ascii="仿宋_GB2312" w:hAnsi="仿宋_GB2312" w:eastAsia="仿宋_GB2312" w:cs="仿宋_GB2312"/>
          <w:sz w:val="28"/>
          <w:szCs w:val="28"/>
        </w:rPr>
      </w:pPr>
      <w:bookmarkStart w:id="4" w:name="_Toc25430"/>
      <w:r>
        <w:rPr>
          <w:rFonts w:hint="eastAsia"/>
        </w:rPr>
        <w:t>2.2.项目目标</w:t>
      </w:r>
      <w:bookmarkEnd w:id="4"/>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配合数字供应链检储配一体化集成应用建设项目中科技成果验证，确保提供的测试、校准和认证服务的可靠性和准确性，需购买两次CNAS鉴定认证。</w:t>
      </w:r>
    </w:p>
    <w:p>
      <w:pPr>
        <w:pStyle w:val="5"/>
        <w:bidi w:val="0"/>
        <w:rPr>
          <w:rFonts w:hint="eastAsia" w:ascii="仿宋_GB2312" w:hAnsi="仿宋_GB2312" w:eastAsia="仿宋_GB2312" w:cs="仿宋_GB2312"/>
          <w:sz w:val="28"/>
          <w:szCs w:val="28"/>
        </w:rPr>
      </w:pPr>
      <w:bookmarkStart w:id="5" w:name="_Toc1035"/>
      <w:r>
        <w:rPr>
          <w:rFonts w:hint="eastAsia"/>
        </w:rPr>
        <w:t>2.3.应遵循的标准</w:t>
      </w:r>
      <w:bookmarkEnd w:id="5"/>
    </w:p>
    <w:p>
      <w:pPr>
        <w:bidi w:val="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无</w:t>
      </w:r>
    </w:p>
    <w:p>
      <w:pPr>
        <w:pStyle w:val="5"/>
        <w:bidi w:val="0"/>
        <w:rPr>
          <w:rFonts w:hint="eastAsia" w:ascii="仿宋_GB2312" w:hAnsi="仿宋_GB2312" w:eastAsia="仿宋_GB2312" w:cs="仿宋_GB2312"/>
          <w:sz w:val="28"/>
          <w:szCs w:val="28"/>
        </w:rPr>
      </w:pPr>
      <w:bookmarkStart w:id="6" w:name="_Toc4443"/>
      <w:r>
        <w:rPr>
          <w:rFonts w:hint="eastAsia"/>
        </w:rPr>
        <w:t>2.4.项目内容</w:t>
      </w:r>
      <w:bookmarkEnd w:id="6"/>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采购的内容：</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配</w:t>
      </w:r>
      <w:r>
        <w:rPr>
          <w:rFonts w:hint="eastAsia" w:ascii="仿宋_GB2312" w:hAnsi="仿宋_GB2312" w:eastAsia="仿宋_GB2312" w:cs="仿宋_GB2312"/>
          <w:color w:val="auto"/>
          <w:sz w:val="28"/>
          <w:szCs w:val="28"/>
          <w:lang w:val="en-US" w:eastAsia="zh-CN"/>
        </w:rPr>
        <w:t>合数字供应链检储</w:t>
      </w:r>
      <w:r>
        <w:rPr>
          <w:rFonts w:hint="eastAsia" w:ascii="仿宋_GB2312" w:hAnsi="仿宋_GB2312" w:eastAsia="仿宋_GB2312" w:cs="仿宋_GB2312"/>
          <w:sz w:val="28"/>
          <w:szCs w:val="28"/>
          <w:lang w:val="en-US" w:eastAsia="zh-CN"/>
        </w:rPr>
        <w:t>配一体化集成应用建设项目中科技成果验证，确保提供的测试、校准和认证服务的可靠性和准确性，需购买两次CNAS鉴定认证。</w:t>
      </w:r>
    </w:p>
    <w:p>
      <w:pPr>
        <w:pStyle w:val="6"/>
        <w:bidi w:val="0"/>
        <w:rPr>
          <w:rFonts w:hint="eastAsia"/>
        </w:rPr>
      </w:pPr>
      <w:bookmarkStart w:id="7" w:name="_Toc25297"/>
      <w:r>
        <w:rPr>
          <w:rFonts w:hint="eastAsia"/>
        </w:rPr>
        <w:t>2.4.1.技术要求</w:t>
      </w:r>
      <w:bookmarkEnd w:id="7"/>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项目的测评依据包括两个方面的材料，一方面是项目建设实施相关的项目文档，另一方面是国家、行业针对测评的相关项目技术标准和规范要求，包括但不限于以下文件：</w:t>
      </w:r>
    </w:p>
    <w:p>
      <w:pPr>
        <w:pStyle w:val="43"/>
        <w:spacing w:line="360" w:lineRule="auto"/>
        <w:ind w:firstLine="495" w:firstLineChars="177"/>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（1）项目相关材料</w:t>
      </w:r>
    </w:p>
    <w:p>
      <w:pPr>
        <w:pStyle w:val="44"/>
        <w:widowControl/>
        <w:numPr>
          <w:ilvl w:val="0"/>
          <w:numId w:val="2"/>
        </w:numPr>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项目合同</w:t>
      </w:r>
    </w:p>
    <w:p>
      <w:pPr>
        <w:pStyle w:val="44"/>
        <w:widowControl/>
        <w:numPr>
          <w:ilvl w:val="0"/>
          <w:numId w:val="2"/>
        </w:numPr>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项目测试需求表</w:t>
      </w:r>
    </w:p>
    <w:p>
      <w:pPr>
        <w:pStyle w:val="44"/>
        <w:widowControl/>
        <w:numPr>
          <w:ilvl w:val="0"/>
          <w:numId w:val="2"/>
        </w:numPr>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其它相关技术文件</w:t>
      </w:r>
    </w:p>
    <w:p>
      <w:pPr>
        <w:pStyle w:val="43"/>
        <w:spacing w:line="360" w:lineRule="auto"/>
        <w:ind w:firstLine="330" w:firstLineChars="118"/>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（2）国家、行业相关技术标准和规范要求</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验收测试的依据：</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GB/T 25000.51-2016《系统与软件工程系统与软件质量要求和评价（SQuaRE）第51部分：就绪可用软件产品(RUSP)的质量要求和测试细则》；</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GB/T 15532-2008 计算机软件测试规范.</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2. 需要进行测评的项目要求与标准（具体测试内容视建设内容而定，测试必需要覆盖建设内容）</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（1）功能性（适合性、准确性、互操作性、安全保密性）</w:t>
      </w:r>
    </w:p>
    <w:p>
      <w:pPr>
        <w:pStyle w:val="43"/>
        <w:spacing w:line="360" w:lineRule="auto"/>
        <w:ind w:firstLine="560" w:firstLineChars="200"/>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bidi="ar-SA"/>
        </w:rPr>
        <w:t>（2）效率（时间特性、资源特性）</w:t>
      </w:r>
    </w:p>
    <w:tbl>
      <w:tblPr>
        <w:tblStyle w:val="17"/>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555"/>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7" w:hRule="atLeast"/>
          <w:tblHeader/>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jc w:val="center"/>
              <w:rPr>
                <w:rFonts w:hint="eastAsia" w:ascii="仿宋" w:hAnsi="仿宋" w:eastAsia="仿宋" w:cs="仿宋"/>
                <w:b/>
                <w:bCs/>
                <w:sz w:val="24"/>
                <w:szCs w:val="24"/>
              </w:rPr>
            </w:pPr>
            <w:r>
              <w:rPr>
                <w:rFonts w:hint="eastAsia" w:ascii="仿宋" w:hAnsi="仿宋" w:eastAsia="仿宋" w:cs="仿宋"/>
                <w:b/>
                <w:bCs/>
                <w:sz w:val="24"/>
                <w:szCs w:val="24"/>
                <w:lang w:eastAsia="zh-TW"/>
              </w:rPr>
              <w:t>质量特性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jc w:val="center"/>
              <w:rPr>
                <w:rFonts w:hint="eastAsia" w:ascii="仿宋" w:hAnsi="仿宋" w:eastAsia="仿宋" w:cs="仿宋"/>
                <w:b/>
                <w:bCs/>
                <w:sz w:val="24"/>
                <w:szCs w:val="24"/>
              </w:rPr>
            </w:pPr>
            <w:r>
              <w:rPr>
                <w:rFonts w:hint="eastAsia" w:ascii="仿宋" w:hAnsi="仿宋" w:eastAsia="仿宋" w:cs="仿宋"/>
                <w:b/>
                <w:bCs/>
                <w:sz w:val="24"/>
                <w:szCs w:val="24"/>
                <w:lang w:eastAsia="zh-TW"/>
              </w:rPr>
              <w:t>质量特性描述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11"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lang w:eastAsia="zh-TW"/>
              </w:rPr>
            </w:pPr>
            <w:r>
              <w:rPr>
                <w:rFonts w:hint="eastAsia" w:ascii="仿宋" w:hAnsi="仿宋" w:eastAsia="仿宋" w:cs="仿宋"/>
                <w:sz w:val="24"/>
                <w:szCs w:val="24"/>
                <w:lang w:eastAsia="zh-TW"/>
              </w:rPr>
              <w:t>功能性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rPr>
                <w:rFonts w:hint="eastAsia" w:ascii="仿宋" w:hAnsi="仿宋" w:eastAsia="仿宋" w:cs="仿宋"/>
                <w:sz w:val="24"/>
                <w:szCs w:val="24"/>
                <w:lang w:eastAsia="zh-TW"/>
              </w:rPr>
            </w:pPr>
            <w:r>
              <w:rPr>
                <w:rFonts w:hint="eastAsia" w:ascii="仿宋" w:hAnsi="仿宋" w:eastAsia="仿宋" w:cs="仿宋"/>
                <w:sz w:val="24"/>
                <w:szCs w:val="24"/>
              </w:rPr>
              <w:t>当系统在指定条件下使用时，系统提供满足明确和隐含要求的功能的能力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7"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lang w:eastAsia="zh-TW"/>
              </w:rPr>
            </w:pPr>
            <w:r>
              <w:rPr>
                <w:rFonts w:hint="eastAsia" w:ascii="仿宋" w:hAnsi="仿宋" w:eastAsia="仿宋" w:cs="仿宋"/>
                <w:sz w:val="24"/>
                <w:szCs w:val="24"/>
                <w:lang w:eastAsia="zh-TW"/>
              </w:rPr>
              <w:t>1.适合性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rPr>
            </w:pPr>
            <w:r>
              <w:rPr>
                <w:rFonts w:hint="eastAsia" w:ascii="仿宋" w:hAnsi="仿宋" w:eastAsia="仿宋" w:cs="仿宋"/>
                <w:sz w:val="24"/>
                <w:szCs w:val="24"/>
              </w:rPr>
              <w:t>系统为指定的任务和用户目标提供一组合适的功能的能力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7"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TW"/>
              </w:rPr>
              <w:t>准确性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rPr>
            </w:pPr>
            <w:r>
              <w:rPr>
                <w:rFonts w:hint="eastAsia" w:ascii="仿宋" w:hAnsi="仿宋" w:eastAsia="仿宋" w:cs="仿宋"/>
                <w:sz w:val="24"/>
                <w:szCs w:val="24"/>
              </w:rPr>
              <w:t>系统提供具有所需精度的正确或相符的结果或效果的能力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7"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TW"/>
              </w:rPr>
              <w:t>互操作性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rPr>
            </w:pPr>
            <w:r>
              <w:rPr>
                <w:rFonts w:hint="eastAsia" w:ascii="仿宋" w:hAnsi="仿宋" w:eastAsia="仿宋" w:cs="仿宋"/>
                <w:sz w:val="24"/>
                <w:szCs w:val="24"/>
              </w:rPr>
              <w:t>系统与一个或更多的规定系统进行交互的能力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825"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rPr>
            </w:pPr>
            <w:r>
              <w:rPr>
                <w:rFonts w:hint="eastAsia" w:ascii="仿宋" w:hAnsi="仿宋" w:eastAsia="仿宋" w:cs="仿宋"/>
                <w:sz w:val="24"/>
                <w:szCs w:val="24"/>
              </w:rPr>
              <w:t>4.安全保密性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lang w:eastAsia="zh-TW"/>
              </w:rPr>
            </w:pPr>
            <w:r>
              <w:rPr>
                <w:rFonts w:hint="eastAsia" w:ascii="仿宋" w:hAnsi="仿宋" w:eastAsia="仿宋" w:cs="仿宋"/>
                <w:sz w:val="24"/>
                <w:szCs w:val="24"/>
              </w:rPr>
              <w:t>系统保护信息和数据的能力，以使未授权的人员或系统不能阅读或修改这些信息和数据，而不拒绝授权人员或系统对他们的访问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7"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right="24"/>
              <w:rPr>
                <w:rFonts w:hint="eastAsia" w:ascii="仿宋" w:hAnsi="仿宋" w:eastAsia="仿宋" w:cs="仿宋"/>
                <w:sz w:val="24"/>
                <w:szCs w:val="24"/>
              </w:rPr>
            </w:pPr>
            <w:r>
              <w:rPr>
                <w:rFonts w:hint="eastAsia" w:ascii="仿宋" w:hAnsi="仿宋" w:eastAsia="仿宋" w:cs="仿宋"/>
                <w:sz w:val="24"/>
                <w:szCs w:val="24"/>
              </w:rPr>
              <w:t>性能效率</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rPr>
                <w:rFonts w:hint="eastAsia" w:ascii="仿宋" w:hAnsi="仿宋" w:eastAsia="仿宋" w:cs="仿宋"/>
                <w:sz w:val="24"/>
                <w:szCs w:val="24"/>
              </w:rPr>
            </w:pPr>
            <w:r>
              <w:rPr>
                <w:rFonts w:hint="eastAsia" w:ascii="仿宋" w:hAnsi="仿宋" w:eastAsia="仿宋" w:cs="仿宋"/>
                <w:sz w:val="24"/>
                <w:szCs w:val="24"/>
              </w:rPr>
              <w:t>在规定条件下，相对于所用资源的数量，系统可提供适当性能的能力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50"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TW"/>
              </w:rPr>
              <w:t>时间特性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rPr>
            </w:pPr>
            <w:r>
              <w:rPr>
                <w:rFonts w:hint="eastAsia" w:ascii="仿宋" w:hAnsi="仿宋" w:eastAsia="仿宋" w:cs="仿宋"/>
                <w:sz w:val="24"/>
                <w:szCs w:val="24"/>
              </w:rPr>
              <w:t>在规定条件下，系统执行其功能时，提供适当的响应和处理时间以及吞吐率的能力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78"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24" w:right="24"/>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TW"/>
              </w:rPr>
              <w:t>资源</w:t>
            </w:r>
            <w:r>
              <w:rPr>
                <w:rFonts w:hint="eastAsia" w:ascii="仿宋" w:hAnsi="仿宋" w:eastAsia="仿宋" w:cs="仿宋"/>
                <w:sz w:val="24"/>
                <w:szCs w:val="24"/>
              </w:rPr>
              <w:t>利用性</w:t>
            </w:r>
          </w:p>
        </w:tc>
        <w:tc>
          <w:tcPr>
            <w:tcW w:w="7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44"/>
              <w:spacing w:line="360" w:lineRule="auto"/>
              <w:ind w:left="52" w:right="24"/>
              <w:rPr>
                <w:rFonts w:hint="eastAsia" w:ascii="仿宋" w:hAnsi="仿宋" w:eastAsia="仿宋" w:cs="仿宋"/>
                <w:sz w:val="24"/>
                <w:szCs w:val="24"/>
              </w:rPr>
            </w:pPr>
            <w:r>
              <w:rPr>
                <w:rFonts w:hint="eastAsia" w:ascii="仿宋" w:hAnsi="仿宋" w:eastAsia="仿宋" w:cs="仿宋"/>
                <w:sz w:val="24"/>
                <w:szCs w:val="24"/>
              </w:rPr>
              <w:t>在规定条件下，系统执行其功能时，使用合适数据和类别的资源的能力</w:t>
            </w:r>
          </w:p>
        </w:tc>
      </w:tr>
    </w:tbl>
    <w:p>
      <w:pPr>
        <w:pStyle w:val="2"/>
        <w:rPr>
          <w:rFonts w:hint="default"/>
          <w:lang w:val="en-US" w:eastAsia="zh-CN"/>
        </w:rPr>
      </w:pPr>
    </w:p>
    <w:p>
      <w:pPr>
        <w:pStyle w:val="6"/>
        <w:bidi w:val="0"/>
        <w:ind w:left="0" w:leftChars="0" w:firstLine="0" w:firstLineChars="0"/>
        <w:rPr>
          <w:rFonts w:hint="eastAsia"/>
        </w:rPr>
      </w:pPr>
      <w:bookmarkStart w:id="8" w:name="_Toc27438"/>
      <w:r>
        <w:rPr>
          <w:rFonts w:hint="eastAsia"/>
        </w:rPr>
        <w:t>2.4.1.</w:t>
      </w:r>
      <w:r>
        <w:rPr>
          <w:rFonts w:hint="eastAsia"/>
          <w:lang w:val="en-US" w:eastAsia="zh-CN"/>
        </w:rPr>
        <w:t>服务</w:t>
      </w:r>
      <w:r>
        <w:rPr>
          <w:rFonts w:hint="eastAsia"/>
        </w:rPr>
        <w:t>要求</w:t>
      </w:r>
      <w:bookmarkEnd w:id="8"/>
    </w:p>
    <w:p>
      <w:pPr>
        <w:pStyle w:val="7"/>
        <w:bidi w:val="0"/>
        <w:rPr>
          <w:rFonts w:hint="eastAsia" w:ascii="宋体" w:hAnsi="宋体" w:eastAsia="宋体" w:cs="宋体"/>
        </w:rPr>
      </w:pPr>
      <w:r>
        <w:rPr>
          <w:rFonts w:hint="eastAsia" w:ascii="宋体" w:hAnsi="宋体" w:eastAsia="宋体" w:cs="宋体"/>
          <w:lang w:val="en-US" w:eastAsia="zh-CN"/>
        </w:rPr>
        <w:t>2.4.1.1.</w:t>
      </w:r>
      <w:r>
        <w:rPr>
          <w:rFonts w:hint="eastAsia" w:ascii="宋体" w:hAnsi="宋体" w:eastAsia="宋体" w:cs="宋体"/>
        </w:rPr>
        <w:t>资质能力要求</w:t>
      </w:r>
    </w:p>
    <w:p>
      <w:pPr>
        <w:pStyle w:val="4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1、投标人应具有质量监督部门颁发的检验检测机构资质认定证书（CMA）、中国合格评定国家认可委员会（CNAS）颁发的检验机构认可证书及实验室认可证书。</w:t>
      </w:r>
    </w:p>
    <w:p>
      <w:pPr>
        <w:pStyle w:val="43"/>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2、认可或授权的检测标准包括但不限《GB/T 15532-2008 计算机软件测试规范》、《GB/T 25000.51-2016 系统与软件工程 系统与软件质量要求和评价（SQuaRE） 第51部分：就绪可用软件产品（RUSP）的质量要求和测试细则》。</w:t>
      </w:r>
    </w:p>
    <w:p>
      <w:pPr>
        <w:pStyle w:val="43"/>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3、认可或授权的检测能力项包括但不限功能测试、性能效率、信息安全性、易用性、验收测试。</w:t>
      </w:r>
    </w:p>
    <w:p>
      <w:pPr>
        <w:pStyle w:val="7"/>
        <w:bidi w:val="0"/>
        <w:rPr>
          <w:rFonts w:ascii="宋体" w:hAnsi="宋体"/>
          <w:b/>
          <w:color w:val="000000"/>
          <w:sz w:val="24"/>
          <w:szCs w:val="24"/>
        </w:rPr>
      </w:pPr>
      <w:r>
        <w:rPr>
          <w:rFonts w:hint="eastAsia" w:ascii="宋体" w:hAnsi="宋体" w:eastAsia="宋体" w:cs="宋体"/>
          <w:sz w:val="28"/>
          <w:szCs w:val="28"/>
          <w:lang w:val="en-US" w:eastAsia="zh-CN"/>
        </w:rPr>
        <w:t>2.4.1.2.</w:t>
      </w:r>
      <w:r>
        <w:rPr>
          <w:rFonts w:hint="eastAsia" w:ascii="宋体" w:hAnsi="宋体" w:eastAsia="宋体" w:cs="宋体"/>
          <w:b/>
          <w:sz w:val="28"/>
          <w:szCs w:val="28"/>
        </w:rPr>
        <w:t>服务能力要求</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投标人需严格遵守国家现行的有关标准，公正、独立、自主地开展测评工作，维护采购人的合法权益。</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1.测评报告需符合当地信息化主管部门验收的要求。</w:t>
      </w:r>
    </w:p>
    <w:p>
      <w:pPr>
        <w:pStyle w:val="45"/>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2.投标人编写的项目测评材料需经采购人确认。</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3.投标人应具备信息系统项目验收测评专业技术和相关工作经验。</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4.测评开展要求：测试仪器设备、测试软件配套齐全。</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rPr>
        <w:tab/>
      </w:r>
      <w:r>
        <w:rPr>
          <w:rFonts w:hint="eastAsia" w:ascii="仿宋" w:hAnsi="仿宋" w:eastAsia="仿宋" w:cs="仿宋"/>
          <w:sz w:val="28"/>
          <w:szCs w:val="28"/>
        </w:rPr>
        <w:t>投标人应在接收项目材料后5个工作日内做出项目测评方案及计划。</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rPr>
        <w:tab/>
      </w:r>
      <w:r>
        <w:rPr>
          <w:rFonts w:hint="eastAsia" w:ascii="仿宋" w:hAnsi="仿宋" w:eastAsia="仿宋" w:cs="仿宋"/>
          <w:sz w:val="28"/>
          <w:szCs w:val="28"/>
        </w:rPr>
        <w:t>投标人在测评有关项目过程中，按照采购人的要求及时准确地汇报测评情况，并根据相关测试规范和标准开展测试工作。</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7.</w:t>
      </w:r>
      <w:r>
        <w:rPr>
          <w:rFonts w:hint="eastAsia" w:ascii="仿宋" w:hAnsi="仿宋" w:eastAsia="仿宋" w:cs="仿宋"/>
          <w:sz w:val="28"/>
          <w:szCs w:val="28"/>
        </w:rPr>
        <w:tab/>
      </w:r>
      <w:r>
        <w:rPr>
          <w:rFonts w:hint="eastAsia" w:ascii="仿宋" w:hAnsi="仿宋" w:eastAsia="仿宋" w:cs="仿宋"/>
          <w:sz w:val="28"/>
          <w:szCs w:val="28"/>
        </w:rPr>
        <w:t>投标人要将信息化项目测评中发现的重大问题及时向项目业主单位汇报。</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sz w:val="28"/>
          <w:szCs w:val="28"/>
        </w:rPr>
        <w:tab/>
      </w:r>
      <w:r>
        <w:rPr>
          <w:rFonts w:hint="eastAsia" w:ascii="仿宋" w:hAnsi="仿宋" w:eastAsia="仿宋" w:cs="仿宋"/>
          <w:sz w:val="28"/>
          <w:szCs w:val="28"/>
        </w:rPr>
        <w:t>投标人提供的所有服务应全部计入报价之中，采购人不再支付任何额外费用。</w:t>
      </w:r>
    </w:p>
    <w:p>
      <w:pPr>
        <w:pStyle w:val="45"/>
        <w:spacing w:line="360" w:lineRule="auto"/>
        <w:ind w:firstLine="480"/>
        <w:rPr>
          <w:rFonts w:hint="eastAsia" w:ascii="仿宋" w:hAnsi="仿宋" w:eastAsia="仿宋" w:cs="仿宋"/>
          <w:sz w:val="28"/>
          <w:szCs w:val="28"/>
        </w:rPr>
      </w:pPr>
      <w:r>
        <w:rPr>
          <w:rFonts w:hint="eastAsia" w:ascii="仿宋" w:hAnsi="仿宋" w:eastAsia="仿宋" w:cs="仿宋"/>
          <w:sz w:val="28"/>
          <w:szCs w:val="28"/>
        </w:rPr>
        <w:t>9.投标人不得以任何方式转包或分包本项目。</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10.投标人对项目下的保密资料应尽到管理人的义务，保密义务最低不得低于其对自己保密信息应尽的审慎态度。如保密资料涉及国家机密，验收测评服务商应当遵守国家有关国家机密的保密规定。</w:t>
      </w:r>
    </w:p>
    <w:p>
      <w:pPr>
        <w:pStyle w:val="6"/>
        <w:bidi w:val="0"/>
        <w:rPr>
          <w:rFonts w:hint="eastAsia" w:ascii="宋体" w:hAnsi="宋体" w:eastAsia="宋体"/>
        </w:rPr>
      </w:pPr>
      <w:bookmarkStart w:id="9" w:name="_Toc24841"/>
      <w:r>
        <w:rPr>
          <w:rFonts w:hint="eastAsia" w:ascii="宋体" w:hAnsi="宋体" w:eastAsia="宋体"/>
        </w:rPr>
        <w:t>2.4.2.应用功能要求</w:t>
      </w:r>
      <w:bookmarkEnd w:id="9"/>
    </w:p>
    <w:p>
      <w:pPr>
        <w:pStyle w:val="7"/>
        <w:bidi w:val="0"/>
        <w:ind w:firstLine="562" w:firstLineChars="200"/>
        <w:rPr>
          <w:rFonts w:hint="eastAsia"/>
        </w:rPr>
      </w:pPr>
      <w:r>
        <w:rPr>
          <w:rFonts w:hint="eastAsia"/>
        </w:rPr>
        <w:t>2.4.2.1.</w:t>
      </w:r>
      <w:r>
        <w:rPr>
          <w:rFonts w:hint="default" w:ascii="仿宋_GB2312" w:hAnsi="仿宋_GB2312" w:eastAsia="仿宋_GB2312" w:cs="仿宋_GB2312"/>
          <w:sz w:val="28"/>
          <w:szCs w:val="28"/>
          <w:lang w:val="en-US"/>
        </w:rPr>
        <w:t>CNAS</w:t>
      </w:r>
      <w:r>
        <w:rPr>
          <w:rFonts w:hint="eastAsia" w:ascii="仿宋_GB2312" w:hAnsi="仿宋_GB2312" w:eastAsia="仿宋_GB2312" w:cs="仿宋_GB2312"/>
          <w:sz w:val="28"/>
          <w:szCs w:val="28"/>
          <w:lang w:val="en-US" w:eastAsia="zh-CN"/>
        </w:rPr>
        <w:t>鉴定认证测试报告</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lang w:eastAsia="zh-CN"/>
        </w:rPr>
      </w:pPr>
      <w:r>
        <w:rPr>
          <w:rFonts w:hint="eastAsia" w:hAnsi="仿宋_GB2312" w:cs="仿宋_GB2312"/>
          <w:sz w:val="28"/>
          <w:szCs w:val="28"/>
          <w:lang w:val="en-US" w:eastAsia="zh-CN"/>
        </w:rPr>
        <w:t>两个</w:t>
      </w:r>
      <w:r>
        <w:rPr>
          <w:rFonts w:hint="default" w:hAnsi="仿宋_GB2312" w:cs="仿宋_GB2312"/>
          <w:sz w:val="28"/>
          <w:szCs w:val="28"/>
          <w:lang w:val="en-US"/>
        </w:rPr>
        <w:t>CNAS</w:t>
      </w:r>
      <w:r>
        <w:rPr>
          <w:rFonts w:hint="eastAsia" w:hAnsi="仿宋_GB2312" w:cs="仿宋_GB2312"/>
          <w:sz w:val="28"/>
          <w:szCs w:val="28"/>
          <w:lang w:val="en-US" w:eastAsia="zh-CN"/>
        </w:rPr>
        <w:t>鉴定认证测试报告。</w:t>
      </w:r>
    </w:p>
    <w:p>
      <w:pPr>
        <w:pStyle w:val="5"/>
        <w:bidi w:val="0"/>
        <w:rPr>
          <w:rFonts w:hint="eastAsia"/>
        </w:rPr>
      </w:pPr>
      <w:bookmarkStart w:id="10" w:name="_Toc789"/>
      <w:r>
        <w:rPr>
          <w:rFonts w:hint="eastAsia"/>
        </w:rPr>
        <w:t>2.5.项目进度要求</w:t>
      </w:r>
      <w:bookmarkEnd w:id="10"/>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w:t>
      </w:r>
      <w:r>
        <w:rPr>
          <w:rFonts w:hint="eastAsia" w:hAnsi="仿宋_GB2312" w:cs="仿宋_GB2312"/>
          <w:sz w:val="28"/>
          <w:szCs w:val="28"/>
          <w:lang w:val="en-US" w:eastAsia="zh-CN"/>
        </w:rPr>
        <w:t>合同签订</w:t>
      </w:r>
      <w:r>
        <w:rPr>
          <w:rFonts w:hint="eastAsia" w:ascii="仿宋_GB2312" w:hAnsi="仿宋_GB2312" w:eastAsia="仿宋_GB2312" w:cs="仿宋_GB2312"/>
          <w:sz w:val="28"/>
          <w:szCs w:val="28"/>
        </w:rPr>
        <w:t>完成后</w:t>
      </w:r>
      <w:r>
        <w:rPr>
          <w:rFonts w:hint="eastAsia" w:hAnsi="仿宋_GB2312" w:cs="仿宋_GB2312"/>
          <w:sz w:val="28"/>
          <w:szCs w:val="28"/>
          <w:lang w:val="en-US" w:eastAsia="zh-CN"/>
        </w:rPr>
        <w:t>3</w:t>
      </w:r>
      <w:r>
        <w:rPr>
          <w:rFonts w:hint="eastAsia" w:ascii="仿宋_GB2312" w:hAnsi="仿宋_GB2312" w:eastAsia="仿宋_GB2312" w:cs="仿宋_GB2312"/>
          <w:sz w:val="28"/>
          <w:szCs w:val="28"/>
        </w:rPr>
        <w:t>个月内交付</w:t>
      </w:r>
      <w:r>
        <w:rPr>
          <w:rFonts w:hint="eastAsia" w:hAnsi="仿宋_GB2312" w:cs="仿宋_GB2312"/>
          <w:sz w:val="28"/>
          <w:szCs w:val="28"/>
          <w:lang w:val="en-US" w:eastAsia="zh-CN"/>
        </w:rPr>
        <w:t>两个</w:t>
      </w:r>
      <w:r>
        <w:rPr>
          <w:rFonts w:hint="default" w:hAnsi="仿宋_GB2312" w:cs="仿宋_GB2312"/>
          <w:sz w:val="28"/>
          <w:szCs w:val="28"/>
          <w:lang w:val="en-US"/>
        </w:rPr>
        <w:t>CNAS</w:t>
      </w:r>
      <w:r>
        <w:rPr>
          <w:rFonts w:hint="eastAsia" w:hAnsi="仿宋_GB2312" w:cs="仿宋_GB2312"/>
          <w:sz w:val="28"/>
          <w:szCs w:val="28"/>
          <w:lang w:val="en-US" w:eastAsia="zh-CN"/>
        </w:rPr>
        <w:t>鉴定认证测试报告</w:t>
      </w:r>
      <w:r>
        <w:rPr>
          <w:rFonts w:hint="eastAsia" w:ascii="仿宋_GB2312" w:hAnsi="仿宋_GB2312" w:eastAsia="仿宋_GB2312" w:cs="仿宋_GB2312"/>
          <w:sz w:val="28"/>
          <w:szCs w:val="28"/>
        </w:rPr>
        <w:t>。</w:t>
      </w:r>
    </w:p>
    <w:p>
      <w:pPr>
        <w:pStyle w:val="5"/>
        <w:bidi w:val="0"/>
        <w:rPr>
          <w:rFonts w:hint="eastAsia" w:ascii="仿宋_GB2312" w:hAnsi="仿宋_GB2312" w:eastAsia="仿宋_GB2312" w:cs="仿宋_GB2312"/>
          <w:sz w:val="28"/>
          <w:szCs w:val="28"/>
        </w:rPr>
      </w:pPr>
      <w:bookmarkStart w:id="11" w:name="_Toc16588"/>
      <w:r>
        <w:rPr>
          <w:rFonts w:hint="eastAsia"/>
        </w:rPr>
        <w:t>2.6.项目售后要求</w:t>
      </w:r>
      <w:bookmarkEnd w:id="11"/>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（1）售后服务总体要求</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中标方必须提供完善、专业、高质量的售后服务。</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2）中标方应提供的售后服务内容包括日常运作、服务咨询、巡</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检保养、主动监测、故障修复、特殊保障和升级优化。</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（2）应急预案</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投标方在整个运维期间，中标方须及时响应和解决由信息应用管控系统发起的事件单，具体如下：</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1)紧急事件单，中标方应在 10 分钟内响应，4 小时之内解决问题。</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2)高优先级事件单，中标方应在 20 分钟内响应，8 小时之内解决问题。</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3)中优先级事件单，中标方应在 30 分钟内响应，48 小时之内解决问题。</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4)低优先级事件单，中标方应在 30 分钟内响应，72 小时之内解决问题。</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（3）技术维护支持服务</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技术支持人员在质保期内应随时待命协助用户方人员维护本系统。技术支持服务应使用中文，且应满足下列要求：</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（1）技术支持的范围涵盖系统所有的软硬件。</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（2）紧急技术支持包括提供 7x24 小时服务。紧急技术支持可采用远程在线诊断的方式，指导用户方人员诊断故障。</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（3）若用户方人员无法解决故障，投标人应派维护人员到现场处理。紧急情况下，服务人员必须在 24 小时内到达。</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（4）投标人应在质保期内提供定期系统维护服务，在投标书内说明具体服务方式。</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（5）在质保期内如果系统发生故障，投标人要调查故障原因并修复直至满足最终验收指标和性能的要求。</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在质保期内，系统运行中出现的用户方认为是本招标文件范围所要求而被遗漏的问题，投标人应负责进行改进完善。技术维护支持应在力求不影响或少影响系统运行的同时合理安排。投标人提供的技术维护服务不得免除投标人所负的质量保证责任。</w:t>
      </w:r>
    </w:p>
    <w:p>
      <w:pPr>
        <w:pStyle w:val="5"/>
        <w:bidi w:val="0"/>
        <w:rPr>
          <w:rFonts w:hint="eastAsia"/>
        </w:rPr>
      </w:pPr>
      <w:bookmarkStart w:id="12" w:name="_Toc20483"/>
      <w:r>
        <w:rPr>
          <w:rFonts w:hint="eastAsia"/>
        </w:rPr>
        <w:t>2.7.质量要求</w:t>
      </w:r>
      <w:bookmarkEnd w:id="12"/>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（1）中标人应严格遵守协议中技术质量规定，制定严格的质量安全措施。</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由于中标人质量安全措施不力造成研究质量安全事故的责任，以及由此发生的费用和损失，由中标人承担。</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（3）投标人应充分考虑项目建设现状和公司管理模式，开展项目工作，确保成果的先进性和实用性。</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（4）投标人应采用先进、完善的项目管理方法进行项目的管理，保证项目的成功实施，确保进度、质量和投资。</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（5）投标人在项目开展过程中，应确保把相关的技术技能和知识技能有效地传递给采购人。</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（6）投标人须建立有效的质量保证机制，全面的项目质量管理体系。 投标人须编制项目的质量计划，确定项目的范围、中间产品和最终产品，明确关于中间产品和最终产品的有关规定、标准，确定可能影响产品质量的技术要点，并找出能够确保高效满足相关规定、标准的过程方法。</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（7）投标人须进行质量监测，在项目实施过程中的各个关键点进行质量评估。</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（8）投标人对发现的缺陷或潜在的风险，应制定相应的纠正措施或预防措施，防止问题的发生。</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（9）为保证项目的正常运行，投标人提供项目执行跟踪和监控的具 体措施，措施应包括项目状态周报制度、每周项目例会制度、阶段总结制度等。</w:t>
      </w:r>
      <w:bookmarkStart w:id="16" w:name="_GoBack"/>
      <w:bookmarkEnd w:id="16"/>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（10）投标人须建立项目变更流程，记录项目变更。</w:t>
      </w:r>
    </w:p>
    <w:p>
      <w:pPr>
        <w:pStyle w:val="5"/>
        <w:bidi w:val="0"/>
        <w:rPr>
          <w:rFonts w:hint="eastAsia" w:ascii="仿宋_GB2312" w:hAnsi="仿宋_GB2312" w:eastAsia="仿宋_GB2312" w:cs="仿宋_GB2312"/>
          <w:sz w:val="28"/>
          <w:szCs w:val="28"/>
        </w:rPr>
      </w:pPr>
      <w:bookmarkStart w:id="13" w:name="_Toc28029"/>
      <w:r>
        <w:rPr>
          <w:rFonts w:hint="eastAsia"/>
        </w:rPr>
        <w:t>2.8.项目交付成果</w:t>
      </w:r>
      <w:bookmarkEnd w:id="13"/>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本项目交付物包含以下成果：</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hAnsi="仿宋_GB2312" w:cs="仿宋_GB2312"/>
          <w:sz w:val="28"/>
          <w:szCs w:val="28"/>
          <w:lang w:val="en-US" w:eastAsia="zh-CN"/>
        </w:rPr>
        <w:t>两个</w:t>
      </w:r>
      <w:r>
        <w:rPr>
          <w:rFonts w:hint="default" w:hAnsi="仿宋_GB2312" w:cs="仿宋_GB2312"/>
          <w:sz w:val="28"/>
          <w:szCs w:val="28"/>
          <w:lang w:val="en-US"/>
        </w:rPr>
        <w:t>CNAS</w:t>
      </w:r>
      <w:r>
        <w:rPr>
          <w:rFonts w:hint="eastAsia" w:hAnsi="仿宋_GB2312" w:cs="仿宋_GB2312"/>
          <w:sz w:val="28"/>
          <w:szCs w:val="28"/>
          <w:lang w:val="en-US" w:eastAsia="zh-CN"/>
        </w:rPr>
        <w:t>鉴定认证测试报告。</w:t>
      </w:r>
    </w:p>
    <w:p>
      <w:pPr>
        <w:pStyle w:val="5"/>
        <w:bidi w:val="0"/>
        <w:rPr>
          <w:rFonts w:hint="eastAsia" w:ascii="仿宋_GB2312" w:hAnsi="仿宋_GB2312" w:eastAsia="仿宋_GB2312" w:cs="仿宋_GB2312"/>
          <w:sz w:val="28"/>
          <w:szCs w:val="28"/>
        </w:rPr>
      </w:pPr>
      <w:bookmarkStart w:id="14" w:name="_Toc1828"/>
      <w:r>
        <w:rPr>
          <w:rFonts w:hint="eastAsia"/>
        </w:rPr>
        <w:t>2.9.安全保密要求</w:t>
      </w:r>
      <w:bookmarkEnd w:id="14"/>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投标人承诺遵守国家信息安全法律、法规和规章制度，履</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行维护信息安全的义务。</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投标人承诺遵守公司信息安全相关的规章制度及文件规</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定，及时传达贯彻需求方对信息安全管理的工作要求和部署。</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投标人项目负责人为投标人信息安全第一责任人，对项目 全过程的信息安全负责。投标人承诺按照需求方的要求，积极</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配合需求方认真抓好日常信息安全管理监督检查工作。</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一旦判断可能发生或发生信息安全事件时，投标人必须立 即向招标人相关专责报告，并按要求采取应急处置措施，保留</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有关原始记录，接受整改要求，落实整改措施。</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 发生信息安全事件后，招标人组织投标人开展事件调查处 理工作，招标人有权要求投标人提供相关材料及配合工作，监</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督投标人按“ 四不放过”的原则，处理好信息安全事件。</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 中标方在服务期间，负有保护标书查重服务的网络安全、信息安全和系统数据安全的义务和责任；负有保护所持有、接触的属于或涉</w:t>
      </w:r>
      <w:r>
        <w:rPr>
          <w:rFonts w:hint="eastAsia" w:ascii="仿宋_GB2312" w:hAnsi="仿宋_GB2312" w:eastAsia="仿宋_GB2312" w:cs="仿宋_GB2312"/>
          <w:color w:val="auto"/>
          <w:sz w:val="28"/>
          <w:szCs w:val="28"/>
        </w:rPr>
        <w:t>及南方电网公司商</w:t>
      </w:r>
      <w:r>
        <w:rPr>
          <w:rFonts w:hint="eastAsia" w:ascii="仿宋_GB2312" w:hAnsi="仿宋_GB2312" w:eastAsia="仿宋_GB2312" w:cs="仿宋_GB2312"/>
          <w:sz w:val="28"/>
          <w:szCs w:val="28"/>
        </w:rPr>
        <w:t>业秘密的信息安全的义务和责任。</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 在现场服务过程中，中标方必须在甲方指定地点办公，并 遵守甲方关于第三方人员管理规定要求；未经许可不得以任何 方式对保密信息及工作成果进行复制、传播、泄漏、告知，不得将保密信息带离办公场所。</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 无论何种原因导致合同解除或终止，本项目约定下的保密 条款、保密内容及相关的违约责任的约定仍然生效。保密期限</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为签订合同之后至永久，保密范围为项目所涉及的任何资料。</w:t>
      </w:r>
    </w:p>
    <w:p>
      <w:pPr>
        <w:pStyle w:val="5"/>
        <w:bidi w:val="0"/>
        <w:rPr>
          <w:rFonts w:hint="eastAsia" w:ascii="仿宋_GB2312" w:hAnsi="仿宋_GB2312" w:eastAsia="仿宋_GB2312" w:cs="仿宋_GB2312"/>
          <w:sz w:val="28"/>
          <w:szCs w:val="28"/>
        </w:rPr>
      </w:pPr>
      <w:bookmarkStart w:id="15" w:name="_Toc10654"/>
      <w:r>
        <w:rPr>
          <w:rFonts w:hint="eastAsia"/>
        </w:rPr>
        <w:t>2.10.项目验收要求</w:t>
      </w:r>
      <w:bookmarkEnd w:id="15"/>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（1）验收标准</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中标人按照双方签订的技术协议完成约定工作内容，同时达到招</w:t>
      </w:r>
    </w:p>
    <w:p>
      <w:pPr>
        <w:pStyle w:val="8"/>
        <w:keepNext w:val="0"/>
        <w:keepLines w:val="0"/>
        <w:pageBreakBefore w:val="0"/>
        <w:widowControl w:val="0"/>
        <w:kinsoku/>
        <w:wordWrap/>
        <w:overflowPunct/>
        <w:topLinePunct w:val="0"/>
        <w:bidi w:val="0"/>
        <w:snapToGrid/>
        <w:spacing w:before="191" w:beforeLines="50" w:after="191" w:afterLines="50" w:line="360" w:lineRule="auto"/>
        <w:ind w:left="0" w:leftChars="0" w:right="0" w:rightChars="0" w:firstLine="0" w:firstLine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标人工作质量要求。</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（2）验收方法</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如双方认为项目已具备验收条件，中标人以书面方式向招标人提 出验收申请，招标人在接到中标人验收申请后组织对中标人提交的资 料进行审核，确认中标人提交资料符合招标人项目验收标准后，由招</w:t>
      </w:r>
    </w:p>
    <w:p>
      <w:pPr>
        <w:pStyle w:val="8"/>
        <w:keepNext w:val="0"/>
        <w:keepLines w:val="0"/>
        <w:pageBreakBefore w:val="0"/>
        <w:widowControl w:val="0"/>
        <w:kinsoku/>
        <w:wordWrap/>
        <w:overflowPunct/>
        <w:topLinePunct w:val="0"/>
        <w:bidi w:val="0"/>
        <w:snapToGrid/>
        <w:spacing w:before="191" w:beforeLines="50" w:after="191" w:afterLines="50" w:line="360" w:lineRule="auto"/>
        <w:ind w:left="0" w:leftChars="0" w:right="0" w:rightChars="0" w:firstLine="0" w:firstLine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标人组织相关人员验收。</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（3）验收时间与地点</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验收时间：中标人提交验收申请，经招标人确认提交资料满足招</w:t>
      </w:r>
    </w:p>
    <w:p>
      <w:pPr>
        <w:pStyle w:val="8"/>
        <w:keepNext w:val="0"/>
        <w:keepLines w:val="0"/>
        <w:pageBreakBefore w:val="0"/>
        <w:widowControl w:val="0"/>
        <w:kinsoku/>
        <w:wordWrap/>
        <w:overflowPunct/>
        <w:topLinePunct w:val="0"/>
        <w:bidi w:val="0"/>
        <w:snapToGrid/>
        <w:spacing w:before="191" w:beforeLines="50" w:after="191" w:afterLines="50" w:line="360" w:lineRule="auto"/>
        <w:ind w:left="0" w:leftChars="0" w:right="0" w:rightChars="0" w:firstLine="0" w:firstLine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标人项目验收标准，可以开展验收。</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验收地点：双方具体约定。</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（4）验收交付物要求</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中标人需要按照招标人项目建设的要求提供相关交付物。交付物</w:t>
      </w:r>
    </w:p>
    <w:p>
      <w:pPr>
        <w:pStyle w:val="8"/>
        <w:keepNext w:val="0"/>
        <w:keepLines w:val="0"/>
        <w:pageBreakBefore w:val="0"/>
        <w:widowControl w:val="0"/>
        <w:kinsoku/>
        <w:wordWrap/>
        <w:overflowPunct/>
        <w:topLinePunct w:val="0"/>
        <w:bidi w:val="0"/>
        <w:snapToGrid/>
        <w:spacing w:before="191" w:beforeLines="50" w:after="191" w:afterLines="50" w:line="360" w:lineRule="auto"/>
        <w:ind w:left="0" w:leftChars="0" w:right="0" w:rightChars="0" w:firstLine="0" w:firstLineChars="0"/>
        <w:jc w:val="both"/>
        <w:outlineLvl w:val="9"/>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包含但不仅限于如下内容：</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r>
        <w:rPr>
          <w:rFonts w:hint="eastAsia" w:hAnsi="仿宋_GB2312" w:cs="仿宋_GB2312"/>
          <w:sz w:val="28"/>
          <w:szCs w:val="28"/>
          <w:lang w:val="en-US" w:eastAsia="zh-CN"/>
        </w:rPr>
        <w:t>两个</w:t>
      </w:r>
      <w:r>
        <w:rPr>
          <w:rFonts w:hint="default" w:hAnsi="仿宋_GB2312" w:cs="仿宋_GB2312"/>
          <w:sz w:val="28"/>
          <w:szCs w:val="28"/>
          <w:lang w:val="en-US"/>
        </w:rPr>
        <w:t>CNAS</w:t>
      </w:r>
      <w:r>
        <w:rPr>
          <w:rFonts w:hint="eastAsia" w:hAnsi="仿宋_GB2312" w:cs="仿宋_GB2312"/>
          <w:sz w:val="28"/>
          <w:szCs w:val="28"/>
          <w:lang w:val="en-US" w:eastAsia="zh-CN"/>
        </w:rPr>
        <w:t>鉴定认证测试报告。</w:t>
      </w:r>
    </w:p>
    <w:p>
      <w:pPr>
        <w:pStyle w:val="8"/>
        <w:keepNext w:val="0"/>
        <w:keepLines w:val="0"/>
        <w:pageBreakBefore w:val="0"/>
        <w:widowControl w:val="0"/>
        <w:kinsoku/>
        <w:wordWrap/>
        <w:overflowPunct/>
        <w:topLinePunct w:val="0"/>
        <w:bidi w:val="0"/>
        <w:snapToGrid/>
        <w:spacing w:before="191" w:beforeLines="50" w:after="191" w:afterLines="50" w:line="360" w:lineRule="auto"/>
        <w:ind w:right="0" w:rightChars="0" w:firstLine="616" w:firstLineChars="220"/>
        <w:jc w:val="both"/>
        <w:outlineLvl w:val="9"/>
        <w:rPr>
          <w:rFonts w:hint="eastAsia" w:ascii="仿宋_GB2312" w:hAnsi="仿宋_GB2312" w:eastAsia="仿宋_GB2312" w:cs="仿宋_GB2312"/>
          <w:sz w:val="28"/>
          <w:szCs w:val="28"/>
        </w:rPr>
      </w:pPr>
    </w:p>
    <w:sectPr>
      <w:headerReference r:id="rId3" w:type="default"/>
      <w:footerReference r:id="rId4" w:type="default"/>
      <w:footnotePr>
        <w:numFmt w:val="decimal"/>
      </w:footnotePr>
      <w:pgSz w:w="11907" w:h="16840"/>
      <w:pgMar w:top="1440" w:right="1287" w:bottom="1985" w:left="1797" w:header="851" w:footer="851" w:gutter="284"/>
      <w:pgBorders w:offsetFrom="page">
        <w:top w:val="none" w:sz="0" w:space="0"/>
        <w:left w:val="none" w:sz="0" w:space="0"/>
        <w:bottom w:val="none" w:sz="0" w:space="0"/>
        <w:right w:val="none" w:sz="0" w:space="0"/>
      </w:pgBorders>
      <w:cols w:space="720" w:num="1"/>
      <w:titlePg/>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ms Rmn">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7</w:t>
    </w:r>
    <w: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chineseCountingThousand"/>
      <w:pStyle w:val="4"/>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E6F60E6"/>
    <w:multiLevelType w:val="singleLevel"/>
    <w:tmpl w:val="6E6F60E6"/>
    <w:lvl w:ilvl="0" w:tentative="0">
      <w:start w:val="1"/>
      <w:numFmt w:val="bullet"/>
      <w:lvlText w:val=""/>
      <w:lvlJc w:val="left"/>
      <w:pPr>
        <w:tabs>
          <w:tab w:val="left" w:pos="420"/>
        </w:tabs>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178"/>
    <w:rsid w:val="00001E42"/>
    <w:rsid w:val="0001370F"/>
    <w:rsid w:val="00021668"/>
    <w:rsid w:val="00023F33"/>
    <w:rsid w:val="00031C8C"/>
    <w:rsid w:val="00063274"/>
    <w:rsid w:val="00063CB4"/>
    <w:rsid w:val="00066972"/>
    <w:rsid w:val="000674AF"/>
    <w:rsid w:val="00077BF7"/>
    <w:rsid w:val="000821DE"/>
    <w:rsid w:val="00086E6E"/>
    <w:rsid w:val="000A4684"/>
    <w:rsid w:val="000D05F9"/>
    <w:rsid w:val="000F3CF0"/>
    <w:rsid w:val="00132AAF"/>
    <w:rsid w:val="00155CBD"/>
    <w:rsid w:val="001608AB"/>
    <w:rsid w:val="00163D68"/>
    <w:rsid w:val="00170163"/>
    <w:rsid w:val="00176003"/>
    <w:rsid w:val="00181734"/>
    <w:rsid w:val="00182388"/>
    <w:rsid w:val="00192873"/>
    <w:rsid w:val="0019742C"/>
    <w:rsid w:val="001A0362"/>
    <w:rsid w:val="001A119D"/>
    <w:rsid w:val="001A2180"/>
    <w:rsid w:val="001A40C7"/>
    <w:rsid w:val="001B03AC"/>
    <w:rsid w:val="001B39FB"/>
    <w:rsid w:val="001C2558"/>
    <w:rsid w:val="001C3773"/>
    <w:rsid w:val="001C6F7A"/>
    <w:rsid w:val="001F4303"/>
    <w:rsid w:val="00201189"/>
    <w:rsid w:val="00203D62"/>
    <w:rsid w:val="00216442"/>
    <w:rsid w:val="0022656E"/>
    <w:rsid w:val="00227FDB"/>
    <w:rsid w:val="0023300E"/>
    <w:rsid w:val="00265F56"/>
    <w:rsid w:val="002671F6"/>
    <w:rsid w:val="002754AC"/>
    <w:rsid w:val="0028458E"/>
    <w:rsid w:val="002C525B"/>
    <w:rsid w:val="002D7D0B"/>
    <w:rsid w:val="002E6782"/>
    <w:rsid w:val="002F5551"/>
    <w:rsid w:val="003003B5"/>
    <w:rsid w:val="003266B4"/>
    <w:rsid w:val="00336135"/>
    <w:rsid w:val="00371F9B"/>
    <w:rsid w:val="0037553D"/>
    <w:rsid w:val="003A281F"/>
    <w:rsid w:val="003A2C2D"/>
    <w:rsid w:val="003A480C"/>
    <w:rsid w:val="003B0C22"/>
    <w:rsid w:val="003C236C"/>
    <w:rsid w:val="003C2405"/>
    <w:rsid w:val="003C51CF"/>
    <w:rsid w:val="003D22B5"/>
    <w:rsid w:val="003D2FEB"/>
    <w:rsid w:val="003D4148"/>
    <w:rsid w:val="003E518E"/>
    <w:rsid w:val="003F4178"/>
    <w:rsid w:val="00400F02"/>
    <w:rsid w:val="00404D92"/>
    <w:rsid w:val="00416DD4"/>
    <w:rsid w:val="00416F55"/>
    <w:rsid w:val="00422BC8"/>
    <w:rsid w:val="00424C9A"/>
    <w:rsid w:val="00433768"/>
    <w:rsid w:val="00436FEB"/>
    <w:rsid w:val="00444B2B"/>
    <w:rsid w:val="00446AE3"/>
    <w:rsid w:val="004557C6"/>
    <w:rsid w:val="0045603F"/>
    <w:rsid w:val="004746B0"/>
    <w:rsid w:val="004821C4"/>
    <w:rsid w:val="00496D41"/>
    <w:rsid w:val="00497746"/>
    <w:rsid w:val="004A558C"/>
    <w:rsid w:val="004D0BC8"/>
    <w:rsid w:val="004D10E0"/>
    <w:rsid w:val="005005E7"/>
    <w:rsid w:val="00504069"/>
    <w:rsid w:val="00521792"/>
    <w:rsid w:val="00531E29"/>
    <w:rsid w:val="00541570"/>
    <w:rsid w:val="00543F32"/>
    <w:rsid w:val="005556E0"/>
    <w:rsid w:val="00564C13"/>
    <w:rsid w:val="0057667C"/>
    <w:rsid w:val="00580B73"/>
    <w:rsid w:val="00592BAF"/>
    <w:rsid w:val="005A0E02"/>
    <w:rsid w:val="005B30B6"/>
    <w:rsid w:val="005E35ED"/>
    <w:rsid w:val="005E3C66"/>
    <w:rsid w:val="005F24F6"/>
    <w:rsid w:val="006134D7"/>
    <w:rsid w:val="006145E5"/>
    <w:rsid w:val="006241EF"/>
    <w:rsid w:val="006657A4"/>
    <w:rsid w:val="006673EA"/>
    <w:rsid w:val="00674A95"/>
    <w:rsid w:val="00675D75"/>
    <w:rsid w:val="0067622A"/>
    <w:rsid w:val="00683255"/>
    <w:rsid w:val="00692FC0"/>
    <w:rsid w:val="006A3930"/>
    <w:rsid w:val="006C2D65"/>
    <w:rsid w:val="006E66AB"/>
    <w:rsid w:val="006F5248"/>
    <w:rsid w:val="00706EDC"/>
    <w:rsid w:val="00707730"/>
    <w:rsid w:val="00707CAD"/>
    <w:rsid w:val="0073323A"/>
    <w:rsid w:val="00736AF6"/>
    <w:rsid w:val="0075757C"/>
    <w:rsid w:val="00767EDF"/>
    <w:rsid w:val="00770205"/>
    <w:rsid w:val="00776F10"/>
    <w:rsid w:val="007853D6"/>
    <w:rsid w:val="00795FA8"/>
    <w:rsid w:val="007A7488"/>
    <w:rsid w:val="007B7C69"/>
    <w:rsid w:val="007C13F2"/>
    <w:rsid w:val="0080010A"/>
    <w:rsid w:val="00803782"/>
    <w:rsid w:val="00834D50"/>
    <w:rsid w:val="00847D9B"/>
    <w:rsid w:val="00865BF5"/>
    <w:rsid w:val="008B3853"/>
    <w:rsid w:val="008B669A"/>
    <w:rsid w:val="008C00CA"/>
    <w:rsid w:val="008D43C2"/>
    <w:rsid w:val="008D762E"/>
    <w:rsid w:val="008E0CF8"/>
    <w:rsid w:val="008F39D3"/>
    <w:rsid w:val="008F7C8E"/>
    <w:rsid w:val="00902114"/>
    <w:rsid w:val="00921580"/>
    <w:rsid w:val="00926358"/>
    <w:rsid w:val="009278FD"/>
    <w:rsid w:val="00945F35"/>
    <w:rsid w:val="0097299D"/>
    <w:rsid w:val="00974AEB"/>
    <w:rsid w:val="00975B6E"/>
    <w:rsid w:val="00980778"/>
    <w:rsid w:val="00985D6B"/>
    <w:rsid w:val="009B33E9"/>
    <w:rsid w:val="009B7BA6"/>
    <w:rsid w:val="009C4E71"/>
    <w:rsid w:val="009C6738"/>
    <w:rsid w:val="009E2EDE"/>
    <w:rsid w:val="009E4D0A"/>
    <w:rsid w:val="009F0308"/>
    <w:rsid w:val="009F36A3"/>
    <w:rsid w:val="00A03886"/>
    <w:rsid w:val="00A109F9"/>
    <w:rsid w:val="00A13605"/>
    <w:rsid w:val="00A314CB"/>
    <w:rsid w:val="00A3296C"/>
    <w:rsid w:val="00A548CA"/>
    <w:rsid w:val="00A55D53"/>
    <w:rsid w:val="00A57654"/>
    <w:rsid w:val="00A76179"/>
    <w:rsid w:val="00A76960"/>
    <w:rsid w:val="00A8216C"/>
    <w:rsid w:val="00A97C1F"/>
    <w:rsid w:val="00AA09D0"/>
    <w:rsid w:val="00AA75A3"/>
    <w:rsid w:val="00AC7234"/>
    <w:rsid w:val="00AD19AC"/>
    <w:rsid w:val="00AF1E99"/>
    <w:rsid w:val="00B1278C"/>
    <w:rsid w:val="00B26BF6"/>
    <w:rsid w:val="00B54DDC"/>
    <w:rsid w:val="00B71841"/>
    <w:rsid w:val="00B73FB7"/>
    <w:rsid w:val="00B75110"/>
    <w:rsid w:val="00B77D00"/>
    <w:rsid w:val="00B92914"/>
    <w:rsid w:val="00B93F24"/>
    <w:rsid w:val="00BA0373"/>
    <w:rsid w:val="00BA4F59"/>
    <w:rsid w:val="00BE1541"/>
    <w:rsid w:val="00BE2CA7"/>
    <w:rsid w:val="00BF0045"/>
    <w:rsid w:val="00BF282B"/>
    <w:rsid w:val="00BF344A"/>
    <w:rsid w:val="00C10F62"/>
    <w:rsid w:val="00C204F2"/>
    <w:rsid w:val="00C307BC"/>
    <w:rsid w:val="00C513FF"/>
    <w:rsid w:val="00C525E4"/>
    <w:rsid w:val="00C52C24"/>
    <w:rsid w:val="00C63258"/>
    <w:rsid w:val="00C665FB"/>
    <w:rsid w:val="00C8369A"/>
    <w:rsid w:val="00C9226F"/>
    <w:rsid w:val="00C961E3"/>
    <w:rsid w:val="00C96274"/>
    <w:rsid w:val="00CA5AE7"/>
    <w:rsid w:val="00CB1F61"/>
    <w:rsid w:val="00CB2B6A"/>
    <w:rsid w:val="00CB3E6E"/>
    <w:rsid w:val="00CB6957"/>
    <w:rsid w:val="00CB7930"/>
    <w:rsid w:val="00CC1AC9"/>
    <w:rsid w:val="00CC3FE6"/>
    <w:rsid w:val="00CD13A1"/>
    <w:rsid w:val="00CE39F8"/>
    <w:rsid w:val="00CE79B4"/>
    <w:rsid w:val="00CF20C2"/>
    <w:rsid w:val="00CF2B0F"/>
    <w:rsid w:val="00CF3D44"/>
    <w:rsid w:val="00D07C4B"/>
    <w:rsid w:val="00D1347F"/>
    <w:rsid w:val="00D211F3"/>
    <w:rsid w:val="00D46535"/>
    <w:rsid w:val="00D46CA4"/>
    <w:rsid w:val="00D50B3B"/>
    <w:rsid w:val="00D518ED"/>
    <w:rsid w:val="00D53046"/>
    <w:rsid w:val="00D76D9E"/>
    <w:rsid w:val="00D81010"/>
    <w:rsid w:val="00D81ACB"/>
    <w:rsid w:val="00DC72AC"/>
    <w:rsid w:val="00DE5B88"/>
    <w:rsid w:val="00DE62F3"/>
    <w:rsid w:val="00DE6442"/>
    <w:rsid w:val="00DF3AE7"/>
    <w:rsid w:val="00E03C1E"/>
    <w:rsid w:val="00E31251"/>
    <w:rsid w:val="00E321C3"/>
    <w:rsid w:val="00E6045F"/>
    <w:rsid w:val="00E719FE"/>
    <w:rsid w:val="00E73D89"/>
    <w:rsid w:val="00E86875"/>
    <w:rsid w:val="00E93043"/>
    <w:rsid w:val="00EA478D"/>
    <w:rsid w:val="00EB5503"/>
    <w:rsid w:val="00EB68A3"/>
    <w:rsid w:val="00EC0985"/>
    <w:rsid w:val="00ED4628"/>
    <w:rsid w:val="00ED641E"/>
    <w:rsid w:val="00EE081F"/>
    <w:rsid w:val="00F05EF0"/>
    <w:rsid w:val="00F179EB"/>
    <w:rsid w:val="00F37C43"/>
    <w:rsid w:val="00F91696"/>
    <w:rsid w:val="00FC0C6C"/>
    <w:rsid w:val="00FC0E60"/>
    <w:rsid w:val="00FD50A1"/>
    <w:rsid w:val="00FD60AE"/>
    <w:rsid w:val="00FE54D3"/>
    <w:rsid w:val="02393535"/>
    <w:rsid w:val="026652FE"/>
    <w:rsid w:val="02C06C91"/>
    <w:rsid w:val="02DC5645"/>
    <w:rsid w:val="0303099E"/>
    <w:rsid w:val="03E9547A"/>
    <w:rsid w:val="03F35D89"/>
    <w:rsid w:val="049F3CA4"/>
    <w:rsid w:val="04A363C9"/>
    <w:rsid w:val="04C13E58"/>
    <w:rsid w:val="04CB21E9"/>
    <w:rsid w:val="055211C9"/>
    <w:rsid w:val="05AF3AE1"/>
    <w:rsid w:val="05F30D52"/>
    <w:rsid w:val="068A254B"/>
    <w:rsid w:val="06FF4708"/>
    <w:rsid w:val="070F660D"/>
    <w:rsid w:val="074B6D85"/>
    <w:rsid w:val="075350DF"/>
    <w:rsid w:val="08456F9D"/>
    <w:rsid w:val="08575C13"/>
    <w:rsid w:val="08633FCF"/>
    <w:rsid w:val="08641A50"/>
    <w:rsid w:val="08A01C35"/>
    <w:rsid w:val="08E0765C"/>
    <w:rsid w:val="0A262D36"/>
    <w:rsid w:val="0A830FEA"/>
    <w:rsid w:val="0AB24B18"/>
    <w:rsid w:val="0AF16BC1"/>
    <w:rsid w:val="0AFA199D"/>
    <w:rsid w:val="0CF2414E"/>
    <w:rsid w:val="0D041E6A"/>
    <w:rsid w:val="0E265444"/>
    <w:rsid w:val="0E3015D7"/>
    <w:rsid w:val="0E7D57ED"/>
    <w:rsid w:val="0F164D4D"/>
    <w:rsid w:val="0F5E2F43"/>
    <w:rsid w:val="0F7F2543"/>
    <w:rsid w:val="10A854E3"/>
    <w:rsid w:val="10B412F6"/>
    <w:rsid w:val="10F70C1F"/>
    <w:rsid w:val="110754FD"/>
    <w:rsid w:val="114B1531"/>
    <w:rsid w:val="114C5FF1"/>
    <w:rsid w:val="11CC3C02"/>
    <w:rsid w:val="12AB4C23"/>
    <w:rsid w:val="133749AC"/>
    <w:rsid w:val="13F01C35"/>
    <w:rsid w:val="14DD044C"/>
    <w:rsid w:val="15E664A4"/>
    <w:rsid w:val="16AF0347"/>
    <w:rsid w:val="170C73DC"/>
    <w:rsid w:val="171844F3"/>
    <w:rsid w:val="17B306B4"/>
    <w:rsid w:val="17CA4317"/>
    <w:rsid w:val="17DA45B1"/>
    <w:rsid w:val="17DE5539"/>
    <w:rsid w:val="17E70043"/>
    <w:rsid w:val="18543B9A"/>
    <w:rsid w:val="18F3507E"/>
    <w:rsid w:val="19073D1E"/>
    <w:rsid w:val="19AC7D2F"/>
    <w:rsid w:val="19BC6CC5"/>
    <w:rsid w:val="1A3B5015"/>
    <w:rsid w:val="1AB701C6"/>
    <w:rsid w:val="1B6437FD"/>
    <w:rsid w:val="1B764D9C"/>
    <w:rsid w:val="1B9B1759"/>
    <w:rsid w:val="1B9C71DA"/>
    <w:rsid w:val="1C2A5B45"/>
    <w:rsid w:val="1CA13205"/>
    <w:rsid w:val="1CD41F68"/>
    <w:rsid w:val="1D0E5DB7"/>
    <w:rsid w:val="1D3614FA"/>
    <w:rsid w:val="1DF8703A"/>
    <w:rsid w:val="1E420733"/>
    <w:rsid w:val="1E873426"/>
    <w:rsid w:val="1ED0129B"/>
    <w:rsid w:val="1ED32220"/>
    <w:rsid w:val="1EF026AB"/>
    <w:rsid w:val="1EF2415A"/>
    <w:rsid w:val="1F031E6E"/>
    <w:rsid w:val="1F0A017C"/>
    <w:rsid w:val="1FE26B5A"/>
    <w:rsid w:val="202E11D8"/>
    <w:rsid w:val="2033565F"/>
    <w:rsid w:val="20A4469A"/>
    <w:rsid w:val="20B34CB4"/>
    <w:rsid w:val="21D94A96"/>
    <w:rsid w:val="229D2256"/>
    <w:rsid w:val="23305048"/>
    <w:rsid w:val="2401791F"/>
    <w:rsid w:val="246650C5"/>
    <w:rsid w:val="259D6446"/>
    <w:rsid w:val="26126405"/>
    <w:rsid w:val="265F790F"/>
    <w:rsid w:val="266D7A18"/>
    <w:rsid w:val="268E6AB1"/>
    <w:rsid w:val="26935484"/>
    <w:rsid w:val="26D829F7"/>
    <w:rsid w:val="2700280A"/>
    <w:rsid w:val="27BB29B4"/>
    <w:rsid w:val="27CD66DB"/>
    <w:rsid w:val="282D4176"/>
    <w:rsid w:val="284B3726"/>
    <w:rsid w:val="290179D1"/>
    <w:rsid w:val="293427AA"/>
    <w:rsid w:val="29466D62"/>
    <w:rsid w:val="29CB291D"/>
    <w:rsid w:val="2A5E425D"/>
    <w:rsid w:val="2A652B1C"/>
    <w:rsid w:val="2A9B2FF6"/>
    <w:rsid w:val="2B6928A5"/>
    <w:rsid w:val="2B8C0380"/>
    <w:rsid w:val="2BD30AF4"/>
    <w:rsid w:val="2C1105D9"/>
    <w:rsid w:val="2C1C74E2"/>
    <w:rsid w:val="2C7502FD"/>
    <w:rsid w:val="2CC76589"/>
    <w:rsid w:val="2DAC5DFC"/>
    <w:rsid w:val="2E9E1A9F"/>
    <w:rsid w:val="2EDF2CF6"/>
    <w:rsid w:val="2F2172DE"/>
    <w:rsid w:val="2FDC6090"/>
    <w:rsid w:val="300E1D05"/>
    <w:rsid w:val="305E0BE8"/>
    <w:rsid w:val="31630496"/>
    <w:rsid w:val="32652696"/>
    <w:rsid w:val="33120008"/>
    <w:rsid w:val="33332C90"/>
    <w:rsid w:val="341A770A"/>
    <w:rsid w:val="34214E88"/>
    <w:rsid w:val="34987FD8"/>
    <w:rsid w:val="35977EFB"/>
    <w:rsid w:val="36194A2A"/>
    <w:rsid w:val="3741730C"/>
    <w:rsid w:val="374A7542"/>
    <w:rsid w:val="37EA1ACF"/>
    <w:rsid w:val="38766CAF"/>
    <w:rsid w:val="38910B5D"/>
    <w:rsid w:val="38A73652"/>
    <w:rsid w:val="39282356"/>
    <w:rsid w:val="39592B25"/>
    <w:rsid w:val="39BA1CC2"/>
    <w:rsid w:val="3A2B2E7D"/>
    <w:rsid w:val="3A305611"/>
    <w:rsid w:val="3A4F005A"/>
    <w:rsid w:val="3A6350EB"/>
    <w:rsid w:val="3B00415A"/>
    <w:rsid w:val="3B617677"/>
    <w:rsid w:val="3BC7289E"/>
    <w:rsid w:val="3C292943"/>
    <w:rsid w:val="3C785F45"/>
    <w:rsid w:val="3CDB720D"/>
    <w:rsid w:val="3D081910"/>
    <w:rsid w:val="3D936769"/>
    <w:rsid w:val="3DBF0C70"/>
    <w:rsid w:val="3E386E20"/>
    <w:rsid w:val="3E643B24"/>
    <w:rsid w:val="3E875CA5"/>
    <w:rsid w:val="3EE13DB5"/>
    <w:rsid w:val="405844AD"/>
    <w:rsid w:val="409D1B0D"/>
    <w:rsid w:val="40AE30AC"/>
    <w:rsid w:val="411A01DD"/>
    <w:rsid w:val="41884094"/>
    <w:rsid w:val="4250605B"/>
    <w:rsid w:val="427170B4"/>
    <w:rsid w:val="43017E11"/>
    <w:rsid w:val="43365054"/>
    <w:rsid w:val="457B748C"/>
    <w:rsid w:val="45AD765A"/>
    <w:rsid w:val="45F52C9F"/>
    <w:rsid w:val="46323738"/>
    <w:rsid w:val="4649335D"/>
    <w:rsid w:val="465C7A8B"/>
    <w:rsid w:val="4699164D"/>
    <w:rsid w:val="46BA55AC"/>
    <w:rsid w:val="46E06D54"/>
    <w:rsid w:val="4716722E"/>
    <w:rsid w:val="473E03F2"/>
    <w:rsid w:val="47480D01"/>
    <w:rsid w:val="478B1262"/>
    <w:rsid w:val="47E56601"/>
    <w:rsid w:val="48036E0A"/>
    <w:rsid w:val="488A6D8F"/>
    <w:rsid w:val="498B5A38"/>
    <w:rsid w:val="49AA2A6A"/>
    <w:rsid w:val="49BF3909"/>
    <w:rsid w:val="49F340DF"/>
    <w:rsid w:val="4B5317A1"/>
    <w:rsid w:val="4B6C0B98"/>
    <w:rsid w:val="4BA115A6"/>
    <w:rsid w:val="4C64514A"/>
    <w:rsid w:val="4CA22748"/>
    <w:rsid w:val="4D147203"/>
    <w:rsid w:val="4D264F1F"/>
    <w:rsid w:val="4E096817"/>
    <w:rsid w:val="4FAC1446"/>
    <w:rsid w:val="50116BEC"/>
    <w:rsid w:val="50193FF8"/>
    <w:rsid w:val="50C511CE"/>
    <w:rsid w:val="514B66A4"/>
    <w:rsid w:val="515312D1"/>
    <w:rsid w:val="517C3C40"/>
    <w:rsid w:val="517E2877"/>
    <w:rsid w:val="51A07138"/>
    <w:rsid w:val="51E6586D"/>
    <w:rsid w:val="51EB3B46"/>
    <w:rsid w:val="51EF106D"/>
    <w:rsid w:val="524150FF"/>
    <w:rsid w:val="524A6666"/>
    <w:rsid w:val="53CC23B3"/>
    <w:rsid w:val="550C5E5F"/>
    <w:rsid w:val="550D2A2B"/>
    <w:rsid w:val="556876AD"/>
    <w:rsid w:val="558E6F84"/>
    <w:rsid w:val="55AD491E"/>
    <w:rsid w:val="56A02C2D"/>
    <w:rsid w:val="59145F35"/>
    <w:rsid w:val="596F7548"/>
    <w:rsid w:val="598900F2"/>
    <w:rsid w:val="598D237B"/>
    <w:rsid w:val="5A1C455C"/>
    <w:rsid w:val="5AAE6C63"/>
    <w:rsid w:val="5AC86880"/>
    <w:rsid w:val="5B5C36C6"/>
    <w:rsid w:val="5C6619AB"/>
    <w:rsid w:val="5DAB138B"/>
    <w:rsid w:val="5DE7421F"/>
    <w:rsid w:val="5DF631B4"/>
    <w:rsid w:val="5F4F24EC"/>
    <w:rsid w:val="5F9A70E8"/>
    <w:rsid w:val="60040D16"/>
    <w:rsid w:val="60837066"/>
    <w:rsid w:val="6105633A"/>
    <w:rsid w:val="619D55B4"/>
    <w:rsid w:val="62680180"/>
    <w:rsid w:val="62B13DF7"/>
    <w:rsid w:val="6363169C"/>
    <w:rsid w:val="63CD32CA"/>
    <w:rsid w:val="64025D23"/>
    <w:rsid w:val="640A312F"/>
    <w:rsid w:val="64343F73"/>
    <w:rsid w:val="64C55A61"/>
    <w:rsid w:val="655E4D66"/>
    <w:rsid w:val="65A62B50"/>
    <w:rsid w:val="66D4517C"/>
    <w:rsid w:val="672E48E1"/>
    <w:rsid w:val="67A40418"/>
    <w:rsid w:val="680767F3"/>
    <w:rsid w:val="68B20D12"/>
    <w:rsid w:val="68D73C8C"/>
    <w:rsid w:val="68F954C6"/>
    <w:rsid w:val="6936532B"/>
    <w:rsid w:val="6A53351C"/>
    <w:rsid w:val="6A9277E6"/>
    <w:rsid w:val="6A95076A"/>
    <w:rsid w:val="6A9E35F8"/>
    <w:rsid w:val="6ABB46B5"/>
    <w:rsid w:val="6AD84092"/>
    <w:rsid w:val="6ADE3D1F"/>
    <w:rsid w:val="6B105EB6"/>
    <w:rsid w:val="6C2D5008"/>
    <w:rsid w:val="6CEE7645"/>
    <w:rsid w:val="6E062690"/>
    <w:rsid w:val="6E16292A"/>
    <w:rsid w:val="6F2936EC"/>
    <w:rsid w:val="6F47651F"/>
    <w:rsid w:val="6F59423B"/>
    <w:rsid w:val="6F967622"/>
    <w:rsid w:val="70473EC4"/>
    <w:rsid w:val="70CE7620"/>
    <w:rsid w:val="71155816"/>
    <w:rsid w:val="712F4C9B"/>
    <w:rsid w:val="713E3247"/>
    <w:rsid w:val="71F60387"/>
    <w:rsid w:val="72921B7A"/>
    <w:rsid w:val="731D4D55"/>
    <w:rsid w:val="738A2383"/>
    <w:rsid w:val="7391648A"/>
    <w:rsid w:val="74E54162"/>
    <w:rsid w:val="753F32E7"/>
    <w:rsid w:val="75494B74"/>
    <w:rsid w:val="75641328"/>
    <w:rsid w:val="756534F8"/>
    <w:rsid w:val="75FA729D"/>
    <w:rsid w:val="75FC27A0"/>
    <w:rsid w:val="76A22F2E"/>
    <w:rsid w:val="76D83408"/>
    <w:rsid w:val="77B966CD"/>
    <w:rsid w:val="77CC2A1C"/>
    <w:rsid w:val="78543BF9"/>
    <w:rsid w:val="785C1EE8"/>
    <w:rsid w:val="78C62C34"/>
    <w:rsid w:val="79477778"/>
    <w:rsid w:val="798E6DF9"/>
    <w:rsid w:val="79913601"/>
    <w:rsid w:val="7A265542"/>
    <w:rsid w:val="7A726527"/>
    <w:rsid w:val="7A882894"/>
    <w:rsid w:val="7BF15F9F"/>
    <w:rsid w:val="7C072EE1"/>
    <w:rsid w:val="7DF42531"/>
    <w:rsid w:val="7E1A2770"/>
    <w:rsid w:val="7EFD4068"/>
    <w:rsid w:val="7F2C5AB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1"/>
    <w:qFormat/>
    <w:uiPriority w:val="0"/>
    <w:pPr>
      <w:keepNext/>
      <w:keepLines/>
      <w:numPr>
        <w:ilvl w:val="0"/>
        <w:numId w:val="1"/>
      </w:numPr>
      <w:adjustRightInd w:val="0"/>
      <w:snapToGrid w:val="0"/>
      <w:spacing w:before="156" w:beforeLines="50" w:after="156" w:afterLines="50" w:line="300" w:lineRule="auto"/>
      <w:jc w:val="center"/>
      <w:outlineLvl w:val="0"/>
    </w:pPr>
    <w:rPr>
      <w:rFonts w:ascii="仿宋_GB2312" w:hAnsi="楷体" w:eastAsia="仿宋_GB2312"/>
      <w:b/>
      <w:bCs/>
      <w:kern w:val="44"/>
      <w:sz w:val="36"/>
      <w:szCs w:val="36"/>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widowControl/>
      <w:tabs>
        <w:tab w:val="left" w:pos="720"/>
      </w:tabs>
      <w:spacing w:before="240" w:after="60"/>
      <w:ind w:left="1440" w:hanging="1156"/>
      <w:jc w:val="left"/>
      <w:outlineLvl w:val="2"/>
    </w:pPr>
    <w:rPr>
      <w:rFonts w:ascii="宋体" w:hAnsi="宋体"/>
      <w:b/>
      <w:sz w:val="28"/>
      <w:szCs w:val="28"/>
    </w:rPr>
  </w:style>
  <w:style w:type="paragraph" w:styleId="7">
    <w:name w:val="heading 4"/>
    <w:basedOn w:val="1"/>
    <w:next w:val="1"/>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w:basedOn w:val="1"/>
    <w:next w:val="3"/>
    <w:link w:val="20"/>
    <w:qFormat/>
    <w:uiPriority w:val="0"/>
    <w:pPr>
      <w:spacing w:after="120"/>
    </w:pPr>
  </w:style>
  <w:style w:type="paragraph" w:styleId="3">
    <w:name w:val="Title"/>
    <w:basedOn w:val="1"/>
    <w:next w:val="1"/>
    <w:qFormat/>
    <w:uiPriority w:val="0"/>
    <w:pPr>
      <w:spacing w:before="240" w:after="60"/>
      <w:jc w:val="center"/>
      <w:outlineLvl w:val="0"/>
    </w:pPr>
    <w:rPr>
      <w:rFonts w:asciiTheme="majorHAnsi" w:hAnsiTheme="majorHAnsi" w:eastAsiaTheme="majorEastAsia" w:cstheme="majorBidi"/>
      <w:b/>
      <w:bCs/>
      <w:sz w:val="32"/>
      <w:szCs w:val="32"/>
    </w:rPr>
  </w:style>
  <w:style w:type="paragraph" w:styleId="8">
    <w:name w:val="Normal Indent"/>
    <w:basedOn w:val="1"/>
    <w:link w:val="22"/>
    <w:qFormat/>
    <w:uiPriority w:val="0"/>
    <w:pPr>
      <w:autoSpaceDE w:val="0"/>
      <w:autoSpaceDN w:val="0"/>
      <w:adjustRightInd w:val="0"/>
      <w:ind w:firstLine="420"/>
      <w:jc w:val="left"/>
      <w:textAlignment w:val="baseline"/>
    </w:pPr>
    <w:rPr>
      <w:rFonts w:ascii="仿宋_GB2312" w:hAnsi="Tms Rmn" w:eastAsia="仿宋_GB2312"/>
      <w:kern w:val="0"/>
      <w:sz w:val="28"/>
      <w:szCs w:val="20"/>
    </w:rPr>
  </w:style>
  <w:style w:type="paragraph" w:styleId="9">
    <w:name w:val="Document Map"/>
    <w:basedOn w:val="1"/>
    <w:link w:val="23"/>
    <w:qFormat/>
    <w:uiPriority w:val="0"/>
    <w:rPr>
      <w:rFonts w:ascii="宋体"/>
      <w:sz w:val="18"/>
      <w:szCs w:val="18"/>
    </w:rPr>
  </w:style>
  <w:style w:type="paragraph" w:styleId="10">
    <w:name w:val="toc 3"/>
    <w:basedOn w:val="1"/>
    <w:next w:val="1"/>
    <w:qFormat/>
    <w:uiPriority w:val="0"/>
    <w:pPr>
      <w:ind w:left="840" w:leftChars="400"/>
    </w:pPr>
  </w:style>
  <w:style w:type="paragraph" w:styleId="11">
    <w:name w:val="Balloon Text"/>
    <w:basedOn w:val="1"/>
    <w:link w:val="24"/>
    <w:qFormat/>
    <w:uiPriority w:val="0"/>
    <w:rPr>
      <w:sz w:val="18"/>
      <w:szCs w:val="18"/>
    </w:rPr>
  </w:style>
  <w:style w:type="paragraph" w:styleId="12">
    <w:name w:val="footer"/>
    <w:basedOn w:val="1"/>
    <w:link w:val="25"/>
    <w:qFormat/>
    <w:uiPriority w:val="99"/>
    <w:pPr>
      <w:tabs>
        <w:tab w:val="center" w:pos="4153"/>
        <w:tab w:val="right" w:pos="8306"/>
      </w:tabs>
      <w:snapToGrid w:val="0"/>
      <w:jc w:val="left"/>
    </w:pPr>
    <w:rPr>
      <w:sz w:val="18"/>
      <w:szCs w:val="20"/>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Body Text First Indent"/>
    <w:basedOn w:val="2"/>
    <w:link w:val="27"/>
    <w:qFormat/>
    <w:uiPriority w:val="0"/>
    <w:pPr>
      <w:tabs>
        <w:tab w:val="left" w:pos="425"/>
      </w:tabs>
      <w:spacing w:after="0" w:line="360" w:lineRule="auto"/>
      <w:ind w:firstLine="200" w:firstLineChars="200"/>
      <w:jc w:val="left"/>
    </w:pPr>
    <w:rPr>
      <w:sz w:val="24"/>
    </w:rPr>
  </w:style>
  <w:style w:type="table" w:styleId="18">
    <w:name w:val="Table Grid"/>
    <w:basedOn w:val="1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正文文本字符"/>
    <w:link w:val="2"/>
    <w:qFormat/>
    <w:uiPriority w:val="0"/>
    <w:rPr>
      <w:kern w:val="2"/>
      <w:sz w:val="21"/>
      <w:szCs w:val="24"/>
    </w:rPr>
  </w:style>
  <w:style w:type="character" w:customStyle="1" w:styleId="21">
    <w:name w:val="标题 1字符"/>
    <w:link w:val="4"/>
    <w:qFormat/>
    <w:uiPriority w:val="0"/>
    <w:rPr>
      <w:rFonts w:ascii="仿宋_GB2312" w:hAnsi="楷体" w:eastAsia="仿宋_GB2312"/>
      <w:b/>
      <w:bCs/>
      <w:kern w:val="44"/>
      <w:sz w:val="36"/>
      <w:szCs w:val="36"/>
      <w:lang w:val="en-US" w:eastAsia="zh-CN" w:bidi="ar-SA"/>
    </w:rPr>
  </w:style>
  <w:style w:type="character" w:customStyle="1" w:styleId="22">
    <w:name w:val="正文缩进字符"/>
    <w:link w:val="8"/>
    <w:qFormat/>
    <w:uiPriority w:val="0"/>
    <w:rPr>
      <w:rFonts w:ascii="仿宋_GB2312" w:hAnsi="Tms Rmn" w:eastAsia="仿宋_GB2312"/>
      <w:sz w:val="28"/>
    </w:rPr>
  </w:style>
  <w:style w:type="character" w:customStyle="1" w:styleId="23">
    <w:name w:val="文档结构图字符"/>
    <w:link w:val="9"/>
    <w:qFormat/>
    <w:uiPriority w:val="0"/>
    <w:rPr>
      <w:rFonts w:ascii="宋体"/>
      <w:kern w:val="2"/>
      <w:sz w:val="18"/>
      <w:szCs w:val="18"/>
    </w:rPr>
  </w:style>
  <w:style w:type="character" w:customStyle="1" w:styleId="24">
    <w:name w:val="批注框文本字符"/>
    <w:link w:val="11"/>
    <w:qFormat/>
    <w:uiPriority w:val="0"/>
    <w:rPr>
      <w:kern w:val="2"/>
      <w:sz w:val="18"/>
      <w:szCs w:val="18"/>
    </w:rPr>
  </w:style>
  <w:style w:type="character" w:customStyle="1" w:styleId="25">
    <w:name w:val="页脚字符"/>
    <w:link w:val="12"/>
    <w:qFormat/>
    <w:uiPriority w:val="99"/>
    <w:rPr>
      <w:rFonts w:eastAsia="宋体"/>
      <w:kern w:val="2"/>
      <w:sz w:val="18"/>
      <w:lang w:val="en-US" w:eastAsia="zh-CN" w:bidi="ar-SA"/>
    </w:rPr>
  </w:style>
  <w:style w:type="character" w:customStyle="1" w:styleId="26">
    <w:name w:val="页眉字符"/>
    <w:link w:val="13"/>
    <w:qFormat/>
    <w:uiPriority w:val="0"/>
    <w:rPr>
      <w:rFonts w:eastAsia="宋体"/>
      <w:kern w:val="2"/>
      <w:sz w:val="18"/>
      <w:szCs w:val="18"/>
      <w:lang w:val="en-US" w:eastAsia="zh-CN" w:bidi="ar-SA"/>
    </w:rPr>
  </w:style>
  <w:style w:type="character" w:customStyle="1" w:styleId="27">
    <w:name w:val="正文首行缩进字符"/>
    <w:link w:val="16"/>
    <w:qFormat/>
    <w:uiPriority w:val="0"/>
    <w:rPr>
      <w:kern w:val="2"/>
      <w:sz w:val="24"/>
      <w:szCs w:val="24"/>
    </w:rPr>
  </w:style>
  <w:style w:type="character" w:customStyle="1" w:styleId="28">
    <w:name w:val="列出段落字符"/>
    <w:link w:val="29"/>
    <w:qFormat/>
    <w:uiPriority w:val="34"/>
    <w:rPr>
      <w:rFonts w:ascii="Calibri" w:hAnsi="Calibri"/>
      <w:kern w:val="2"/>
      <w:sz w:val="21"/>
      <w:szCs w:val="22"/>
    </w:rPr>
  </w:style>
  <w:style w:type="paragraph" w:customStyle="1" w:styleId="29">
    <w:name w:val="列出段落"/>
    <w:basedOn w:val="1"/>
    <w:link w:val="28"/>
    <w:qFormat/>
    <w:uiPriority w:val="34"/>
    <w:pPr>
      <w:spacing w:before="120" w:after="120" w:line="360" w:lineRule="auto"/>
      <w:ind w:firstLine="420" w:firstLineChars="200"/>
    </w:pPr>
    <w:rPr>
      <w:rFonts w:ascii="Calibri" w:hAnsi="Calibri"/>
      <w:szCs w:val="22"/>
    </w:rPr>
  </w:style>
  <w:style w:type="paragraph" w:customStyle="1" w:styleId="30">
    <w:name w:val="p0"/>
    <w:basedOn w:val="1"/>
    <w:qFormat/>
    <w:uiPriority w:val="0"/>
    <w:pPr>
      <w:widowControl/>
      <w:spacing w:line="240" w:lineRule="atLeast"/>
    </w:pPr>
    <w:rPr>
      <w:spacing w:val="-6"/>
      <w:kern w:val="0"/>
      <w:sz w:val="32"/>
      <w:szCs w:val="20"/>
    </w:rPr>
  </w:style>
  <w:style w:type="paragraph" w:customStyle="1" w:styleId="31">
    <w:name w:val="p17"/>
    <w:basedOn w:val="1"/>
    <w:qFormat/>
    <w:uiPriority w:val="0"/>
    <w:pPr>
      <w:widowControl/>
    </w:pPr>
    <w:rPr>
      <w:kern w:val="0"/>
      <w:szCs w:val="21"/>
    </w:rPr>
  </w:style>
  <w:style w:type="paragraph" w:customStyle="1" w:styleId="32">
    <w:name w:val="表格文本 居左"/>
    <w:basedOn w:val="1"/>
    <w:unhideWhenUsed/>
    <w:qFormat/>
    <w:uiPriority w:val="34"/>
    <w:pPr>
      <w:wordWrap w:val="0"/>
      <w:spacing w:before="0" w:after="0"/>
      <w:ind w:firstLine="0"/>
      <w:jc w:val="left"/>
    </w:pPr>
    <w:rPr>
      <w:rFonts w:ascii="宋体" w:hAnsi="宋体"/>
      <w:sz w:val="21"/>
      <w:szCs w:val="21"/>
    </w:rPr>
  </w:style>
  <w:style w:type="paragraph" w:customStyle="1" w:styleId="33">
    <w:name w:val="正文-自定义"/>
    <w:basedOn w:val="16"/>
    <w:qFormat/>
    <w:uiPriority w:val="0"/>
    <w:pPr>
      <w:widowControl/>
      <w:spacing w:after="0" w:line="360" w:lineRule="auto"/>
      <w:ind w:firstLine="480" w:firstLineChars="200"/>
    </w:pPr>
    <w:rPr>
      <w:rFonts w:ascii="宋体" w:hAnsi="宋体"/>
      <w:kern w:val="0"/>
      <w:sz w:val="24"/>
      <w:szCs w:val="24"/>
    </w:rPr>
  </w:style>
  <w:style w:type="paragraph" w:customStyle="1" w:styleId="34">
    <w:name w:val="封面 黑体三号 居中"/>
    <w:basedOn w:val="35"/>
    <w:next w:val="35"/>
    <w:qFormat/>
    <w:uiPriority w:val="18"/>
    <w:pPr>
      <w:jc w:val="center"/>
    </w:pPr>
    <w:rPr>
      <w:sz w:val="32"/>
    </w:rPr>
  </w:style>
  <w:style w:type="paragraph" w:customStyle="1" w:styleId="35">
    <w:name w:val="封面  样式基准"/>
    <w:basedOn w:val="1"/>
    <w:qFormat/>
    <w:uiPriority w:val="18"/>
    <w:pPr>
      <w:suppressAutoHyphens/>
      <w:autoSpaceDN w:val="0"/>
      <w:spacing w:before="0" w:after="0"/>
      <w:ind w:firstLine="0"/>
      <w:textAlignment w:val="baseline"/>
    </w:pPr>
    <w:rPr>
      <w:rFonts w:ascii="黑体" w:hAnsi="黑体" w:eastAsia="黑体"/>
      <w:kern w:val="0"/>
    </w:rPr>
  </w:style>
  <w:style w:type="paragraph" w:customStyle="1" w:styleId="36">
    <w:name w:val="列出段落1"/>
    <w:basedOn w:val="1"/>
    <w:qFormat/>
    <w:uiPriority w:val="34"/>
    <w:pPr>
      <w:ind w:firstLine="420" w:firstLineChars="200"/>
    </w:pPr>
  </w:style>
  <w:style w:type="paragraph" w:customStyle="1" w:styleId="37">
    <w:name w:val="样式 样式 样式 正文首行缩进 + 仿宋_GB2312 三号 非加粗 左 首行缩进:  2 字符 + 左侧:  0.85 厘米 ...1"/>
    <w:basedOn w:val="1"/>
    <w:qFormat/>
    <w:uiPriority w:val="0"/>
    <w:pPr>
      <w:spacing w:after="120" w:afterLines="0"/>
      <w:ind w:firstLine="640" w:firstLineChars="200"/>
    </w:pPr>
    <w:rPr>
      <w:rFonts w:ascii="宋体" w:hAnsi="宋体" w:cs="宋体"/>
      <w:kern w:val="44"/>
      <w:sz w:val="32"/>
      <w:szCs w:val="20"/>
    </w:rPr>
  </w:style>
  <w:style w:type="paragraph" w:customStyle="1" w:styleId="38">
    <w:name w:val="Table Paragraph"/>
    <w:basedOn w:val="1"/>
    <w:qFormat/>
    <w:uiPriority w:val="1"/>
    <w:rPr>
      <w:rFonts w:ascii="宋体" w:hAnsi="宋体" w:eastAsia="宋体" w:cs="宋体"/>
      <w:lang w:val="zh-CN" w:eastAsia="zh-CN" w:bidi="zh-CN"/>
    </w:rPr>
  </w:style>
  <w:style w:type="paragraph" w:customStyle="1" w:styleId="39">
    <w:name w:val="List Paragraph"/>
    <w:basedOn w:val="1"/>
    <w:qFormat/>
    <w:uiPriority w:val="0"/>
    <w:pPr>
      <w:ind w:firstLine="420" w:firstLineChars="200"/>
    </w:pPr>
  </w:style>
  <w:style w:type="paragraph" w:customStyle="1" w:styleId="40">
    <w:name w:val="表格标题"/>
    <w:basedOn w:val="1"/>
    <w:next w:val="1"/>
    <w:qFormat/>
    <w:uiPriority w:val="4"/>
    <w:pPr>
      <w:jc w:val="center"/>
    </w:pPr>
    <w:rPr>
      <w:rFonts w:ascii="Times New Roman" w:hAnsi="Times New Roman" w:cs="宋体"/>
      <w:b/>
      <w:bCs/>
      <w:smallCaps/>
      <w:szCs w:val="20"/>
    </w:rPr>
  </w:style>
  <w:style w:type="paragraph" w:customStyle="1" w:styleId="41">
    <w:name w:val="项目名称"/>
    <w:basedOn w:val="1"/>
    <w:qFormat/>
    <w:uiPriority w:val="0"/>
    <w:pPr>
      <w:spacing w:before="78" w:after="78" w:line="360" w:lineRule="auto"/>
      <w:jc w:val="center"/>
    </w:pPr>
    <w:rPr>
      <w:rFonts w:cs="宋体"/>
      <w:b/>
      <w:sz w:val="32"/>
      <w:szCs w:val="20"/>
    </w:rPr>
  </w:style>
  <w:style w:type="paragraph" w:customStyle="1" w:styleId="42">
    <w:name w:val="封面公司中文名称"/>
    <w:basedOn w:val="1"/>
    <w:qFormat/>
    <w:uiPriority w:val="0"/>
    <w:pPr>
      <w:widowControl/>
      <w:ind w:firstLine="200" w:firstLineChars="200"/>
      <w:jc w:val="center"/>
    </w:pPr>
    <w:rPr>
      <w:rFonts w:ascii="Consolas" w:hAnsi="Consolas" w:eastAsia="黑体" w:cs="宋体"/>
      <w:kern w:val="0"/>
      <w:sz w:val="36"/>
      <w:szCs w:val="21"/>
    </w:rPr>
  </w:style>
  <w:style w:type="paragraph" w:customStyle="1" w:styleId="43">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正文_0"/>
    <w:qFormat/>
    <w:uiPriority w:val="0"/>
    <w:pPr>
      <w:widowControl w:val="0"/>
      <w:jc w:val="both"/>
    </w:pPr>
    <w:rPr>
      <w:rFonts w:ascii="等线" w:hAnsi="等线" w:eastAsia="等线" w:cs="Times New Roman"/>
      <w:kern w:val="2"/>
      <w:sz w:val="21"/>
      <w:szCs w:val="22"/>
      <w:lang w:val="en-US" w:eastAsia="zh-CN" w:bidi="ar-SA"/>
    </w:rPr>
  </w:style>
  <w:style w:type="paragraph" w:customStyle="1" w:styleId="45">
    <w:name w:val="段"/>
    <w:qFormat/>
    <w:uiPriority w:val="0"/>
    <w:pPr>
      <w:tabs>
        <w:tab w:val="center" w:pos="4201"/>
        <w:tab w:val="right" w:leader="dot" w:pos="9298"/>
      </w:tabs>
      <w:autoSpaceDE w:val="0"/>
      <w:autoSpaceDN w:val="0"/>
      <w:ind w:firstLine="420" w:firstLineChars="200"/>
      <w:jc w:val="both"/>
    </w:pPr>
    <w:rPr>
      <w:rFonts w:ascii="宋体" w:hAnsi="Times New Roman" w:eastAsia="Times New Roman" w:cs="Times New Roman"/>
      <w:lang w:val="en-US" w:eastAsia="zh-CN" w:bidi="ar-SA"/>
    </w:rPr>
  </w:style>
  <w:style w:type="paragraph" w:customStyle="1" w:styleId="46">
    <w:name w:val="正文_1"/>
    <w:qFormat/>
    <w:uiPriority w:val="0"/>
    <w:pPr>
      <w:widowControl w:val="0"/>
      <w:jc w:val="both"/>
    </w:pPr>
    <w:rPr>
      <w:rFonts w:ascii="Tahoma" w:hAnsi="Tahoma" w:eastAsia="宋体" w:cs="Helvetica"/>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567</Words>
  <Characters>3232</Characters>
  <Lines>26</Lines>
  <Paragraphs>7</Paragraphs>
  <TotalTime>8</TotalTime>
  <ScaleCrop>false</ScaleCrop>
  <LinksUpToDate>false</LinksUpToDate>
  <CharactersWithSpaces>3792</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2018-08-06T07:53:00Z</dcterms:created>
  <dc:creator>胡玉峰</dc:creator>
  <cp:lastModifiedBy>羊静秋</cp:lastModifiedBy>
  <dcterms:modified xsi:type="dcterms:W3CDTF">2024-08-14T01:18:18Z</dcterms:modified>
  <dc:title>中国南方电网有限责任公司科技项目</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2052-11.8.2.11739</vt:lpwstr>
  </property>
  <property fmtid="{D5CDD505-2E9C-101B-9397-08002B2CF9AE}" pid="4" name="ICV">
    <vt:lpwstr>E65AD1A192F34D95A654F7F3378BD305</vt:lpwstr>
  </property>
</Properties>
</file>